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B3525">
      <w:pPr>
        <w:numPr>
          <w:ilvl w:val="0"/>
          <w:numId w:val="0"/>
        </w:numPr>
        <w:jc w:val="center"/>
        <w:rPr>
          <w:rFonts w:hint="eastAsia" w:ascii="仿宋_GB2312" w:eastAsia="仿宋_GB2312"/>
          <w:sz w:val="36"/>
          <w:szCs w:val="36"/>
          <w:lang w:val="en-US" w:eastAsia="zh-CN"/>
        </w:rPr>
      </w:pPr>
      <w:r>
        <w:rPr>
          <w:rFonts w:hint="eastAsia" w:ascii="仿宋_GB2312" w:eastAsia="仿宋_GB2312"/>
          <w:sz w:val="36"/>
          <w:szCs w:val="36"/>
          <w:lang w:eastAsia="zh-CN"/>
        </w:rPr>
        <w:t>深圳市龙岗区妇幼保健院2026-2027年度工程招标代理</w:t>
      </w:r>
      <w:r>
        <w:rPr>
          <w:rFonts w:hint="eastAsia" w:ascii="仿宋_GB2312" w:eastAsia="仿宋_GB2312"/>
          <w:sz w:val="36"/>
          <w:szCs w:val="36"/>
          <w:lang w:val="en-US" w:eastAsia="zh-CN"/>
        </w:rPr>
        <w:t>遴选</w:t>
      </w:r>
    </w:p>
    <w:p w14:paraId="26590AD7">
      <w:pPr>
        <w:numPr>
          <w:ilvl w:val="0"/>
          <w:numId w:val="0"/>
        </w:numPr>
        <w:jc w:val="center"/>
        <w:rPr>
          <w:rFonts w:hint="eastAsia" w:ascii="仿宋_GB2312" w:eastAsia="仿宋_GB2312"/>
          <w:sz w:val="36"/>
          <w:szCs w:val="36"/>
        </w:rPr>
      </w:pPr>
      <w:r>
        <w:rPr>
          <w:rFonts w:hint="eastAsia" w:ascii="仿宋_GB2312" w:eastAsia="仿宋_GB2312"/>
          <w:sz w:val="36"/>
          <w:szCs w:val="36"/>
          <w:lang w:val="en-US" w:eastAsia="zh-CN"/>
        </w:rPr>
        <w:t>评分标准</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990"/>
        <w:gridCol w:w="1545"/>
        <w:gridCol w:w="870"/>
        <w:gridCol w:w="5635"/>
      </w:tblGrid>
      <w:tr w14:paraId="13C7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14" w:type="dxa"/>
            <w:vAlign w:val="center"/>
          </w:tcPr>
          <w:p w14:paraId="656773D0">
            <w:pPr>
              <w:jc w:val="center"/>
              <w:rPr>
                <w:rFonts w:ascii="Times New Roman" w:hAnsi="Times New Roman" w:eastAsia="宋体" w:cs="Times New Roman"/>
                <w:b/>
                <w:bCs/>
                <w:kern w:val="2"/>
                <w:sz w:val="21"/>
                <w:szCs w:val="21"/>
                <w:lang w:val="en-US" w:eastAsia="zh-CN" w:bidi="ar-SA"/>
              </w:rPr>
            </w:pPr>
            <w:r>
              <w:rPr>
                <w:b/>
                <w:bCs/>
                <w:sz w:val="21"/>
                <w:szCs w:val="21"/>
              </w:rPr>
              <w:t>序号</w:t>
            </w:r>
          </w:p>
        </w:tc>
        <w:tc>
          <w:tcPr>
            <w:tcW w:w="3405" w:type="dxa"/>
            <w:gridSpan w:val="3"/>
            <w:vAlign w:val="center"/>
          </w:tcPr>
          <w:p w14:paraId="5BDA23EE">
            <w:pPr>
              <w:jc w:val="center"/>
              <w:rPr>
                <w:vertAlign w:val="baseline"/>
              </w:rPr>
            </w:pPr>
            <w:r>
              <w:rPr>
                <w:b/>
                <w:bCs/>
                <w:sz w:val="21"/>
                <w:szCs w:val="21"/>
              </w:rPr>
              <w:t>评分项</w:t>
            </w:r>
          </w:p>
        </w:tc>
        <w:tc>
          <w:tcPr>
            <w:tcW w:w="5635" w:type="dxa"/>
            <w:vAlign w:val="center"/>
          </w:tcPr>
          <w:p w14:paraId="64060C04">
            <w:pPr>
              <w:jc w:val="center"/>
              <w:rPr>
                <w:vertAlign w:val="baseline"/>
              </w:rPr>
            </w:pPr>
            <w:r>
              <w:rPr>
                <w:b/>
                <w:bCs/>
                <w:sz w:val="21"/>
                <w:szCs w:val="21"/>
              </w:rPr>
              <w:t>权重</w:t>
            </w:r>
          </w:p>
        </w:tc>
      </w:tr>
      <w:tr w14:paraId="406D1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30489A90">
            <w:pPr>
              <w:jc w:val="center"/>
              <w:rPr>
                <w:rFonts w:hint="eastAsia" w:eastAsia="宋体"/>
                <w:vertAlign w:val="baseline"/>
                <w:lang w:val="en-US" w:eastAsia="zh-CN"/>
              </w:rPr>
            </w:pPr>
            <w:r>
              <w:rPr>
                <w:rFonts w:hint="eastAsia"/>
                <w:vertAlign w:val="baseline"/>
                <w:lang w:val="en-US" w:eastAsia="zh-CN"/>
              </w:rPr>
              <w:t>1</w:t>
            </w:r>
          </w:p>
        </w:tc>
        <w:tc>
          <w:tcPr>
            <w:tcW w:w="3405" w:type="dxa"/>
            <w:gridSpan w:val="3"/>
            <w:vAlign w:val="center"/>
          </w:tcPr>
          <w:p w14:paraId="0EEC5BCE">
            <w:pPr>
              <w:jc w:val="center"/>
              <w:rPr>
                <w:vertAlign w:val="baseline"/>
              </w:rPr>
            </w:pPr>
            <w:r>
              <w:rPr>
                <w:rFonts w:hint="eastAsia"/>
                <w:b/>
                <w:sz w:val="21"/>
                <w:szCs w:val="21"/>
                <w:lang w:eastAsia="zh-CN"/>
              </w:rPr>
              <w:t>服务费用</w:t>
            </w:r>
            <w:r>
              <w:rPr>
                <w:b/>
                <w:sz w:val="21"/>
                <w:szCs w:val="21"/>
              </w:rPr>
              <w:t>部分</w:t>
            </w:r>
          </w:p>
        </w:tc>
        <w:tc>
          <w:tcPr>
            <w:tcW w:w="5635" w:type="dxa"/>
            <w:vAlign w:val="center"/>
          </w:tcPr>
          <w:p w14:paraId="65425C52">
            <w:pPr>
              <w:jc w:val="center"/>
              <w:rPr>
                <w:rFonts w:hint="default" w:eastAsia="宋体"/>
                <w:vertAlign w:val="baseline"/>
                <w:lang w:val="en-US" w:eastAsia="zh-CN"/>
              </w:rPr>
            </w:pPr>
            <w:r>
              <w:rPr>
                <w:rFonts w:hint="eastAsia"/>
                <w:vertAlign w:val="baseline"/>
                <w:lang w:val="en-US" w:eastAsia="zh-CN"/>
              </w:rPr>
              <w:t>10</w:t>
            </w:r>
          </w:p>
        </w:tc>
      </w:tr>
      <w:tr w14:paraId="5721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14" w:type="dxa"/>
            <w:vMerge w:val="restart"/>
            <w:vAlign w:val="center"/>
          </w:tcPr>
          <w:p w14:paraId="0B7A85A3">
            <w:pPr>
              <w:jc w:val="center"/>
              <w:rPr>
                <w:vertAlign w:val="baseline"/>
              </w:rPr>
            </w:pPr>
          </w:p>
        </w:tc>
        <w:tc>
          <w:tcPr>
            <w:tcW w:w="990" w:type="dxa"/>
            <w:vAlign w:val="center"/>
          </w:tcPr>
          <w:p w14:paraId="45DC3343">
            <w:pPr>
              <w:jc w:val="center"/>
              <w:rPr>
                <w:rFonts w:hint="eastAsia" w:ascii="Times New Roman" w:hAnsi="Times New Roman" w:eastAsia="宋体" w:cs="Times New Roman"/>
                <w:b/>
                <w:kern w:val="2"/>
                <w:sz w:val="21"/>
                <w:szCs w:val="21"/>
                <w:lang w:val="en-US" w:eastAsia="zh-CN" w:bidi="ar-SA"/>
              </w:rPr>
            </w:pPr>
            <w:r>
              <w:rPr>
                <w:b/>
                <w:bCs/>
                <w:sz w:val="21"/>
                <w:szCs w:val="21"/>
              </w:rPr>
              <w:t>序号</w:t>
            </w:r>
          </w:p>
        </w:tc>
        <w:tc>
          <w:tcPr>
            <w:tcW w:w="1545" w:type="dxa"/>
            <w:vAlign w:val="center"/>
          </w:tcPr>
          <w:p w14:paraId="33E82CA2">
            <w:pPr>
              <w:jc w:val="center"/>
              <w:rPr>
                <w:rFonts w:hint="eastAsia" w:ascii="Times New Roman" w:hAnsi="Times New Roman" w:eastAsia="宋体" w:cs="Times New Roman"/>
                <w:b/>
                <w:kern w:val="2"/>
                <w:sz w:val="21"/>
                <w:szCs w:val="21"/>
                <w:lang w:val="en-US" w:eastAsia="zh-CN" w:bidi="ar-SA"/>
              </w:rPr>
            </w:pPr>
            <w:r>
              <w:rPr>
                <w:b/>
                <w:bCs/>
                <w:sz w:val="21"/>
                <w:szCs w:val="21"/>
              </w:rPr>
              <w:t>评分因素</w:t>
            </w:r>
          </w:p>
        </w:tc>
        <w:tc>
          <w:tcPr>
            <w:tcW w:w="870" w:type="dxa"/>
            <w:vAlign w:val="center"/>
          </w:tcPr>
          <w:p w14:paraId="25B2E9ED">
            <w:pPr>
              <w:jc w:val="center"/>
              <w:rPr>
                <w:rFonts w:hint="eastAsia" w:ascii="Times New Roman" w:hAnsi="Times New Roman" w:eastAsia="宋体" w:cs="Times New Roman"/>
                <w:b/>
                <w:kern w:val="2"/>
                <w:sz w:val="21"/>
                <w:szCs w:val="21"/>
                <w:lang w:val="en-US" w:eastAsia="zh-CN" w:bidi="ar-SA"/>
              </w:rPr>
            </w:pPr>
            <w:r>
              <w:rPr>
                <w:b/>
                <w:bCs/>
                <w:sz w:val="21"/>
                <w:szCs w:val="21"/>
              </w:rPr>
              <w:t>权重</w:t>
            </w:r>
          </w:p>
        </w:tc>
        <w:tc>
          <w:tcPr>
            <w:tcW w:w="5635" w:type="dxa"/>
            <w:vAlign w:val="center"/>
          </w:tcPr>
          <w:p w14:paraId="7CB3786A">
            <w:pPr>
              <w:jc w:val="center"/>
              <w:rPr>
                <w:vertAlign w:val="baseline"/>
              </w:rPr>
            </w:pPr>
            <w:r>
              <w:rPr>
                <w:b/>
                <w:bCs/>
                <w:sz w:val="21"/>
                <w:szCs w:val="21"/>
              </w:rPr>
              <w:t>评分准则</w:t>
            </w:r>
          </w:p>
        </w:tc>
      </w:tr>
      <w:tr w14:paraId="6EA83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tcPr>
          <w:p w14:paraId="7EF438BC">
            <w:pPr>
              <w:rPr>
                <w:vertAlign w:val="baseline"/>
              </w:rPr>
            </w:pPr>
          </w:p>
        </w:tc>
        <w:tc>
          <w:tcPr>
            <w:tcW w:w="990" w:type="dxa"/>
            <w:vAlign w:val="center"/>
          </w:tcPr>
          <w:p w14:paraId="6BFB52DE">
            <w:pPr>
              <w:jc w:val="center"/>
              <w:rPr>
                <w:rFonts w:hint="eastAsia" w:eastAsia="宋体"/>
                <w:vertAlign w:val="baseline"/>
                <w:lang w:val="en-US" w:eastAsia="zh-CN"/>
              </w:rPr>
            </w:pPr>
            <w:r>
              <w:rPr>
                <w:rFonts w:hint="eastAsia"/>
                <w:vertAlign w:val="baseline"/>
                <w:lang w:val="en-US" w:eastAsia="zh-CN"/>
              </w:rPr>
              <w:t>1</w:t>
            </w:r>
          </w:p>
        </w:tc>
        <w:tc>
          <w:tcPr>
            <w:tcW w:w="1545" w:type="dxa"/>
            <w:vAlign w:val="center"/>
          </w:tcPr>
          <w:p w14:paraId="784CCBCB">
            <w:pPr>
              <w:jc w:val="center"/>
              <w:rPr>
                <w:rFonts w:ascii="Times New Roman" w:hAnsi="Times New Roman" w:eastAsia="宋体" w:cs="Times New Roman"/>
                <w:kern w:val="2"/>
                <w:sz w:val="28"/>
                <w:szCs w:val="24"/>
                <w:vertAlign w:val="baseline"/>
                <w:lang w:val="en-US" w:eastAsia="zh-CN" w:bidi="ar-SA"/>
              </w:rPr>
            </w:pPr>
            <w:r>
              <w:rPr>
                <w:rFonts w:hint="eastAsia" w:ascii="Times New Roman" w:hAnsi="Times New Roman" w:cs="Times New Roman"/>
                <w:sz w:val="21"/>
                <w:szCs w:val="21"/>
                <w:lang w:val="en-US" w:eastAsia="zh-CN"/>
              </w:rPr>
              <w:t>服务费用收取方式和标准</w:t>
            </w:r>
          </w:p>
        </w:tc>
        <w:tc>
          <w:tcPr>
            <w:tcW w:w="870" w:type="dxa"/>
            <w:vAlign w:val="center"/>
          </w:tcPr>
          <w:p w14:paraId="6844937E">
            <w:pPr>
              <w:jc w:val="center"/>
              <w:rPr>
                <w:rFonts w:hint="default" w:eastAsia="宋体"/>
                <w:vertAlign w:val="baseline"/>
                <w:lang w:val="en-US" w:eastAsia="zh-CN"/>
              </w:rPr>
            </w:pPr>
            <w:r>
              <w:rPr>
                <w:rFonts w:hint="eastAsia"/>
                <w:vertAlign w:val="baseline"/>
                <w:lang w:val="en-US" w:eastAsia="zh-CN"/>
              </w:rPr>
              <w:t>8</w:t>
            </w:r>
          </w:p>
        </w:tc>
        <w:tc>
          <w:tcPr>
            <w:tcW w:w="5635" w:type="dxa"/>
            <w:vAlign w:val="center"/>
          </w:tcPr>
          <w:p w14:paraId="5C89D067">
            <w:pPr>
              <w:jc w:val="both"/>
              <w:rPr>
                <w:vertAlign w:val="baseline"/>
              </w:rPr>
            </w:pPr>
            <w:r>
              <w:rPr>
                <w:rFonts w:hint="eastAsia" w:ascii="Times New Roman" w:hAnsi="Times New Roman" w:eastAsia="宋体" w:cs="Times New Roman"/>
                <w:sz w:val="21"/>
                <w:szCs w:val="21"/>
                <w:lang w:eastAsia="zh-CN"/>
              </w:rPr>
              <w:t>招标代理费用依据国家发展计划委员会《招标代理服务收费管理暂行办法》(计价格[2002]1980 号)阶梯式取费标准</w:t>
            </w:r>
            <w:r>
              <w:rPr>
                <w:rFonts w:hint="eastAsia" w:cs="Times New Roman"/>
                <w:sz w:val="21"/>
                <w:szCs w:val="21"/>
                <w:lang w:eastAsia="zh-CN"/>
              </w:rPr>
              <w:t>，</w:t>
            </w:r>
            <w:r>
              <w:rPr>
                <w:rFonts w:hint="eastAsia" w:cs="Times New Roman"/>
                <w:sz w:val="21"/>
                <w:szCs w:val="21"/>
                <w:lang w:val="en-US" w:eastAsia="zh-CN"/>
              </w:rPr>
              <w:t>在下浮10%的基础上，每下浮5%得2分，满分8分。</w:t>
            </w:r>
          </w:p>
        </w:tc>
      </w:tr>
      <w:tr w14:paraId="5EF7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tcPr>
          <w:p w14:paraId="5A42DD93">
            <w:pPr>
              <w:rPr>
                <w:vertAlign w:val="baseline"/>
              </w:rPr>
            </w:pPr>
          </w:p>
        </w:tc>
        <w:tc>
          <w:tcPr>
            <w:tcW w:w="990" w:type="dxa"/>
            <w:vAlign w:val="center"/>
          </w:tcPr>
          <w:p w14:paraId="68E5869C">
            <w:pPr>
              <w:jc w:val="center"/>
              <w:rPr>
                <w:rFonts w:hint="eastAsia" w:eastAsia="宋体"/>
                <w:vertAlign w:val="baseline"/>
                <w:lang w:val="en-US" w:eastAsia="zh-CN"/>
              </w:rPr>
            </w:pPr>
            <w:r>
              <w:rPr>
                <w:rFonts w:hint="eastAsia"/>
                <w:vertAlign w:val="baseline"/>
                <w:lang w:val="en-US" w:eastAsia="zh-CN"/>
              </w:rPr>
              <w:t>2</w:t>
            </w:r>
          </w:p>
        </w:tc>
        <w:tc>
          <w:tcPr>
            <w:tcW w:w="1545" w:type="dxa"/>
            <w:vAlign w:val="center"/>
          </w:tcPr>
          <w:p w14:paraId="469B3875">
            <w:pPr>
              <w:jc w:val="center"/>
              <w:rPr>
                <w:rFonts w:ascii="Times New Roman" w:hAnsi="Times New Roman" w:eastAsia="宋体" w:cs="Times New Roman"/>
                <w:kern w:val="2"/>
                <w:sz w:val="28"/>
                <w:szCs w:val="24"/>
                <w:vertAlign w:val="baseline"/>
                <w:lang w:val="en-US" w:eastAsia="zh-CN" w:bidi="ar-SA"/>
              </w:rPr>
            </w:pPr>
            <w:r>
              <w:rPr>
                <w:rFonts w:hint="eastAsia" w:ascii="Times New Roman" w:hAnsi="Times New Roman" w:cs="Times New Roman"/>
                <w:sz w:val="21"/>
                <w:szCs w:val="21"/>
                <w:lang w:val="en-US" w:eastAsia="zh-CN"/>
              </w:rPr>
              <w:t>最低收费标准</w:t>
            </w:r>
          </w:p>
        </w:tc>
        <w:tc>
          <w:tcPr>
            <w:tcW w:w="870" w:type="dxa"/>
            <w:vAlign w:val="center"/>
          </w:tcPr>
          <w:p w14:paraId="18C67B16">
            <w:pPr>
              <w:jc w:val="center"/>
              <w:rPr>
                <w:rFonts w:hint="eastAsia" w:eastAsia="宋体"/>
                <w:vertAlign w:val="baseline"/>
                <w:lang w:val="en-US" w:eastAsia="zh-CN"/>
              </w:rPr>
            </w:pPr>
            <w:r>
              <w:rPr>
                <w:rFonts w:hint="eastAsia"/>
                <w:vertAlign w:val="baseline"/>
                <w:lang w:val="en-US" w:eastAsia="zh-CN"/>
              </w:rPr>
              <w:t>2</w:t>
            </w:r>
          </w:p>
        </w:tc>
        <w:tc>
          <w:tcPr>
            <w:tcW w:w="5635" w:type="dxa"/>
            <w:vAlign w:val="center"/>
          </w:tcPr>
          <w:p w14:paraId="7DBB8490">
            <w:pPr>
              <w:jc w:val="both"/>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最低收费标准</w:t>
            </w:r>
            <w:r>
              <w:rPr>
                <w:rFonts w:hint="eastAsia" w:cs="Times New Roman"/>
                <w:sz w:val="21"/>
                <w:szCs w:val="21"/>
                <w:lang w:val="en-US" w:eastAsia="zh-CN"/>
              </w:rPr>
              <w:t>低于</w:t>
            </w:r>
            <w:r>
              <w:rPr>
                <w:rFonts w:hint="eastAsia" w:ascii="Times New Roman" w:hAnsi="Times New Roman" w:eastAsia="宋体" w:cs="Times New Roman"/>
                <w:sz w:val="21"/>
                <w:szCs w:val="21"/>
                <w:lang w:val="en-US" w:eastAsia="zh-CN"/>
              </w:rPr>
              <w:t>3</w:t>
            </w:r>
            <w:r>
              <w:rPr>
                <w:rFonts w:hint="eastAsia" w:cs="Times New Roman"/>
                <w:sz w:val="21"/>
                <w:szCs w:val="21"/>
                <w:lang w:val="en-US" w:eastAsia="zh-CN"/>
              </w:rPr>
              <w:t>0</w:t>
            </w:r>
            <w:r>
              <w:rPr>
                <w:rFonts w:hint="eastAsia" w:ascii="Times New Roman" w:hAnsi="Times New Roman" w:eastAsia="宋体" w:cs="Times New Roman"/>
                <w:sz w:val="21"/>
                <w:szCs w:val="21"/>
                <w:lang w:val="en-US" w:eastAsia="zh-CN"/>
              </w:rPr>
              <w:t>00元（含）得2分；</w:t>
            </w:r>
          </w:p>
          <w:p w14:paraId="0B935150">
            <w:pPr>
              <w:jc w:val="both"/>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最低收费标准3</w:t>
            </w:r>
            <w:r>
              <w:rPr>
                <w:rFonts w:hint="eastAsia" w:cs="Times New Roman"/>
                <w:sz w:val="21"/>
                <w:szCs w:val="21"/>
                <w:lang w:val="en-US" w:eastAsia="zh-CN"/>
              </w:rPr>
              <w:t>0</w:t>
            </w:r>
            <w:r>
              <w:rPr>
                <w:rFonts w:hint="eastAsia" w:ascii="Times New Roman" w:hAnsi="Times New Roman" w:eastAsia="宋体" w:cs="Times New Roman"/>
                <w:sz w:val="21"/>
                <w:szCs w:val="21"/>
                <w:lang w:val="en-US" w:eastAsia="zh-CN"/>
              </w:rPr>
              <w:t>00元</w:t>
            </w:r>
            <w:r>
              <w:rPr>
                <w:rFonts w:hint="eastAsia" w:cs="Times New Roman"/>
                <w:sz w:val="21"/>
                <w:szCs w:val="21"/>
                <w:lang w:val="en-US" w:eastAsia="zh-CN"/>
              </w:rPr>
              <w:t>（不含）</w:t>
            </w:r>
            <w:r>
              <w:rPr>
                <w:rFonts w:hint="eastAsia" w:ascii="Times New Roman" w:hAnsi="Times New Roman" w:eastAsia="宋体" w:cs="Times New Roman"/>
                <w:sz w:val="21"/>
                <w:szCs w:val="21"/>
                <w:lang w:val="en-US" w:eastAsia="zh-CN"/>
              </w:rPr>
              <w:t>-</w:t>
            </w:r>
            <w:r>
              <w:rPr>
                <w:rFonts w:hint="eastAsia" w:cs="Times New Roman"/>
                <w:sz w:val="21"/>
                <w:szCs w:val="21"/>
                <w:lang w:val="en-US" w:eastAsia="zh-CN"/>
              </w:rPr>
              <w:t>3500</w:t>
            </w:r>
            <w:r>
              <w:rPr>
                <w:rFonts w:hint="eastAsia" w:ascii="Times New Roman" w:hAnsi="Times New Roman" w:eastAsia="宋体" w:cs="Times New Roman"/>
                <w:sz w:val="21"/>
                <w:szCs w:val="21"/>
                <w:lang w:val="en-US" w:eastAsia="zh-CN"/>
              </w:rPr>
              <w:t>元（含）得1.5分；</w:t>
            </w:r>
          </w:p>
          <w:p w14:paraId="25DAD330">
            <w:pPr>
              <w:jc w:val="both"/>
              <w:rPr>
                <w:rFonts w:hint="eastAsia" w:cs="Times New Roman"/>
                <w:sz w:val="21"/>
                <w:szCs w:val="21"/>
                <w:lang w:val="en-US" w:eastAsia="zh-CN"/>
              </w:rPr>
            </w:pPr>
            <w:r>
              <w:rPr>
                <w:rFonts w:hint="eastAsia" w:ascii="Times New Roman" w:hAnsi="Times New Roman" w:eastAsia="宋体" w:cs="Times New Roman"/>
                <w:sz w:val="21"/>
                <w:szCs w:val="21"/>
                <w:lang w:val="en-US" w:eastAsia="zh-CN"/>
              </w:rPr>
              <w:t>最低收费标准</w:t>
            </w:r>
            <w:r>
              <w:rPr>
                <w:rFonts w:hint="eastAsia" w:cs="Times New Roman"/>
                <w:sz w:val="21"/>
                <w:szCs w:val="21"/>
                <w:lang w:val="en-US" w:eastAsia="zh-CN"/>
              </w:rPr>
              <w:t>3500</w:t>
            </w:r>
            <w:r>
              <w:rPr>
                <w:rFonts w:hint="eastAsia" w:ascii="Times New Roman" w:hAnsi="Times New Roman" w:eastAsia="宋体" w:cs="Times New Roman"/>
                <w:sz w:val="21"/>
                <w:szCs w:val="21"/>
                <w:lang w:val="en-US" w:eastAsia="zh-CN"/>
              </w:rPr>
              <w:t>元（</w:t>
            </w:r>
            <w:r>
              <w:rPr>
                <w:rFonts w:hint="eastAsia" w:cs="Times New Roman"/>
                <w:sz w:val="21"/>
                <w:szCs w:val="21"/>
                <w:lang w:val="en-US" w:eastAsia="zh-CN"/>
              </w:rPr>
              <w:t>不</w:t>
            </w:r>
            <w:r>
              <w:rPr>
                <w:rFonts w:hint="eastAsia" w:ascii="Times New Roman" w:hAnsi="Times New Roman" w:eastAsia="宋体" w:cs="Times New Roman"/>
                <w:sz w:val="21"/>
                <w:szCs w:val="21"/>
                <w:lang w:val="en-US" w:eastAsia="zh-CN"/>
              </w:rPr>
              <w:t>含）-</w:t>
            </w:r>
            <w:r>
              <w:rPr>
                <w:rFonts w:hint="eastAsia" w:cs="Times New Roman"/>
                <w:sz w:val="21"/>
                <w:szCs w:val="21"/>
                <w:lang w:val="en-US" w:eastAsia="zh-CN"/>
              </w:rPr>
              <w:t>40</w:t>
            </w:r>
            <w:bookmarkStart w:id="1" w:name="_GoBack"/>
            <w:bookmarkEnd w:id="1"/>
            <w:r>
              <w:rPr>
                <w:rFonts w:hint="eastAsia" w:ascii="Times New Roman" w:hAnsi="Times New Roman" w:eastAsia="宋体" w:cs="Times New Roman"/>
                <w:sz w:val="21"/>
                <w:szCs w:val="21"/>
                <w:lang w:val="en-US" w:eastAsia="zh-CN"/>
              </w:rPr>
              <w:t>00元（含）得1分</w:t>
            </w:r>
            <w:r>
              <w:rPr>
                <w:rFonts w:hint="eastAsia" w:cs="Times New Roman"/>
                <w:sz w:val="21"/>
                <w:szCs w:val="21"/>
                <w:lang w:val="en-US" w:eastAsia="zh-CN"/>
              </w:rPr>
              <w:t>；</w:t>
            </w:r>
          </w:p>
          <w:p w14:paraId="3E2B9A3D">
            <w:pPr>
              <w:jc w:val="both"/>
              <w:rPr>
                <w:rFonts w:hint="default"/>
                <w:lang w:val="en-US" w:eastAsia="zh-CN"/>
              </w:rPr>
            </w:pPr>
            <w:r>
              <w:rPr>
                <w:rFonts w:hint="eastAsia" w:ascii="Times New Roman" w:hAnsi="Times New Roman" w:eastAsia="宋体" w:cs="Times New Roman"/>
                <w:sz w:val="21"/>
                <w:szCs w:val="21"/>
                <w:lang w:val="en-US" w:eastAsia="zh-CN"/>
              </w:rPr>
              <w:t>最低收费标准4</w:t>
            </w:r>
            <w:r>
              <w:rPr>
                <w:rFonts w:hint="eastAsia" w:cs="Times New Roman"/>
                <w:sz w:val="21"/>
                <w:szCs w:val="21"/>
                <w:lang w:val="en-US" w:eastAsia="zh-CN"/>
              </w:rPr>
              <w:t>000</w:t>
            </w:r>
            <w:r>
              <w:rPr>
                <w:rFonts w:hint="eastAsia" w:ascii="Times New Roman" w:hAnsi="Times New Roman" w:eastAsia="宋体" w:cs="Times New Roman"/>
                <w:sz w:val="21"/>
                <w:szCs w:val="21"/>
                <w:lang w:val="en-US" w:eastAsia="zh-CN"/>
              </w:rPr>
              <w:t>元（</w:t>
            </w:r>
            <w:r>
              <w:rPr>
                <w:rFonts w:hint="eastAsia" w:cs="Times New Roman"/>
                <w:sz w:val="21"/>
                <w:szCs w:val="21"/>
                <w:lang w:val="en-US" w:eastAsia="zh-CN"/>
              </w:rPr>
              <w:t>不</w:t>
            </w:r>
            <w:r>
              <w:rPr>
                <w:rFonts w:hint="eastAsia" w:ascii="Times New Roman" w:hAnsi="Times New Roman" w:eastAsia="宋体" w:cs="Times New Roman"/>
                <w:sz w:val="21"/>
                <w:szCs w:val="21"/>
                <w:lang w:val="en-US" w:eastAsia="zh-CN"/>
              </w:rPr>
              <w:t>含）-</w:t>
            </w:r>
            <w:r>
              <w:rPr>
                <w:rFonts w:hint="eastAsia" w:cs="Times New Roman"/>
                <w:sz w:val="21"/>
                <w:szCs w:val="21"/>
                <w:lang w:val="en-US" w:eastAsia="zh-CN"/>
              </w:rPr>
              <w:t>4500</w:t>
            </w:r>
            <w:r>
              <w:rPr>
                <w:rFonts w:hint="eastAsia" w:ascii="Times New Roman" w:hAnsi="Times New Roman" w:eastAsia="宋体" w:cs="Times New Roman"/>
                <w:sz w:val="21"/>
                <w:szCs w:val="21"/>
                <w:lang w:val="en-US" w:eastAsia="zh-CN"/>
              </w:rPr>
              <w:t>元（含）得</w:t>
            </w:r>
            <w:r>
              <w:rPr>
                <w:rFonts w:hint="eastAsia" w:cs="Times New Roman"/>
                <w:sz w:val="21"/>
                <w:szCs w:val="21"/>
                <w:lang w:val="en-US" w:eastAsia="zh-CN"/>
              </w:rPr>
              <w:t>0.5</w:t>
            </w:r>
            <w:r>
              <w:rPr>
                <w:rFonts w:hint="eastAsia" w:ascii="Times New Roman" w:hAnsi="Times New Roman" w:eastAsia="宋体" w:cs="Times New Roman"/>
                <w:sz w:val="21"/>
                <w:szCs w:val="21"/>
                <w:lang w:val="en-US" w:eastAsia="zh-CN"/>
              </w:rPr>
              <w:t>分。</w:t>
            </w:r>
          </w:p>
        </w:tc>
      </w:tr>
      <w:tr w14:paraId="3FB5F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46044B14">
            <w:pPr>
              <w:jc w:val="center"/>
              <w:rPr>
                <w:rFonts w:hint="eastAsia" w:eastAsia="宋体"/>
                <w:vertAlign w:val="baseline"/>
                <w:lang w:val="en-US" w:eastAsia="zh-CN"/>
              </w:rPr>
            </w:pPr>
            <w:r>
              <w:rPr>
                <w:rFonts w:hint="eastAsia"/>
                <w:vertAlign w:val="baseline"/>
                <w:lang w:val="en-US" w:eastAsia="zh-CN"/>
              </w:rPr>
              <w:t>2</w:t>
            </w:r>
          </w:p>
        </w:tc>
        <w:tc>
          <w:tcPr>
            <w:tcW w:w="3405" w:type="dxa"/>
            <w:gridSpan w:val="3"/>
            <w:vAlign w:val="center"/>
          </w:tcPr>
          <w:p w14:paraId="1D7CFD5B">
            <w:pPr>
              <w:jc w:val="center"/>
              <w:rPr>
                <w:vertAlign w:val="baseline"/>
              </w:rPr>
            </w:pPr>
            <w:r>
              <w:rPr>
                <w:b/>
                <w:sz w:val="21"/>
                <w:szCs w:val="21"/>
              </w:rPr>
              <w:t>技术部分</w:t>
            </w:r>
          </w:p>
        </w:tc>
        <w:tc>
          <w:tcPr>
            <w:tcW w:w="5635" w:type="dxa"/>
            <w:vAlign w:val="center"/>
          </w:tcPr>
          <w:p w14:paraId="14ED35C5">
            <w:pPr>
              <w:jc w:val="center"/>
              <w:rPr>
                <w:rFonts w:hint="default" w:eastAsia="宋体"/>
                <w:vertAlign w:val="baseline"/>
                <w:lang w:val="en-US" w:eastAsia="zh-CN"/>
              </w:rPr>
            </w:pPr>
            <w:r>
              <w:rPr>
                <w:rFonts w:hint="eastAsia"/>
                <w:vertAlign w:val="baseline"/>
                <w:lang w:val="en-US" w:eastAsia="zh-CN"/>
              </w:rPr>
              <w:t>45</w:t>
            </w:r>
          </w:p>
        </w:tc>
      </w:tr>
      <w:tr w14:paraId="5316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14" w:type="dxa"/>
            <w:vMerge w:val="restart"/>
          </w:tcPr>
          <w:p w14:paraId="1D1B1E69">
            <w:pPr>
              <w:rPr>
                <w:vertAlign w:val="baseline"/>
              </w:rPr>
            </w:pPr>
          </w:p>
        </w:tc>
        <w:tc>
          <w:tcPr>
            <w:tcW w:w="990" w:type="dxa"/>
            <w:vAlign w:val="center"/>
          </w:tcPr>
          <w:p w14:paraId="2BB9544A">
            <w:pPr>
              <w:jc w:val="center"/>
              <w:rPr>
                <w:rFonts w:ascii="Times New Roman" w:hAnsi="Times New Roman" w:eastAsia="宋体" w:cs="Times New Roman"/>
                <w:b/>
                <w:bCs/>
                <w:kern w:val="2"/>
                <w:sz w:val="21"/>
                <w:szCs w:val="21"/>
                <w:lang w:val="en-US" w:eastAsia="zh-CN" w:bidi="ar-SA"/>
              </w:rPr>
            </w:pPr>
            <w:r>
              <w:rPr>
                <w:b/>
                <w:bCs/>
                <w:sz w:val="21"/>
                <w:szCs w:val="21"/>
              </w:rPr>
              <w:t>序号</w:t>
            </w:r>
          </w:p>
        </w:tc>
        <w:tc>
          <w:tcPr>
            <w:tcW w:w="1545" w:type="dxa"/>
            <w:vAlign w:val="center"/>
          </w:tcPr>
          <w:p w14:paraId="40090FF5">
            <w:pPr>
              <w:jc w:val="center"/>
              <w:rPr>
                <w:rFonts w:ascii="Times New Roman" w:hAnsi="Times New Roman" w:eastAsia="宋体" w:cs="Times New Roman"/>
                <w:b/>
                <w:bCs/>
                <w:kern w:val="2"/>
                <w:sz w:val="21"/>
                <w:szCs w:val="21"/>
                <w:lang w:val="en-US" w:eastAsia="zh-CN" w:bidi="ar-SA"/>
              </w:rPr>
            </w:pPr>
            <w:r>
              <w:rPr>
                <w:b/>
                <w:bCs/>
                <w:sz w:val="21"/>
                <w:szCs w:val="21"/>
              </w:rPr>
              <w:t>评分因素</w:t>
            </w:r>
          </w:p>
        </w:tc>
        <w:tc>
          <w:tcPr>
            <w:tcW w:w="870" w:type="dxa"/>
            <w:vAlign w:val="center"/>
          </w:tcPr>
          <w:p w14:paraId="1CF8AF3E">
            <w:pPr>
              <w:jc w:val="center"/>
              <w:rPr>
                <w:rFonts w:ascii="Times New Roman" w:hAnsi="Times New Roman" w:eastAsia="宋体" w:cs="Times New Roman"/>
                <w:b/>
                <w:bCs/>
                <w:kern w:val="2"/>
                <w:sz w:val="21"/>
                <w:szCs w:val="21"/>
                <w:lang w:val="en-US" w:eastAsia="zh-CN" w:bidi="ar-SA"/>
              </w:rPr>
            </w:pPr>
            <w:r>
              <w:rPr>
                <w:b/>
                <w:bCs/>
                <w:sz w:val="21"/>
                <w:szCs w:val="21"/>
              </w:rPr>
              <w:t>权重</w:t>
            </w:r>
          </w:p>
        </w:tc>
        <w:tc>
          <w:tcPr>
            <w:tcW w:w="5635" w:type="dxa"/>
            <w:vAlign w:val="center"/>
          </w:tcPr>
          <w:p w14:paraId="69C88093">
            <w:pPr>
              <w:jc w:val="center"/>
              <w:rPr>
                <w:vertAlign w:val="baseline"/>
              </w:rPr>
            </w:pPr>
            <w:r>
              <w:rPr>
                <w:b/>
                <w:bCs/>
                <w:sz w:val="21"/>
                <w:szCs w:val="21"/>
              </w:rPr>
              <w:t>评分准则</w:t>
            </w:r>
          </w:p>
        </w:tc>
      </w:tr>
      <w:tr w14:paraId="01893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tcPr>
          <w:p w14:paraId="654B37F9">
            <w:pPr>
              <w:rPr>
                <w:vertAlign w:val="baseline"/>
              </w:rPr>
            </w:pPr>
          </w:p>
        </w:tc>
        <w:tc>
          <w:tcPr>
            <w:tcW w:w="990" w:type="dxa"/>
            <w:vAlign w:val="center"/>
          </w:tcPr>
          <w:p w14:paraId="339D6289">
            <w:pPr>
              <w:jc w:val="center"/>
              <w:rPr>
                <w:rFonts w:hint="eastAsia" w:eastAsia="宋体"/>
                <w:vertAlign w:val="baseline"/>
                <w:lang w:val="en-US" w:eastAsia="zh-CN"/>
              </w:rPr>
            </w:pPr>
            <w:r>
              <w:rPr>
                <w:rFonts w:hint="eastAsia"/>
                <w:vertAlign w:val="baseline"/>
                <w:lang w:val="en-US" w:eastAsia="zh-CN"/>
              </w:rPr>
              <w:t>1</w:t>
            </w:r>
          </w:p>
        </w:tc>
        <w:tc>
          <w:tcPr>
            <w:tcW w:w="1545" w:type="dxa"/>
            <w:vAlign w:val="center"/>
          </w:tcPr>
          <w:p w14:paraId="2C769B42">
            <w:pPr>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项目服务方案</w:t>
            </w:r>
          </w:p>
        </w:tc>
        <w:tc>
          <w:tcPr>
            <w:tcW w:w="870" w:type="dxa"/>
            <w:vAlign w:val="center"/>
          </w:tcPr>
          <w:p w14:paraId="2EB964E0">
            <w:pPr>
              <w:jc w:val="center"/>
              <w:rPr>
                <w:rFonts w:hint="default" w:ascii="Times New Roman" w:hAnsi="Times New Roman" w:cs="Times New Roman"/>
                <w:sz w:val="21"/>
                <w:szCs w:val="21"/>
                <w:lang w:val="en-US" w:eastAsia="zh-CN"/>
              </w:rPr>
            </w:pPr>
            <w:r>
              <w:rPr>
                <w:rFonts w:hint="eastAsia" w:cs="Times New Roman"/>
                <w:sz w:val="21"/>
                <w:szCs w:val="21"/>
                <w:lang w:val="en-US" w:eastAsia="zh-CN"/>
              </w:rPr>
              <w:t>15</w:t>
            </w:r>
          </w:p>
        </w:tc>
        <w:tc>
          <w:tcPr>
            <w:tcW w:w="5635" w:type="dxa"/>
            <w:vAlign w:val="center"/>
          </w:tcPr>
          <w:p w14:paraId="6DE884AF">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（一）评审内容：</w:t>
            </w:r>
          </w:p>
          <w:p w14:paraId="2952D5FB">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投标供应商按本项目要求提供</w:t>
            </w:r>
            <w:r>
              <w:rPr>
                <w:rFonts w:hint="eastAsia" w:ascii="宋体" w:hAnsi="宋体" w:cs="宋体"/>
                <w:color w:val="auto"/>
                <w:sz w:val="21"/>
                <w:szCs w:val="21"/>
                <w:highlight w:val="none"/>
                <w:lang w:val="en-US" w:eastAsia="zh-CN"/>
              </w:rPr>
              <w:t>建设工程招标代理项目</w:t>
            </w:r>
            <w:r>
              <w:rPr>
                <w:rFonts w:hint="eastAsia" w:ascii="宋体" w:hAnsi="宋体" w:eastAsia="宋体" w:cs="宋体"/>
                <w:color w:val="auto"/>
                <w:sz w:val="21"/>
                <w:szCs w:val="21"/>
                <w:highlight w:val="none"/>
                <w:lang w:val="en-US" w:eastAsia="zh-CN"/>
              </w:rPr>
              <w:t>实施方案，包括以下内容：</w:t>
            </w:r>
          </w:p>
          <w:p w14:paraId="10FCCB2B">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建设工程项目招标代理</w:t>
            </w:r>
            <w:r>
              <w:rPr>
                <w:rFonts w:hint="eastAsia" w:ascii="宋体" w:hAnsi="宋体" w:eastAsia="宋体" w:cs="宋体"/>
                <w:color w:val="auto"/>
                <w:sz w:val="21"/>
                <w:szCs w:val="21"/>
                <w:highlight w:val="none"/>
                <w:lang w:val="en-US" w:eastAsia="zh-CN"/>
              </w:rPr>
              <w:t>实施总体思路及技术方案；</w:t>
            </w:r>
          </w:p>
          <w:p w14:paraId="2CC3EB4E">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2.紧急</w:t>
            </w:r>
            <w:r>
              <w:rPr>
                <w:rFonts w:hint="eastAsia" w:ascii="宋体" w:hAnsi="宋体" w:cs="宋体"/>
                <w:color w:val="auto"/>
                <w:sz w:val="21"/>
                <w:szCs w:val="21"/>
                <w:highlight w:val="none"/>
                <w:lang w:val="en-US" w:eastAsia="zh-CN"/>
              </w:rPr>
              <w:t>建设工程</w:t>
            </w:r>
            <w:r>
              <w:rPr>
                <w:rFonts w:hint="eastAsia" w:ascii="宋体" w:hAnsi="宋体" w:eastAsia="宋体" w:cs="宋体"/>
                <w:color w:val="auto"/>
                <w:sz w:val="21"/>
                <w:szCs w:val="21"/>
                <w:highlight w:val="none"/>
                <w:lang w:val="en-US" w:eastAsia="zh-CN"/>
              </w:rPr>
              <w:t>项目实施方案；</w:t>
            </w:r>
          </w:p>
          <w:p w14:paraId="5698CD2D">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3.项目集中期满足响应时间的措施；</w:t>
            </w:r>
          </w:p>
          <w:p w14:paraId="332CE5CD">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4.项目投标供应商不满足法定数量时的分析与对策。</w:t>
            </w:r>
          </w:p>
          <w:p w14:paraId="44E84D21">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（二）评审依据：</w:t>
            </w:r>
          </w:p>
          <w:p w14:paraId="07AD9F55">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满足以上四项要求得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分，满足以上三项要求得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分，满足以上两项要求得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分，满足以上一项要求得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分，其它情况不得分。在此基础上，评审委员会根据各投标供应商的具体响应内容按照量化的评审因素指标进一步评审：</w:t>
            </w:r>
          </w:p>
          <w:p w14:paraId="0D16C532">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（1）优评分标准：对项目实施方案的内容描述全面，具体，表达清晰、完整、严谨、针对性强、科学合理、贴合本项目的实际情况、可操作性强的，得</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分；</w:t>
            </w:r>
          </w:p>
          <w:p w14:paraId="439BF840">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（2）良评分标准：对项目实施方案的内容描述较全面，较具体，表达较清晰、较完整、较严谨，针对性较强、较科学合理、较贴合本项目的实际情况、可操作性较强的，得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27EC49A3">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（3）中评分标准：对项目实施方案的内容描述基本全面，表达基本清晰，针对性一般、基本贴合本项目的实际情况、可操作性一般的，得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14:paraId="5E8E63B2">
            <w:pPr>
              <w:jc w:val="both"/>
              <w:rPr>
                <w:rFonts w:hint="eastAsia" w:ascii="Times New Roman" w:hAnsi="Times New Roman" w:cs="Times New Roman"/>
                <w:sz w:val="21"/>
                <w:szCs w:val="21"/>
                <w:lang w:val="en-US" w:eastAsia="zh-CN"/>
              </w:rPr>
            </w:pPr>
            <w:r>
              <w:rPr>
                <w:rFonts w:hint="eastAsia" w:ascii="宋体" w:hAnsi="宋体" w:eastAsia="宋体" w:cs="宋体"/>
                <w:color w:val="auto"/>
                <w:sz w:val="21"/>
                <w:szCs w:val="21"/>
                <w:highlight w:val="none"/>
                <w:lang w:val="en-US" w:eastAsia="zh-CN"/>
              </w:rPr>
              <w:t>（4）差评分标准：对项目实施方案的内容描述缺失，表达不清晰，无实际操作意义或与项目关联度不大，得0分。</w:t>
            </w:r>
          </w:p>
        </w:tc>
      </w:tr>
      <w:tr w14:paraId="509C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tcPr>
          <w:p w14:paraId="19D238D2">
            <w:pPr>
              <w:rPr>
                <w:vertAlign w:val="baseline"/>
              </w:rPr>
            </w:pPr>
          </w:p>
        </w:tc>
        <w:tc>
          <w:tcPr>
            <w:tcW w:w="990" w:type="dxa"/>
            <w:vAlign w:val="center"/>
          </w:tcPr>
          <w:p w14:paraId="5B538D7F">
            <w:pPr>
              <w:jc w:val="center"/>
              <w:rPr>
                <w:rFonts w:hint="eastAsia" w:eastAsia="宋体"/>
                <w:vertAlign w:val="baseline"/>
                <w:lang w:val="en-US" w:eastAsia="zh-CN"/>
              </w:rPr>
            </w:pPr>
            <w:r>
              <w:rPr>
                <w:rFonts w:hint="eastAsia"/>
                <w:vertAlign w:val="baseline"/>
                <w:lang w:val="en-US" w:eastAsia="zh-CN"/>
              </w:rPr>
              <w:t>2</w:t>
            </w:r>
          </w:p>
        </w:tc>
        <w:tc>
          <w:tcPr>
            <w:tcW w:w="1545" w:type="dxa"/>
            <w:vAlign w:val="center"/>
          </w:tcPr>
          <w:p w14:paraId="60B00FD4">
            <w:pPr>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异议投诉处理能力</w:t>
            </w:r>
          </w:p>
        </w:tc>
        <w:tc>
          <w:tcPr>
            <w:tcW w:w="870" w:type="dxa"/>
            <w:vAlign w:val="center"/>
          </w:tcPr>
          <w:p w14:paraId="6BA3F9C4">
            <w:pPr>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10</w:t>
            </w:r>
          </w:p>
        </w:tc>
        <w:tc>
          <w:tcPr>
            <w:tcW w:w="5635" w:type="dxa"/>
            <w:vAlign w:val="center"/>
          </w:tcPr>
          <w:p w14:paraId="452DE008">
            <w:pPr>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（一）评分内容：</w:t>
            </w:r>
          </w:p>
          <w:p w14:paraId="7640E53C">
            <w:pPr>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投标供应商需提供</w:t>
            </w:r>
            <w:r>
              <w:rPr>
                <w:rFonts w:hint="eastAsia" w:ascii="宋体" w:hAnsi="宋体" w:cs="宋体"/>
                <w:color w:val="auto"/>
                <w:sz w:val="21"/>
                <w:szCs w:val="21"/>
                <w:highlight w:val="none"/>
                <w:lang w:val="en-US" w:eastAsia="zh-CN"/>
              </w:rPr>
              <w:t>建设工程</w:t>
            </w:r>
            <w:r>
              <w:rPr>
                <w:rFonts w:hint="eastAsia" w:cs="Times New Roman"/>
                <w:sz w:val="21"/>
                <w:szCs w:val="21"/>
                <w:lang w:val="en-US" w:eastAsia="zh-CN"/>
              </w:rPr>
              <w:t>异议投诉</w:t>
            </w:r>
            <w:r>
              <w:rPr>
                <w:rFonts w:hint="default" w:ascii="Times New Roman" w:hAnsi="Times New Roman" w:cs="Times New Roman"/>
                <w:sz w:val="21"/>
                <w:szCs w:val="21"/>
                <w:lang w:val="en-US" w:eastAsia="zh-CN"/>
              </w:rPr>
              <w:t>项目</w:t>
            </w:r>
            <w:r>
              <w:rPr>
                <w:rFonts w:hint="eastAsia" w:cs="Times New Roman"/>
                <w:sz w:val="21"/>
                <w:szCs w:val="21"/>
                <w:lang w:val="en-US" w:eastAsia="zh-CN"/>
              </w:rPr>
              <w:t>处理方案</w:t>
            </w:r>
            <w:r>
              <w:rPr>
                <w:rFonts w:hint="default" w:ascii="Times New Roman" w:hAnsi="Times New Roman" w:cs="Times New Roman"/>
                <w:sz w:val="21"/>
                <w:szCs w:val="21"/>
                <w:lang w:val="en-US" w:eastAsia="zh-CN"/>
              </w:rPr>
              <w:t>，包括但不限于以下内容：</w:t>
            </w:r>
          </w:p>
          <w:p w14:paraId="197D1203">
            <w:pPr>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1、项目</w:t>
            </w:r>
            <w:r>
              <w:rPr>
                <w:rFonts w:hint="eastAsia" w:cs="Times New Roman"/>
                <w:sz w:val="21"/>
                <w:szCs w:val="21"/>
                <w:lang w:val="en-US" w:eastAsia="zh-CN"/>
              </w:rPr>
              <w:t>异议情况</w:t>
            </w:r>
            <w:r>
              <w:rPr>
                <w:rFonts w:hint="default" w:ascii="Times New Roman" w:hAnsi="Times New Roman" w:cs="Times New Roman"/>
                <w:sz w:val="21"/>
                <w:szCs w:val="21"/>
                <w:lang w:val="en-US" w:eastAsia="zh-CN"/>
              </w:rPr>
              <w:t>；</w:t>
            </w:r>
          </w:p>
          <w:p w14:paraId="0859C362">
            <w:pPr>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2、招标代理机构</w:t>
            </w:r>
            <w:r>
              <w:rPr>
                <w:rFonts w:hint="eastAsia" w:cs="Times New Roman"/>
                <w:sz w:val="21"/>
                <w:szCs w:val="21"/>
                <w:lang w:val="en-US" w:eastAsia="zh-CN"/>
              </w:rPr>
              <w:t>异议</w:t>
            </w:r>
            <w:r>
              <w:rPr>
                <w:rFonts w:hint="default" w:ascii="Times New Roman" w:hAnsi="Times New Roman" w:cs="Times New Roman"/>
                <w:sz w:val="21"/>
                <w:szCs w:val="21"/>
                <w:lang w:val="en-US" w:eastAsia="zh-CN"/>
              </w:rPr>
              <w:t>回复</w:t>
            </w:r>
            <w:r>
              <w:rPr>
                <w:rFonts w:hint="eastAsia" w:cs="Times New Roman"/>
                <w:sz w:val="21"/>
                <w:szCs w:val="21"/>
                <w:lang w:val="en-US" w:eastAsia="zh-CN"/>
              </w:rPr>
              <w:t>方案</w:t>
            </w:r>
            <w:r>
              <w:rPr>
                <w:rFonts w:hint="default" w:ascii="Times New Roman" w:hAnsi="Times New Roman" w:cs="Times New Roman"/>
                <w:sz w:val="21"/>
                <w:szCs w:val="21"/>
                <w:lang w:val="en-US" w:eastAsia="zh-CN"/>
              </w:rPr>
              <w:t>；</w:t>
            </w:r>
          </w:p>
          <w:p w14:paraId="368721D8">
            <w:pPr>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3、代理机构</w:t>
            </w:r>
            <w:r>
              <w:rPr>
                <w:rFonts w:hint="eastAsia" w:cs="Times New Roman"/>
                <w:sz w:val="21"/>
                <w:szCs w:val="21"/>
                <w:lang w:val="en-US" w:eastAsia="zh-CN"/>
              </w:rPr>
              <w:t>内</w:t>
            </w:r>
            <w:r>
              <w:rPr>
                <w:rFonts w:hint="default" w:ascii="Times New Roman" w:hAnsi="Times New Roman" w:cs="Times New Roman"/>
                <w:sz w:val="21"/>
                <w:szCs w:val="21"/>
                <w:lang w:val="en-US" w:eastAsia="zh-CN"/>
              </w:rPr>
              <w:t>部</w:t>
            </w:r>
            <w:r>
              <w:rPr>
                <w:rFonts w:hint="eastAsia" w:cs="Times New Roman"/>
                <w:sz w:val="21"/>
                <w:szCs w:val="21"/>
                <w:lang w:val="en-US" w:eastAsia="zh-CN"/>
              </w:rPr>
              <w:t>异议投诉</w:t>
            </w:r>
            <w:r>
              <w:rPr>
                <w:rFonts w:hint="default" w:ascii="Times New Roman" w:hAnsi="Times New Roman" w:cs="Times New Roman"/>
                <w:sz w:val="21"/>
                <w:szCs w:val="21"/>
                <w:lang w:val="en-US" w:eastAsia="zh-CN"/>
              </w:rPr>
              <w:t>处理机制方案。</w:t>
            </w:r>
          </w:p>
          <w:p w14:paraId="64F5A615">
            <w:pPr>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（二）评分依据：</w:t>
            </w:r>
          </w:p>
          <w:p w14:paraId="4519F5BB">
            <w:pPr>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1.满足以上</w:t>
            </w:r>
            <w:r>
              <w:rPr>
                <w:rFonts w:hint="eastAsia" w:cs="Times New Roman"/>
                <w:sz w:val="21"/>
                <w:szCs w:val="21"/>
                <w:lang w:val="en-US" w:eastAsia="zh-CN"/>
              </w:rPr>
              <w:t>三</w:t>
            </w:r>
            <w:r>
              <w:rPr>
                <w:rFonts w:hint="default" w:ascii="Times New Roman" w:hAnsi="Times New Roman" w:cs="Times New Roman"/>
                <w:sz w:val="21"/>
                <w:szCs w:val="21"/>
                <w:lang w:val="en-US" w:eastAsia="zh-CN"/>
              </w:rPr>
              <w:t>个方面得</w:t>
            </w:r>
            <w:r>
              <w:rPr>
                <w:rFonts w:hint="eastAsia" w:cs="Times New Roman"/>
                <w:sz w:val="21"/>
                <w:szCs w:val="21"/>
                <w:lang w:val="en-US" w:eastAsia="zh-CN"/>
              </w:rPr>
              <w:t>5</w:t>
            </w:r>
            <w:r>
              <w:rPr>
                <w:rFonts w:hint="default" w:ascii="Times New Roman" w:hAnsi="Times New Roman" w:cs="Times New Roman"/>
                <w:sz w:val="21"/>
                <w:szCs w:val="21"/>
                <w:lang w:val="en-US" w:eastAsia="zh-CN"/>
              </w:rPr>
              <w:t>分，未满足不得分。</w:t>
            </w:r>
          </w:p>
          <w:p w14:paraId="13CF2DC9">
            <w:pPr>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2.在此基础上，评审委员会根据各投标供应商的具体响应内容进一步评审：</w:t>
            </w:r>
          </w:p>
          <w:p w14:paraId="61B4998A">
            <w:pPr>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（1）代理机构在处理</w:t>
            </w:r>
            <w:r>
              <w:rPr>
                <w:rFonts w:hint="eastAsia" w:cs="Times New Roman"/>
                <w:sz w:val="21"/>
                <w:szCs w:val="21"/>
                <w:lang w:val="en-US" w:eastAsia="zh-CN"/>
              </w:rPr>
              <w:t>异议</w:t>
            </w:r>
            <w:r>
              <w:rPr>
                <w:rFonts w:hint="default" w:ascii="Times New Roman" w:hAnsi="Times New Roman" w:cs="Times New Roman"/>
                <w:sz w:val="21"/>
                <w:szCs w:val="21"/>
                <w:lang w:val="en-US" w:eastAsia="zh-CN"/>
              </w:rPr>
              <w:t>中充分发挥了专业能力，有力为</w:t>
            </w:r>
            <w:r>
              <w:rPr>
                <w:rFonts w:hint="eastAsia" w:cs="Times New Roman"/>
                <w:sz w:val="21"/>
                <w:szCs w:val="21"/>
                <w:lang w:val="en-US" w:eastAsia="zh-CN"/>
              </w:rPr>
              <w:t>招标</w:t>
            </w:r>
            <w:r>
              <w:rPr>
                <w:rFonts w:hint="default" w:ascii="Times New Roman" w:hAnsi="Times New Roman" w:cs="Times New Roman"/>
                <w:sz w:val="21"/>
                <w:szCs w:val="21"/>
                <w:lang w:val="en-US" w:eastAsia="zh-CN"/>
              </w:rPr>
              <w:t>人解决问题，得</w:t>
            </w:r>
            <w:r>
              <w:rPr>
                <w:rFonts w:hint="eastAsia" w:cs="Times New Roman"/>
                <w:sz w:val="21"/>
                <w:szCs w:val="21"/>
                <w:lang w:val="en-US" w:eastAsia="zh-CN"/>
              </w:rPr>
              <w:t>5</w:t>
            </w:r>
            <w:r>
              <w:rPr>
                <w:rFonts w:hint="default" w:ascii="Times New Roman" w:hAnsi="Times New Roman" w:cs="Times New Roman"/>
                <w:sz w:val="21"/>
                <w:szCs w:val="21"/>
                <w:lang w:val="en-US" w:eastAsia="zh-CN"/>
              </w:rPr>
              <w:t>分；</w:t>
            </w:r>
          </w:p>
          <w:p w14:paraId="540F0247">
            <w:pPr>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（2）方案较合理、有一定针对性、一定可操作性，评审为良加</w:t>
            </w:r>
            <w:r>
              <w:rPr>
                <w:rFonts w:hint="eastAsia" w:cs="Times New Roman"/>
                <w:sz w:val="21"/>
                <w:szCs w:val="21"/>
                <w:lang w:val="en-US" w:eastAsia="zh-CN"/>
              </w:rPr>
              <w:t>2</w:t>
            </w:r>
            <w:r>
              <w:rPr>
                <w:rFonts w:hint="default" w:ascii="Times New Roman" w:hAnsi="Times New Roman" w:cs="Times New Roman"/>
                <w:sz w:val="21"/>
                <w:szCs w:val="21"/>
                <w:lang w:val="en-US" w:eastAsia="zh-CN"/>
              </w:rPr>
              <w:t>分；</w:t>
            </w:r>
          </w:p>
          <w:p w14:paraId="1968C821">
            <w:pPr>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（3）方案较一般、针对性一般、可操作性一般，评审为中加1分；</w:t>
            </w:r>
          </w:p>
          <w:p w14:paraId="017A299A">
            <w:pPr>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（4）方案较差、针对性、无可操作性，评审为差不加分。</w:t>
            </w:r>
          </w:p>
        </w:tc>
      </w:tr>
      <w:tr w14:paraId="792AA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tcPr>
          <w:p w14:paraId="2F8301B3">
            <w:pPr>
              <w:rPr>
                <w:vertAlign w:val="baseline"/>
              </w:rPr>
            </w:pPr>
          </w:p>
        </w:tc>
        <w:tc>
          <w:tcPr>
            <w:tcW w:w="990" w:type="dxa"/>
            <w:vAlign w:val="center"/>
          </w:tcPr>
          <w:p w14:paraId="63E43E15">
            <w:pPr>
              <w:jc w:val="center"/>
              <w:rPr>
                <w:rFonts w:hint="eastAsia" w:eastAsia="宋体"/>
                <w:vertAlign w:val="baseline"/>
                <w:lang w:val="en-US" w:eastAsia="zh-CN"/>
              </w:rPr>
            </w:pPr>
            <w:r>
              <w:rPr>
                <w:rFonts w:hint="eastAsia"/>
                <w:vertAlign w:val="baseline"/>
                <w:lang w:val="en-US" w:eastAsia="zh-CN"/>
              </w:rPr>
              <w:t>3</w:t>
            </w:r>
          </w:p>
        </w:tc>
        <w:tc>
          <w:tcPr>
            <w:tcW w:w="1545" w:type="dxa"/>
            <w:vAlign w:val="center"/>
          </w:tcPr>
          <w:p w14:paraId="71A43C45">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项目重难点分析、应对措施及合理化建议</w:t>
            </w:r>
          </w:p>
        </w:tc>
        <w:tc>
          <w:tcPr>
            <w:tcW w:w="870" w:type="dxa"/>
            <w:vAlign w:val="center"/>
          </w:tcPr>
          <w:p w14:paraId="56C59740">
            <w:pPr>
              <w:jc w:val="center"/>
              <w:rPr>
                <w:rFonts w:hint="default" w:ascii="Times New Roman" w:hAnsi="Times New Roman" w:cs="Times New Roman"/>
                <w:sz w:val="21"/>
                <w:szCs w:val="21"/>
                <w:lang w:val="en-US" w:eastAsia="zh-CN"/>
              </w:rPr>
            </w:pPr>
            <w:r>
              <w:rPr>
                <w:rFonts w:hint="eastAsia" w:cs="Times New Roman"/>
                <w:sz w:val="21"/>
                <w:szCs w:val="21"/>
                <w:lang w:val="en-US" w:eastAsia="zh-CN"/>
              </w:rPr>
              <w:t>10</w:t>
            </w:r>
          </w:p>
        </w:tc>
        <w:tc>
          <w:tcPr>
            <w:tcW w:w="5635" w:type="dxa"/>
          </w:tcPr>
          <w:p w14:paraId="3AA5D566">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（一）评分内容：</w:t>
            </w:r>
          </w:p>
          <w:p w14:paraId="5EF4642C">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投标供应商详细说明</w:t>
            </w:r>
            <w:r>
              <w:rPr>
                <w:rFonts w:hint="eastAsia" w:ascii="宋体" w:hAnsi="宋体" w:cs="宋体"/>
                <w:color w:val="auto"/>
                <w:sz w:val="21"/>
                <w:szCs w:val="21"/>
                <w:highlight w:val="none"/>
                <w:lang w:val="en-US" w:eastAsia="zh-CN"/>
              </w:rPr>
              <w:t>建设工程</w:t>
            </w:r>
            <w:r>
              <w:rPr>
                <w:rFonts w:hint="eastAsia" w:ascii="Times New Roman" w:hAnsi="Times New Roman" w:cs="Times New Roman"/>
                <w:sz w:val="21"/>
                <w:szCs w:val="21"/>
                <w:lang w:val="en-US" w:eastAsia="zh-CN"/>
              </w:rPr>
              <w:t>项目</w:t>
            </w:r>
            <w:r>
              <w:rPr>
                <w:rFonts w:hint="eastAsia" w:ascii="宋体" w:hAnsi="宋体" w:cs="宋体"/>
                <w:color w:val="auto"/>
                <w:sz w:val="21"/>
                <w:szCs w:val="21"/>
                <w:highlight w:val="none"/>
                <w:lang w:val="en-US" w:eastAsia="zh-CN"/>
              </w:rPr>
              <w:t>招标代理</w:t>
            </w:r>
            <w:r>
              <w:rPr>
                <w:rFonts w:hint="eastAsia" w:ascii="Times New Roman" w:hAnsi="Times New Roman" w:cs="Times New Roman"/>
                <w:sz w:val="21"/>
                <w:szCs w:val="21"/>
                <w:lang w:val="en-US" w:eastAsia="zh-CN"/>
              </w:rPr>
              <w:t>重点难点分析、应对措施及相关的合理化建议等问题进行分析</w:t>
            </w:r>
            <w:r>
              <w:rPr>
                <w:rFonts w:hint="eastAsia" w:cs="Times New Roman"/>
                <w:sz w:val="21"/>
                <w:szCs w:val="21"/>
                <w:lang w:val="en-US" w:eastAsia="zh-CN"/>
              </w:rPr>
              <w:t>，包括：</w:t>
            </w:r>
          </w:p>
          <w:p w14:paraId="284488A0">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w:t>
            </w:r>
            <w:r>
              <w:rPr>
                <w:rFonts w:hint="eastAsia" w:ascii="宋体" w:hAnsi="宋体" w:cs="宋体"/>
                <w:color w:val="auto"/>
                <w:sz w:val="21"/>
                <w:szCs w:val="21"/>
                <w:highlight w:val="none"/>
                <w:lang w:val="en-US" w:eastAsia="zh-CN"/>
              </w:rPr>
              <w:t>建设工程</w:t>
            </w:r>
            <w:r>
              <w:rPr>
                <w:rFonts w:hint="eastAsia" w:ascii="Times New Roman" w:hAnsi="Times New Roman" w:cs="Times New Roman"/>
                <w:sz w:val="21"/>
                <w:szCs w:val="21"/>
                <w:lang w:val="en-US" w:eastAsia="zh-CN"/>
              </w:rPr>
              <w:t>项目</w:t>
            </w:r>
            <w:r>
              <w:rPr>
                <w:rFonts w:hint="eastAsia" w:ascii="宋体" w:hAnsi="宋体" w:cs="宋体"/>
                <w:color w:val="auto"/>
                <w:sz w:val="21"/>
                <w:szCs w:val="21"/>
                <w:highlight w:val="none"/>
                <w:lang w:val="en-US" w:eastAsia="zh-CN"/>
              </w:rPr>
              <w:t>招标代理</w:t>
            </w:r>
            <w:r>
              <w:rPr>
                <w:rFonts w:hint="eastAsia" w:ascii="Times New Roman" w:hAnsi="Times New Roman" w:cs="Times New Roman"/>
                <w:sz w:val="21"/>
                <w:szCs w:val="21"/>
                <w:lang w:val="en-US" w:eastAsia="zh-CN"/>
              </w:rPr>
              <w:t>重点难点分析；</w:t>
            </w:r>
          </w:p>
          <w:p w14:paraId="5FF01FE9">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2.应对措施；</w:t>
            </w:r>
          </w:p>
          <w:p w14:paraId="74AB2A13">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3.相关的合理化建议。</w:t>
            </w:r>
          </w:p>
          <w:p w14:paraId="6DCCDA35">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（二）评分依据：</w:t>
            </w:r>
          </w:p>
          <w:p w14:paraId="2958D00C">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满足以上三个方面得5分，满足以上任意两个方面得3分，满足以上任意一个方面得1分，未满足不得分。在此基础上，评审委员会根据各投标供应商的具体响应内容进一步评审：</w:t>
            </w:r>
          </w:p>
          <w:p w14:paraId="265092EF">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优评分标准：项目重点难点分析内容齐全，对关键问题有深刻且全面的理解，正确识别并分析了项目中遇到的复杂性和挑战问题，提出的解决策略明确、具体，且针对性强的措施，建议具有前瞻性，能够预防潜在问题的，得5分；</w:t>
            </w:r>
          </w:p>
          <w:p w14:paraId="0E2D25EB">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良评分标准：项目重点难点分析内容齐全，对问题的理解较为全面，但可能缺乏深度，识别了大部分难点，但对其复杂性的理解可能不够深入，解决策略基本合适，但可能缺乏灵活性或全面性。提出了一些有益的建议，但可能不够系统和全面的，得</w:t>
            </w:r>
            <w:r>
              <w:rPr>
                <w:rFonts w:hint="eastAsia" w:cs="Times New Roman"/>
                <w:sz w:val="21"/>
                <w:szCs w:val="21"/>
                <w:lang w:val="en-US" w:eastAsia="zh-CN"/>
              </w:rPr>
              <w:t>2</w:t>
            </w:r>
            <w:r>
              <w:rPr>
                <w:rFonts w:hint="eastAsia" w:ascii="Times New Roman" w:hAnsi="Times New Roman" w:cs="Times New Roman"/>
                <w:sz w:val="21"/>
                <w:szCs w:val="21"/>
                <w:lang w:val="en-US" w:eastAsia="zh-CN"/>
              </w:rPr>
              <w:t>分；</w:t>
            </w:r>
          </w:p>
          <w:p w14:paraId="6C2BFCC9">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中评分标准：项目重点难点分析内容较为齐全，对问题的理解基本正确，但遗漏了一些重要方面，难点识别不够准确，对部分问题的复杂性有所忽视，解决策略基本可行，但可能缺乏针对性或效率，建议有一定的实用性，但可能缺乏前瞻性和创新性的，得</w:t>
            </w:r>
            <w:r>
              <w:rPr>
                <w:rFonts w:hint="eastAsia" w:cs="Times New Roman"/>
                <w:sz w:val="21"/>
                <w:szCs w:val="21"/>
                <w:lang w:val="en-US" w:eastAsia="zh-CN"/>
              </w:rPr>
              <w:t>1</w:t>
            </w:r>
            <w:r>
              <w:rPr>
                <w:rFonts w:hint="eastAsia" w:ascii="Times New Roman" w:hAnsi="Times New Roman" w:cs="Times New Roman"/>
                <w:sz w:val="21"/>
                <w:szCs w:val="21"/>
                <w:lang w:val="en-US" w:eastAsia="zh-CN"/>
              </w:rPr>
              <w:t>分；</w:t>
            </w:r>
          </w:p>
          <w:p w14:paraId="2FB71AED">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差评分标准：内容不全的（没有完整包含项目重点难点分析、应对措施及合理化建议等四部分）；对问题的理解存在明显偏差或遗漏，未能有效识别或分析项目中的难点，解决策略不明确或无法实施，建议无关紧要，缺乏实际可操作性的，得0分；</w:t>
            </w:r>
          </w:p>
          <w:p w14:paraId="7EF85B66">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备注：未提供的本项不得分</w:t>
            </w:r>
          </w:p>
        </w:tc>
      </w:tr>
      <w:tr w14:paraId="01B9A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tcPr>
          <w:p w14:paraId="04B432DB">
            <w:pPr>
              <w:rPr>
                <w:vertAlign w:val="baseline"/>
              </w:rPr>
            </w:pPr>
          </w:p>
        </w:tc>
        <w:tc>
          <w:tcPr>
            <w:tcW w:w="990" w:type="dxa"/>
            <w:vAlign w:val="center"/>
          </w:tcPr>
          <w:p w14:paraId="35A5CD45">
            <w:pPr>
              <w:jc w:val="center"/>
              <w:rPr>
                <w:rFonts w:hint="default"/>
                <w:vertAlign w:val="baseline"/>
                <w:lang w:val="en-US" w:eastAsia="zh-CN"/>
              </w:rPr>
            </w:pPr>
            <w:r>
              <w:rPr>
                <w:rFonts w:hint="eastAsia"/>
                <w:vertAlign w:val="baseline"/>
                <w:lang w:val="en-US" w:eastAsia="zh-CN"/>
              </w:rPr>
              <w:t>4</w:t>
            </w:r>
          </w:p>
        </w:tc>
        <w:tc>
          <w:tcPr>
            <w:tcW w:w="1545" w:type="dxa"/>
            <w:vAlign w:val="center"/>
          </w:tcPr>
          <w:p w14:paraId="629B7B87">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档案管理方案</w:t>
            </w:r>
          </w:p>
        </w:tc>
        <w:tc>
          <w:tcPr>
            <w:tcW w:w="870" w:type="dxa"/>
            <w:vAlign w:val="center"/>
          </w:tcPr>
          <w:p w14:paraId="7A5D461E">
            <w:pPr>
              <w:jc w:val="center"/>
              <w:rPr>
                <w:rFonts w:hint="default" w:cs="Times New Roman"/>
                <w:sz w:val="21"/>
                <w:szCs w:val="21"/>
                <w:lang w:val="en-US" w:eastAsia="zh-CN"/>
              </w:rPr>
            </w:pPr>
            <w:r>
              <w:rPr>
                <w:rFonts w:hint="eastAsia" w:cs="Times New Roman"/>
                <w:sz w:val="21"/>
                <w:szCs w:val="21"/>
                <w:lang w:val="en-US" w:eastAsia="zh-CN"/>
              </w:rPr>
              <w:t>10</w:t>
            </w:r>
          </w:p>
        </w:tc>
        <w:tc>
          <w:tcPr>
            <w:tcW w:w="5635" w:type="dxa"/>
          </w:tcPr>
          <w:p w14:paraId="1A077D13">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（一）评审内容：</w:t>
            </w:r>
          </w:p>
          <w:p w14:paraId="311A7CA3">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1.考察投标人</w:t>
            </w:r>
            <w:r>
              <w:rPr>
                <w:rFonts w:hint="eastAsia" w:ascii="宋体" w:hAnsi="宋体" w:cs="宋体"/>
                <w:color w:val="auto"/>
                <w:sz w:val="21"/>
                <w:szCs w:val="21"/>
                <w:highlight w:val="none"/>
                <w:lang w:val="en-US" w:eastAsia="zh-CN"/>
              </w:rPr>
              <w:t>建设工程项目招标</w:t>
            </w:r>
            <w:r>
              <w:rPr>
                <w:rFonts w:hint="eastAsia" w:ascii="Times New Roman" w:hAnsi="Times New Roman" w:cs="Times New Roman"/>
                <w:sz w:val="21"/>
                <w:szCs w:val="21"/>
                <w:lang w:val="en-US" w:eastAsia="zh-CN"/>
              </w:rPr>
              <w:t>档案管理方案（包括但不限于：档案管理完整性、条理性、信息安全、检索方便性等）；</w:t>
            </w:r>
          </w:p>
          <w:p w14:paraId="511B6B70">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（二）评分标准：</w:t>
            </w:r>
          </w:p>
          <w:p w14:paraId="22DFB13C">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满足以上</w:t>
            </w:r>
            <w:r>
              <w:rPr>
                <w:rFonts w:hint="eastAsia" w:cs="Times New Roman"/>
                <w:sz w:val="21"/>
                <w:szCs w:val="21"/>
                <w:lang w:val="en-US" w:eastAsia="zh-CN"/>
              </w:rPr>
              <w:t>内容</w:t>
            </w:r>
            <w:r>
              <w:rPr>
                <w:rFonts w:hint="eastAsia" w:ascii="Times New Roman" w:hAnsi="Times New Roman" w:cs="Times New Roman"/>
                <w:sz w:val="21"/>
                <w:szCs w:val="21"/>
                <w:lang w:val="en-US" w:eastAsia="zh-CN"/>
              </w:rPr>
              <w:t>得</w:t>
            </w:r>
            <w:r>
              <w:rPr>
                <w:rFonts w:hint="eastAsia" w:cs="Times New Roman"/>
                <w:sz w:val="21"/>
                <w:szCs w:val="21"/>
                <w:lang w:val="en-US" w:eastAsia="zh-CN"/>
              </w:rPr>
              <w:t>5</w:t>
            </w:r>
            <w:r>
              <w:rPr>
                <w:rFonts w:hint="eastAsia" w:ascii="Times New Roman" w:hAnsi="Times New Roman" w:cs="Times New Roman"/>
                <w:sz w:val="21"/>
                <w:szCs w:val="21"/>
                <w:lang w:val="en-US" w:eastAsia="zh-CN"/>
              </w:rPr>
              <w:t>分，未满足不得分。在此基础上，评审委员会根据各投标供应商的具体响应内容进一步评审：</w:t>
            </w:r>
          </w:p>
          <w:p w14:paraId="260C4D6E">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1.方案包含以上要求内容，表述清晰，可操作性强，档案样例资料目录清晰、资料齐全、条理有序得5分；</w:t>
            </w:r>
          </w:p>
          <w:p w14:paraId="02EBAA06">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2.方案包含以上内容，表述较清晰，可操作性较强，档案样例资料目录较清晰、资料较齐全得</w:t>
            </w:r>
            <w:r>
              <w:rPr>
                <w:rFonts w:hint="eastAsia" w:cs="Times New Roman"/>
                <w:sz w:val="21"/>
                <w:szCs w:val="21"/>
                <w:lang w:val="en-US" w:eastAsia="zh-CN"/>
              </w:rPr>
              <w:t>2</w:t>
            </w:r>
            <w:r>
              <w:rPr>
                <w:rFonts w:hint="eastAsia" w:ascii="Times New Roman" w:hAnsi="Times New Roman" w:cs="Times New Roman"/>
                <w:sz w:val="21"/>
                <w:szCs w:val="21"/>
                <w:lang w:val="en-US" w:eastAsia="zh-CN"/>
              </w:rPr>
              <w:t>分；</w:t>
            </w:r>
          </w:p>
          <w:p w14:paraId="3001D3DC">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3.方案表述较差，不具可操作性，档案样例资料总体差不得分。</w:t>
            </w:r>
          </w:p>
        </w:tc>
      </w:tr>
      <w:tr w14:paraId="5A27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tcPr>
          <w:p w14:paraId="005FB6AF">
            <w:pPr>
              <w:rPr>
                <w:vertAlign w:val="baseline"/>
              </w:rPr>
            </w:pPr>
          </w:p>
        </w:tc>
        <w:tc>
          <w:tcPr>
            <w:tcW w:w="990" w:type="dxa"/>
            <w:vAlign w:val="center"/>
          </w:tcPr>
          <w:p w14:paraId="57162F51">
            <w:pPr>
              <w:jc w:val="center"/>
              <w:rPr>
                <w:rFonts w:hint="default"/>
                <w:vertAlign w:val="baseline"/>
                <w:lang w:val="en-US" w:eastAsia="zh-CN"/>
              </w:rPr>
            </w:pPr>
            <w:r>
              <w:rPr>
                <w:rFonts w:hint="eastAsia"/>
                <w:vertAlign w:val="baseline"/>
                <w:lang w:val="en-US" w:eastAsia="zh-CN"/>
              </w:rPr>
              <w:t>5</w:t>
            </w:r>
          </w:p>
        </w:tc>
        <w:tc>
          <w:tcPr>
            <w:tcW w:w="1545" w:type="dxa"/>
            <w:vAlign w:val="center"/>
          </w:tcPr>
          <w:p w14:paraId="52A0D65E">
            <w:pPr>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内部控制方案</w:t>
            </w:r>
          </w:p>
        </w:tc>
        <w:tc>
          <w:tcPr>
            <w:tcW w:w="870" w:type="dxa"/>
            <w:vAlign w:val="center"/>
          </w:tcPr>
          <w:p w14:paraId="0768B281">
            <w:pPr>
              <w:jc w:val="center"/>
              <w:rPr>
                <w:rFonts w:hint="default" w:cs="Times New Roman"/>
                <w:sz w:val="21"/>
                <w:szCs w:val="21"/>
                <w:lang w:val="en-US" w:eastAsia="zh-CN"/>
              </w:rPr>
            </w:pPr>
            <w:r>
              <w:rPr>
                <w:rFonts w:hint="eastAsia" w:cs="Times New Roman"/>
                <w:sz w:val="21"/>
                <w:szCs w:val="21"/>
                <w:lang w:val="en-US" w:eastAsia="zh-CN"/>
              </w:rPr>
              <w:t>10</w:t>
            </w:r>
          </w:p>
        </w:tc>
        <w:tc>
          <w:tcPr>
            <w:tcW w:w="5635" w:type="dxa"/>
          </w:tcPr>
          <w:p w14:paraId="3854F4CB">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（一）评审内容：</w:t>
            </w:r>
          </w:p>
          <w:p w14:paraId="775B552A">
            <w:pPr>
              <w:keepNext w:val="0"/>
              <w:keepLines w:val="0"/>
              <w:numPr>
                <w:ilvl w:val="0"/>
                <w:numId w:val="0"/>
              </w:numPr>
              <w:suppressLineNumbers w:val="0"/>
              <w:spacing w:before="0" w:beforeAutospacing="0" w:after="0" w:afterAutospacing="0"/>
              <w:ind w:left="0" w:leftChars="0" w:right="0"/>
              <w:jc w:val="left"/>
              <w:rPr>
                <w:rFonts w:hint="eastAsia" w:cs="Times New Roman"/>
                <w:sz w:val="21"/>
                <w:szCs w:val="21"/>
                <w:lang w:val="en-US" w:eastAsia="zh-CN"/>
              </w:rPr>
            </w:pPr>
            <w:r>
              <w:rPr>
                <w:rFonts w:hint="eastAsia" w:ascii="Times New Roman" w:hAnsi="Times New Roman" w:cs="Times New Roman"/>
                <w:sz w:val="21"/>
                <w:szCs w:val="21"/>
                <w:lang w:val="en-US" w:eastAsia="zh-CN"/>
              </w:rPr>
              <w:t>投标人针对本项目要求</w:t>
            </w:r>
            <w:r>
              <w:rPr>
                <w:rFonts w:hint="eastAsia" w:cs="Times New Roman"/>
                <w:sz w:val="21"/>
                <w:szCs w:val="21"/>
                <w:lang w:val="en-US" w:eastAsia="zh-CN"/>
              </w:rPr>
              <w:t>提供</w:t>
            </w:r>
            <w:r>
              <w:rPr>
                <w:rFonts w:hint="eastAsia" w:ascii="宋体" w:hAnsi="宋体" w:cs="宋体"/>
                <w:color w:val="auto"/>
                <w:sz w:val="21"/>
                <w:szCs w:val="21"/>
                <w:highlight w:val="none"/>
                <w:lang w:val="en-US" w:eastAsia="zh-CN"/>
              </w:rPr>
              <w:t>建设工程招标项目</w:t>
            </w:r>
            <w:r>
              <w:rPr>
                <w:rFonts w:hint="eastAsia" w:ascii="Times New Roman" w:hAnsi="Times New Roman" w:cs="Times New Roman"/>
                <w:sz w:val="21"/>
                <w:szCs w:val="21"/>
                <w:lang w:val="en-US" w:eastAsia="zh-CN"/>
              </w:rPr>
              <w:t>内部控制方案</w:t>
            </w:r>
            <w:r>
              <w:rPr>
                <w:rFonts w:hint="eastAsia" w:cs="Times New Roman"/>
                <w:sz w:val="21"/>
                <w:szCs w:val="21"/>
                <w:lang w:val="en-US" w:eastAsia="zh-CN"/>
              </w:rPr>
              <w:t>，包括以下内容：</w:t>
            </w:r>
          </w:p>
          <w:p w14:paraId="29A31571">
            <w:pPr>
              <w:keepNext w:val="0"/>
              <w:keepLines w:val="0"/>
              <w:numPr>
                <w:ilvl w:val="0"/>
                <w:numId w:val="1"/>
              </w:numPr>
              <w:suppressLineNumbers w:val="0"/>
              <w:spacing w:before="0" w:beforeAutospacing="0" w:after="0" w:afterAutospacing="0"/>
              <w:ind w:left="0" w:leftChars="0" w:right="0"/>
              <w:jc w:val="left"/>
              <w:rPr>
                <w:rFonts w:hint="eastAsia" w:cs="Times New Roman"/>
                <w:sz w:val="21"/>
                <w:szCs w:val="21"/>
                <w:lang w:val="en-US" w:eastAsia="zh-CN"/>
              </w:rPr>
            </w:pPr>
            <w:r>
              <w:rPr>
                <w:rFonts w:hint="eastAsia" w:cs="Times New Roman"/>
                <w:sz w:val="21"/>
                <w:szCs w:val="21"/>
                <w:lang w:val="en-US" w:eastAsia="zh-CN"/>
              </w:rPr>
              <w:t>投标人</w:t>
            </w:r>
            <w:r>
              <w:rPr>
                <w:rFonts w:hint="eastAsia" w:ascii="Times New Roman" w:hAnsi="Times New Roman" w:cs="Times New Roman"/>
                <w:sz w:val="21"/>
                <w:szCs w:val="21"/>
                <w:lang w:val="en-US" w:eastAsia="zh-CN"/>
              </w:rPr>
              <w:t>内部</w:t>
            </w:r>
            <w:r>
              <w:rPr>
                <w:rFonts w:hint="eastAsia" w:cs="Times New Roman"/>
                <w:sz w:val="21"/>
                <w:szCs w:val="21"/>
                <w:lang w:val="en-US" w:eastAsia="zh-CN"/>
              </w:rPr>
              <w:t>建设工程</w:t>
            </w:r>
            <w:r>
              <w:rPr>
                <w:rFonts w:hint="eastAsia" w:ascii="Times New Roman" w:hAnsi="Times New Roman" w:cs="Times New Roman"/>
                <w:sz w:val="21"/>
                <w:szCs w:val="21"/>
                <w:lang w:val="en-US" w:eastAsia="zh-CN"/>
              </w:rPr>
              <w:t>招标规范</w:t>
            </w:r>
            <w:r>
              <w:rPr>
                <w:rFonts w:hint="eastAsia" w:cs="Times New Roman"/>
                <w:sz w:val="21"/>
                <w:szCs w:val="21"/>
                <w:lang w:val="en-US" w:eastAsia="zh-CN"/>
              </w:rPr>
              <w:t>；</w:t>
            </w:r>
          </w:p>
          <w:p w14:paraId="303298E3">
            <w:pPr>
              <w:keepNext w:val="0"/>
              <w:keepLines w:val="0"/>
              <w:numPr>
                <w:ilvl w:val="0"/>
                <w:numId w:val="1"/>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cs="Times New Roman"/>
                <w:sz w:val="21"/>
                <w:szCs w:val="21"/>
                <w:lang w:val="en-US" w:eastAsia="zh-CN"/>
              </w:rPr>
              <w:t>投标人</w:t>
            </w:r>
            <w:r>
              <w:rPr>
                <w:rFonts w:hint="eastAsia" w:ascii="Times New Roman" w:hAnsi="Times New Roman" w:cs="Times New Roman"/>
                <w:sz w:val="21"/>
                <w:szCs w:val="21"/>
                <w:lang w:val="en-US" w:eastAsia="zh-CN"/>
              </w:rPr>
              <w:t>内部</w:t>
            </w:r>
            <w:r>
              <w:rPr>
                <w:rFonts w:hint="eastAsia" w:cs="Times New Roman"/>
                <w:sz w:val="21"/>
                <w:szCs w:val="21"/>
                <w:lang w:val="en-US" w:eastAsia="zh-CN"/>
              </w:rPr>
              <w:t>建设工程招标</w:t>
            </w:r>
            <w:r>
              <w:rPr>
                <w:rFonts w:hint="eastAsia" w:ascii="Times New Roman" w:hAnsi="Times New Roman" w:cs="Times New Roman"/>
                <w:sz w:val="21"/>
                <w:szCs w:val="21"/>
                <w:lang w:val="en-US" w:eastAsia="zh-CN"/>
              </w:rPr>
              <w:t>工作指引阐述</w:t>
            </w:r>
            <w:r>
              <w:rPr>
                <w:rFonts w:hint="eastAsia" w:cs="Times New Roman"/>
                <w:sz w:val="21"/>
                <w:szCs w:val="21"/>
                <w:lang w:val="en-US" w:eastAsia="zh-CN"/>
              </w:rPr>
              <w:t>；</w:t>
            </w:r>
          </w:p>
          <w:p w14:paraId="19DCE35F">
            <w:pPr>
              <w:keepNext w:val="0"/>
              <w:keepLines w:val="0"/>
              <w:numPr>
                <w:ilvl w:val="0"/>
                <w:numId w:val="1"/>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cs="Times New Roman"/>
                <w:sz w:val="21"/>
                <w:szCs w:val="21"/>
                <w:lang w:val="en-US" w:eastAsia="zh-CN"/>
              </w:rPr>
              <w:t>内部控制方案的实施</w:t>
            </w:r>
          </w:p>
          <w:p w14:paraId="4E3CF3E3">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（二）评分标准：</w:t>
            </w:r>
          </w:p>
          <w:p w14:paraId="7C7CA7CC">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满足以上</w:t>
            </w:r>
            <w:r>
              <w:rPr>
                <w:rFonts w:hint="eastAsia" w:cs="Times New Roman"/>
                <w:sz w:val="21"/>
                <w:szCs w:val="21"/>
                <w:lang w:val="en-US" w:eastAsia="zh-CN"/>
              </w:rPr>
              <w:t>内容</w:t>
            </w:r>
            <w:r>
              <w:rPr>
                <w:rFonts w:hint="eastAsia" w:ascii="Times New Roman" w:hAnsi="Times New Roman" w:cs="Times New Roman"/>
                <w:sz w:val="21"/>
                <w:szCs w:val="21"/>
                <w:lang w:val="en-US" w:eastAsia="zh-CN"/>
              </w:rPr>
              <w:t>得</w:t>
            </w:r>
            <w:r>
              <w:rPr>
                <w:rFonts w:hint="eastAsia" w:cs="Times New Roman"/>
                <w:sz w:val="21"/>
                <w:szCs w:val="21"/>
                <w:lang w:val="en-US" w:eastAsia="zh-CN"/>
              </w:rPr>
              <w:t>5</w:t>
            </w:r>
            <w:r>
              <w:rPr>
                <w:rFonts w:hint="eastAsia" w:ascii="Times New Roman" w:hAnsi="Times New Roman" w:cs="Times New Roman"/>
                <w:sz w:val="21"/>
                <w:szCs w:val="21"/>
                <w:lang w:val="en-US" w:eastAsia="zh-CN"/>
              </w:rPr>
              <w:t>分，未满足不得分。在此基础上，评审委员会根据各投标供应商的具体响应内容进一步评审：</w:t>
            </w:r>
          </w:p>
          <w:p w14:paraId="6189AA0F">
            <w:pPr>
              <w:keepNext w:val="0"/>
              <w:keepLines w:val="0"/>
              <w:numPr>
                <w:ilvl w:val="0"/>
                <w:numId w:val="2"/>
              </w:numPr>
              <w:suppressLineNumbers w:val="0"/>
              <w:spacing w:before="0" w:beforeAutospacing="0" w:after="0" w:afterAutospacing="0"/>
              <w:ind w:left="0" w:leftChars="0" w:right="0"/>
              <w:jc w:val="left"/>
              <w:rPr>
                <w:rFonts w:hint="eastAsia" w:cs="Times New Roman"/>
                <w:sz w:val="21"/>
                <w:szCs w:val="21"/>
                <w:lang w:val="en-US" w:eastAsia="zh-CN"/>
              </w:rPr>
            </w:pPr>
            <w:r>
              <w:rPr>
                <w:rFonts w:hint="eastAsia" w:cs="Times New Roman"/>
                <w:sz w:val="21"/>
                <w:szCs w:val="21"/>
                <w:lang w:val="en-US" w:eastAsia="zh-CN"/>
              </w:rPr>
              <w:t>招标规范及工作指引覆盖全面，逻辑严密；</w:t>
            </w:r>
          </w:p>
          <w:p w14:paraId="4805C724">
            <w:pPr>
              <w:keepNext w:val="0"/>
              <w:keepLines w:val="0"/>
              <w:numPr>
                <w:ilvl w:val="0"/>
                <w:numId w:val="2"/>
              </w:numPr>
              <w:suppressLineNumbers w:val="0"/>
              <w:spacing w:before="0" w:beforeAutospacing="0" w:after="0" w:afterAutospacing="0"/>
              <w:ind w:left="0" w:leftChars="0" w:right="0"/>
              <w:jc w:val="left"/>
              <w:rPr>
                <w:rFonts w:hint="default" w:ascii="Times New Roman" w:hAnsi="Times New Roman" w:cs="Times New Roman"/>
                <w:sz w:val="21"/>
                <w:szCs w:val="21"/>
                <w:lang w:val="en-US" w:eastAsia="zh-CN"/>
              </w:rPr>
            </w:pPr>
            <w:r>
              <w:rPr>
                <w:rFonts w:hint="eastAsia" w:cs="Times New Roman"/>
                <w:sz w:val="21"/>
                <w:szCs w:val="21"/>
                <w:lang w:val="en-US" w:eastAsia="zh-CN"/>
              </w:rPr>
              <w:t>内部控制权责分明，职责清晰。</w:t>
            </w:r>
          </w:p>
          <w:p w14:paraId="4B855ACA">
            <w:pPr>
              <w:keepNext w:val="0"/>
              <w:keepLines w:val="0"/>
              <w:numPr>
                <w:ilvl w:val="0"/>
                <w:numId w:val="2"/>
              </w:numPr>
              <w:suppressLineNumbers w:val="0"/>
              <w:spacing w:before="0" w:beforeAutospacing="0" w:after="0" w:afterAutospacing="0"/>
              <w:ind w:left="0" w:leftChars="0" w:right="0"/>
              <w:jc w:val="left"/>
              <w:rPr>
                <w:rFonts w:hint="default" w:ascii="Times New Roman" w:hAnsi="Times New Roman" w:cs="Times New Roman"/>
                <w:sz w:val="21"/>
                <w:szCs w:val="21"/>
                <w:lang w:val="en-US" w:eastAsia="zh-CN"/>
              </w:rPr>
            </w:pPr>
            <w:r>
              <w:rPr>
                <w:rFonts w:hint="eastAsia" w:cs="Times New Roman"/>
                <w:sz w:val="21"/>
                <w:szCs w:val="21"/>
                <w:lang w:val="en-US" w:eastAsia="zh-CN"/>
              </w:rPr>
              <w:t>内部控制方案的实施合理可行。</w:t>
            </w:r>
          </w:p>
          <w:p w14:paraId="0163C5BB">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优秀：满足以上</w:t>
            </w:r>
            <w:r>
              <w:rPr>
                <w:rFonts w:hint="eastAsia" w:cs="Times New Roman"/>
                <w:sz w:val="21"/>
                <w:szCs w:val="21"/>
                <w:lang w:val="en-US" w:eastAsia="zh-CN"/>
              </w:rPr>
              <w:t>三</w:t>
            </w:r>
            <w:r>
              <w:rPr>
                <w:rFonts w:hint="eastAsia" w:ascii="Times New Roman" w:hAnsi="Times New Roman" w:cs="Times New Roman"/>
                <w:sz w:val="21"/>
                <w:szCs w:val="21"/>
                <w:lang w:val="en-US" w:eastAsia="zh-CN"/>
              </w:rPr>
              <w:t>项内容及标准要求的，得</w:t>
            </w:r>
            <w:r>
              <w:rPr>
                <w:rFonts w:hint="eastAsia" w:cs="Times New Roman"/>
                <w:sz w:val="21"/>
                <w:szCs w:val="21"/>
                <w:lang w:val="en-US" w:eastAsia="zh-CN"/>
              </w:rPr>
              <w:t>5</w:t>
            </w:r>
            <w:r>
              <w:rPr>
                <w:rFonts w:hint="eastAsia" w:ascii="Times New Roman" w:hAnsi="Times New Roman" w:cs="Times New Roman"/>
                <w:sz w:val="21"/>
                <w:szCs w:val="21"/>
                <w:lang w:val="en-US" w:eastAsia="zh-CN"/>
              </w:rPr>
              <w:t>分；</w:t>
            </w:r>
          </w:p>
          <w:p w14:paraId="40F988B0">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良好：满足以上</w:t>
            </w:r>
            <w:r>
              <w:rPr>
                <w:rFonts w:hint="eastAsia" w:cs="Times New Roman"/>
                <w:sz w:val="21"/>
                <w:szCs w:val="21"/>
                <w:lang w:val="en-US" w:eastAsia="zh-CN"/>
              </w:rPr>
              <w:t>二</w:t>
            </w:r>
            <w:r>
              <w:rPr>
                <w:rFonts w:hint="eastAsia" w:ascii="Times New Roman" w:hAnsi="Times New Roman" w:cs="Times New Roman"/>
                <w:sz w:val="21"/>
                <w:szCs w:val="21"/>
                <w:lang w:val="en-US" w:eastAsia="zh-CN"/>
              </w:rPr>
              <w:t>项内容及标准要求的，得</w:t>
            </w:r>
            <w:r>
              <w:rPr>
                <w:rFonts w:hint="eastAsia" w:cs="Times New Roman"/>
                <w:sz w:val="21"/>
                <w:szCs w:val="21"/>
                <w:lang w:val="en-US" w:eastAsia="zh-CN"/>
              </w:rPr>
              <w:t>2</w:t>
            </w:r>
            <w:r>
              <w:rPr>
                <w:rFonts w:hint="eastAsia" w:ascii="Times New Roman" w:hAnsi="Times New Roman" w:cs="Times New Roman"/>
                <w:sz w:val="21"/>
                <w:szCs w:val="21"/>
                <w:lang w:val="en-US" w:eastAsia="zh-CN"/>
              </w:rPr>
              <w:t>分；</w:t>
            </w:r>
          </w:p>
          <w:p w14:paraId="6F8EBEF1">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中等：满足以上</w:t>
            </w:r>
            <w:r>
              <w:rPr>
                <w:rFonts w:hint="eastAsia" w:cs="Times New Roman"/>
                <w:sz w:val="21"/>
                <w:szCs w:val="21"/>
                <w:lang w:val="en-US" w:eastAsia="zh-CN"/>
              </w:rPr>
              <w:t>一</w:t>
            </w:r>
            <w:r>
              <w:rPr>
                <w:rFonts w:hint="eastAsia" w:ascii="Times New Roman" w:hAnsi="Times New Roman" w:cs="Times New Roman"/>
                <w:sz w:val="21"/>
                <w:szCs w:val="21"/>
                <w:lang w:val="en-US" w:eastAsia="zh-CN"/>
              </w:rPr>
              <w:t>项内容及标准要求的，得</w:t>
            </w:r>
            <w:r>
              <w:rPr>
                <w:rFonts w:hint="eastAsia" w:cs="Times New Roman"/>
                <w:sz w:val="21"/>
                <w:szCs w:val="21"/>
                <w:lang w:val="en-US" w:eastAsia="zh-CN"/>
              </w:rPr>
              <w:t>1</w:t>
            </w:r>
            <w:r>
              <w:rPr>
                <w:rFonts w:hint="eastAsia" w:ascii="Times New Roman" w:hAnsi="Times New Roman" w:cs="Times New Roman"/>
                <w:sz w:val="21"/>
                <w:szCs w:val="21"/>
                <w:lang w:val="en-US" w:eastAsia="zh-CN"/>
              </w:rPr>
              <w:t>分；</w:t>
            </w:r>
          </w:p>
          <w:p w14:paraId="5A27AF81">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差等：上述情况之外的，不得分。</w:t>
            </w:r>
          </w:p>
        </w:tc>
      </w:tr>
      <w:tr w14:paraId="5EE7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14" w:type="dxa"/>
            <w:vAlign w:val="center"/>
          </w:tcPr>
          <w:p w14:paraId="3632BCE1">
            <w:pPr>
              <w:jc w:val="center"/>
              <w:rPr>
                <w:rFonts w:hint="eastAsia"/>
                <w:b/>
                <w:sz w:val="21"/>
                <w:szCs w:val="21"/>
                <w:lang w:val="en-US" w:eastAsia="zh-CN"/>
              </w:rPr>
            </w:pPr>
            <w:r>
              <w:rPr>
                <w:rFonts w:hint="eastAsia"/>
                <w:b/>
                <w:sz w:val="21"/>
                <w:szCs w:val="21"/>
                <w:lang w:val="en-US" w:eastAsia="zh-CN"/>
              </w:rPr>
              <w:t>3</w:t>
            </w:r>
          </w:p>
        </w:tc>
        <w:tc>
          <w:tcPr>
            <w:tcW w:w="3405" w:type="dxa"/>
            <w:gridSpan w:val="3"/>
            <w:vAlign w:val="center"/>
          </w:tcPr>
          <w:p w14:paraId="02FC4A46">
            <w:pPr>
              <w:jc w:val="center"/>
              <w:rPr>
                <w:rFonts w:hint="eastAsia"/>
                <w:b/>
                <w:sz w:val="21"/>
                <w:szCs w:val="21"/>
                <w:lang w:val="en-US" w:eastAsia="zh-CN"/>
              </w:rPr>
            </w:pPr>
            <w:r>
              <w:rPr>
                <w:rFonts w:hint="eastAsia"/>
                <w:b/>
                <w:sz w:val="21"/>
                <w:szCs w:val="21"/>
                <w:lang w:val="en-US" w:eastAsia="zh-CN"/>
              </w:rPr>
              <w:t>综合实力</w:t>
            </w:r>
          </w:p>
        </w:tc>
        <w:tc>
          <w:tcPr>
            <w:tcW w:w="5635" w:type="dxa"/>
            <w:vAlign w:val="center"/>
          </w:tcPr>
          <w:p w14:paraId="495DA655">
            <w:pPr>
              <w:jc w:val="center"/>
              <w:rPr>
                <w:rFonts w:hint="default"/>
                <w:b/>
                <w:sz w:val="21"/>
                <w:szCs w:val="21"/>
                <w:lang w:val="en-US" w:eastAsia="zh-CN"/>
              </w:rPr>
            </w:pPr>
            <w:r>
              <w:rPr>
                <w:rFonts w:hint="eastAsia"/>
                <w:b/>
                <w:sz w:val="21"/>
                <w:szCs w:val="21"/>
                <w:lang w:val="en-US" w:eastAsia="zh-CN"/>
              </w:rPr>
              <w:t>35</w:t>
            </w:r>
          </w:p>
        </w:tc>
      </w:tr>
      <w:tr w14:paraId="3944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14" w:type="dxa"/>
            <w:vMerge w:val="restart"/>
          </w:tcPr>
          <w:p w14:paraId="6378520B">
            <w:pPr>
              <w:rPr>
                <w:vertAlign w:val="baseline"/>
              </w:rPr>
            </w:pPr>
          </w:p>
        </w:tc>
        <w:tc>
          <w:tcPr>
            <w:tcW w:w="990" w:type="dxa"/>
            <w:vAlign w:val="center"/>
          </w:tcPr>
          <w:p w14:paraId="7895569D">
            <w:pPr>
              <w:jc w:val="center"/>
              <w:rPr>
                <w:vertAlign w:val="baseline"/>
              </w:rPr>
            </w:pPr>
            <w:r>
              <w:rPr>
                <w:b/>
                <w:bCs/>
                <w:sz w:val="21"/>
                <w:szCs w:val="21"/>
              </w:rPr>
              <w:t>序号</w:t>
            </w:r>
          </w:p>
        </w:tc>
        <w:tc>
          <w:tcPr>
            <w:tcW w:w="1545" w:type="dxa"/>
            <w:vAlign w:val="center"/>
          </w:tcPr>
          <w:p w14:paraId="423896EC">
            <w:pPr>
              <w:jc w:val="center"/>
              <w:rPr>
                <w:vertAlign w:val="baseline"/>
              </w:rPr>
            </w:pPr>
            <w:r>
              <w:rPr>
                <w:b/>
                <w:bCs/>
                <w:sz w:val="21"/>
                <w:szCs w:val="21"/>
              </w:rPr>
              <w:t>评分因素</w:t>
            </w:r>
          </w:p>
        </w:tc>
        <w:tc>
          <w:tcPr>
            <w:tcW w:w="870" w:type="dxa"/>
            <w:vAlign w:val="center"/>
          </w:tcPr>
          <w:p w14:paraId="61D76958">
            <w:pPr>
              <w:jc w:val="center"/>
              <w:rPr>
                <w:vertAlign w:val="baseline"/>
              </w:rPr>
            </w:pPr>
            <w:r>
              <w:rPr>
                <w:b/>
                <w:bCs/>
                <w:sz w:val="21"/>
                <w:szCs w:val="21"/>
              </w:rPr>
              <w:t>权重</w:t>
            </w:r>
          </w:p>
        </w:tc>
        <w:tc>
          <w:tcPr>
            <w:tcW w:w="5635" w:type="dxa"/>
            <w:vAlign w:val="center"/>
          </w:tcPr>
          <w:p w14:paraId="726B3F54">
            <w:pPr>
              <w:jc w:val="center"/>
              <w:rPr>
                <w:vertAlign w:val="baseline"/>
              </w:rPr>
            </w:pPr>
            <w:r>
              <w:rPr>
                <w:b/>
                <w:bCs/>
                <w:sz w:val="21"/>
                <w:szCs w:val="21"/>
              </w:rPr>
              <w:t>评分准则</w:t>
            </w:r>
          </w:p>
        </w:tc>
      </w:tr>
      <w:tr w14:paraId="3D81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tcPr>
          <w:p w14:paraId="06F668D4">
            <w:pPr>
              <w:rPr>
                <w:vertAlign w:val="baseline"/>
              </w:rPr>
            </w:pPr>
          </w:p>
        </w:tc>
        <w:tc>
          <w:tcPr>
            <w:tcW w:w="990" w:type="dxa"/>
            <w:vAlign w:val="center"/>
          </w:tcPr>
          <w:p w14:paraId="084A9BAC">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545" w:type="dxa"/>
            <w:vAlign w:val="center"/>
          </w:tcPr>
          <w:p w14:paraId="625B375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同类项目业绩</w:t>
            </w:r>
            <w:r>
              <w:rPr>
                <w:rFonts w:hint="eastAsia" w:ascii="宋体" w:hAnsi="宋体" w:eastAsia="宋体" w:cs="宋体"/>
                <w:color w:val="auto"/>
                <w:sz w:val="21"/>
                <w:szCs w:val="21"/>
                <w:highlight w:val="none"/>
                <w:lang w:val="en-US" w:eastAsia="zh-CN"/>
              </w:rPr>
              <w:t>情况</w:t>
            </w:r>
          </w:p>
        </w:tc>
        <w:tc>
          <w:tcPr>
            <w:tcW w:w="870" w:type="dxa"/>
            <w:vAlign w:val="center"/>
          </w:tcPr>
          <w:p w14:paraId="35FF414B">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5635" w:type="dxa"/>
          </w:tcPr>
          <w:p w14:paraId="435B6E05">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（一）评分内容</w:t>
            </w:r>
            <w:r>
              <w:rPr>
                <w:rFonts w:hint="eastAsia" w:cs="Times New Roman"/>
                <w:sz w:val="21"/>
                <w:szCs w:val="21"/>
                <w:lang w:val="en-US" w:eastAsia="zh-CN"/>
              </w:rPr>
              <w:t>（2023年4月1日至今的项目业绩）</w:t>
            </w:r>
            <w:r>
              <w:rPr>
                <w:rFonts w:hint="eastAsia" w:ascii="Times New Roman" w:hAnsi="Times New Roman" w:eastAsia="宋体" w:cs="Times New Roman"/>
                <w:sz w:val="21"/>
                <w:szCs w:val="21"/>
                <w:lang w:val="en-US" w:eastAsia="zh-CN"/>
              </w:rPr>
              <w:t>：</w:t>
            </w:r>
          </w:p>
          <w:p w14:paraId="56B5F57B">
            <w:pPr>
              <w:keepNext w:val="0"/>
              <w:keepLines w:val="0"/>
              <w:numPr>
                <w:ilvl w:val="0"/>
                <w:numId w:val="0"/>
              </w:numPr>
              <w:suppressLineNumbers w:val="0"/>
              <w:spacing w:before="0" w:beforeAutospacing="0" w:after="0" w:afterAutospacing="0"/>
              <w:ind w:left="0" w:leftChars="0" w:right="0"/>
              <w:jc w:val="left"/>
              <w:rPr>
                <w:rFonts w:hint="eastAsia" w:cs="Times New Roman"/>
                <w:sz w:val="21"/>
                <w:szCs w:val="21"/>
                <w:lang w:val="en-US" w:eastAsia="zh-CN"/>
              </w:rPr>
            </w:pPr>
            <w:r>
              <w:rPr>
                <w:rFonts w:hint="eastAsia" w:cs="Times New Roman"/>
                <w:sz w:val="21"/>
                <w:szCs w:val="21"/>
                <w:lang w:val="en-US" w:eastAsia="zh-CN"/>
              </w:rPr>
              <w:t>（1）</w:t>
            </w:r>
            <w:r>
              <w:rPr>
                <w:rFonts w:hint="eastAsia" w:ascii="Times New Roman" w:hAnsi="Times New Roman" w:eastAsia="宋体" w:cs="Times New Roman"/>
                <w:sz w:val="21"/>
                <w:szCs w:val="21"/>
                <w:lang w:val="en-US" w:eastAsia="zh-CN"/>
              </w:rPr>
              <w:t>每有一项有效</w:t>
            </w:r>
            <w:r>
              <w:rPr>
                <w:rFonts w:hint="eastAsia" w:cs="Times New Roman"/>
                <w:sz w:val="21"/>
                <w:szCs w:val="21"/>
                <w:lang w:val="en-US" w:eastAsia="zh-CN"/>
              </w:rPr>
              <w:t>建设工程招标代理项目</w:t>
            </w:r>
            <w:r>
              <w:rPr>
                <w:rFonts w:hint="eastAsia" w:ascii="Times New Roman" w:hAnsi="Times New Roman" w:eastAsia="宋体" w:cs="Times New Roman"/>
                <w:sz w:val="21"/>
                <w:szCs w:val="21"/>
                <w:lang w:val="en-US" w:eastAsia="zh-CN"/>
              </w:rPr>
              <w:t>业绩，得</w:t>
            </w:r>
            <w:r>
              <w:rPr>
                <w:rFonts w:hint="eastAsia" w:cs="Times New Roman"/>
                <w:sz w:val="21"/>
                <w:szCs w:val="21"/>
                <w:lang w:val="en-US" w:eastAsia="zh-CN"/>
              </w:rPr>
              <w:t>1</w:t>
            </w:r>
            <w:r>
              <w:rPr>
                <w:rFonts w:hint="eastAsia" w:ascii="Times New Roman" w:hAnsi="Times New Roman" w:eastAsia="宋体" w:cs="Times New Roman"/>
                <w:sz w:val="21"/>
                <w:szCs w:val="21"/>
                <w:lang w:val="en-US" w:eastAsia="zh-CN"/>
              </w:rPr>
              <w:t>分，最高得</w:t>
            </w:r>
            <w:r>
              <w:rPr>
                <w:rFonts w:hint="eastAsia" w:cs="Times New Roman"/>
                <w:sz w:val="21"/>
                <w:szCs w:val="21"/>
                <w:lang w:val="en-US" w:eastAsia="zh-CN"/>
              </w:rPr>
              <w:t>6</w:t>
            </w:r>
            <w:r>
              <w:rPr>
                <w:rFonts w:hint="eastAsia" w:ascii="Times New Roman" w:hAnsi="Times New Roman" w:eastAsia="宋体" w:cs="Times New Roman"/>
                <w:sz w:val="21"/>
                <w:szCs w:val="21"/>
                <w:lang w:val="en-US" w:eastAsia="zh-CN"/>
              </w:rPr>
              <w:t>分</w:t>
            </w:r>
            <w:r>
              <w:rPr>
                <w:rFonts w:hint="eastAsia" w:cs="Times New Roman"/>
                <w:sz w:val="21"/>
                <w:szCs w:val="21"/>
                <w:lang w:val="en-US" w:eastAsia="zh-CN"/>
              </w:rPr>
              <w:t>；</w:t>
            </w:r>
          </w:p>
          <w:p w14:paraId="6E4A0BBC">
            <w:pPr>
              <w:keepNext w:val="0"/>
              <w:keepLines w:val="0"/>
              <w:numPr>
                <w:ilvl w:val="0"/>
                <w:numId w:val="0"/>
              </w:numPr>
              <w:suppressLineNumbers w:val="0"/>
              <w:spacing w:before="0" w:beforeAutospacing="0" w:after="0" w:afterAutospacing="0"/>
              <w:ind w:left="0" w:leftChars="0" w:right="0"/>
              <w:jc w:val="left"/>
              <w:rPr>
                <w:rFonts w:hint="eastAsia" w:cs="Times New Roman"/>
                <w:sz w:val="21"/>
                <w:szCs w:val="21"/>
                <w:lang w:val="en-US" w:eastAsia="zh-CN"/>
              </w:rPr>
            </w:pPr>
            <w:r>
              <w:rPr>
                <w:rFonts w:hint="eastAsia" w:cs="Times New Roman"/>
                <w:sz w:val="21"/>
                <w:szCs w:val="21"/>
                <w:lang w:val="en-US" w:eastAsia="zh-CN"/>
              </w:rPr>
              <w:t>（2）</w:t>
            </w:r>
            <w:r>
              <w:rPr>
                <w:rFonts w:hint="eastAsia" w:ascii="Times New Roman" w:hAnsi="Times New Roman" w:eastAsia="宋体" w:cs="Times New Roman"/>
                <w:sz w:val="21"/>
                <w:szCs w:val="21"/>
                <w:lang w:val="en-US" w:eastAsia="zh-CN"/>
              </w:rPr>
              <w:t>每有一项有效</w:t>
            </w:r>
            <w:r>
              <w:rPr>
                <w:rFonts w:hint="eastAsia" w:cs="Times New Roman"/>
                <w:sz w:val="21"/>
                <w:szCs w:val="21"/>
                <w:lang w:val="en-US" w:eastAsia="zh-CN"/>
              </w:rPr>
              <w:t>小型工程招标代理项目</w:t>
            </w:r>
            <w:r>
              <w:rPr>
                <w:rFonts w:hint="eastAsia" w:ascii="Times New Roman" w:hAnsi="Times New Roman" w:eastAsia="宋体" w:cs="Times New Roman"/>
                <w:sz w:val="21"/>
                <w:szCs w:val="21"/>
                <w:lang w:val="en-US" w:eastAsia="zh-CN"/>
              </w:rPr>
              <w:t>业绩，得</w:t>
            </w:r>
            <w:r>
              <w:rPr>
                <w:rFonts w:hint="eastAsia" w:cs="Times New Roman"/>
                <w:sz w:val="21"/>
                <w:szCs w:val="21"/>
                <w:lang w:val="en-US" w:eastAsia="zh-CN"/>
              </w:rPr>
              <w:t>0.5</w:t>
            </w:r>
            <w:r>
              <w:rPr>
                <w:rFonts w:hint="eastAsia" w:ascii="Times New Roman" w:hAnsi="Times New Roman" w:eastAsia="宋体" w:cs="Times New Roman"/>
                <w:sz w:val="21"/>
                <w:szCs w:val="21"/>
                <w:lang w:val="en-US" w:eastAsia="zh-CN"/>
              </w:rPr>
              <w:t>分，最高得</w:t>
            </w:r>
            <w:r>
              <w:rPr>
                <w:rFonts w:hint="eastAsia" w:cs="Times New Roman"/>
                <w:sz w:val="21"/>
                <w:szCs w:val="21"/>
                <w:lang w:val="en-US" w:eastAsia="zh-CN"/>
              </w:rPr>
              <w:t>4</w:t>
            </w:r>
            <w:r>
              <w:rPr>
                <w:rFonts w:hint="eastAsia" w:ascii="Times New Roman" w:hAnsi="Times New Roman" w:eastAsia="宋体" w:cs="Times New Roman"/>
                <w:sz w:val="21"/>
                <w:szCs w:val="21"/>
                <w:lang w:val="en-US" w:eastAsia="zh-CN"/>
              </w:rPr>
              <w:t>分</w:t>
            </w:r>
            <w:r>
              <w:rPr>
                <w:rFonts w:hint="eastAsia" w:cs="Times New Roman"/>
                <w:sz w:val="21"/>
                <w:szCs w:val="21"/>
                <w:lang w:val="en-US" w:eastAsia="zh-CN"/>
              </w:rPr>
              <w:t>；</w:t>
            </w:r>
          </w:p>
          <w:p w14:paraId="0F12946C">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不提供或者不能有效证明的，得0分。</w:t>
            </w:r>
          </w:p>
          <w:p w14:paraId="56AA3FD5">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（二）评分依据：</w:t>
            </w:r>
          </w:p>
          <w:p w14:paraId="4BF51E2F">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1.要求提供合同关键信息（含签订合同双方的单位名称、主要服务内容）作为得分依据。</w:t>
            </w:r>
          </w:p>
          <w:p w14:paraId="63C5EFB9">
            <w:pPr>
              <w:keepNext w:val="0"/>
              <w:keepLines w:val="0"/>
              <w:numPr>
                <w:ilvl w:val="0"/>
                <w:numId w:val="0"/>
              </w:numPr>
              <w:suppressLineNumbers w:val="0"/>
              <w:spacing w:before="0" w:beforeAutospacing="0" w:after="0" w:afterAutospacing="0"/>
              <w:ind w:left="0" w:leftChars="0" w:right="0"/>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2.通过合同关键信息无法判断是否得分的，还须同时提供能证明得分的其它证明资料，如项目报告或合同甲方出具的证明文件等。</w:t>
            </w:r>
          </w:p>
          <w:p w14:paraId="0EA8F02C">
            <w:pPr>
              <w:keepNext w:val="0"/>
              <w:keepLines w:val="0"/>
              <w:numPr>
                <w:ilvl w:val="0"/>
                <w:numId w:val="0"/>
              </w:numPr>
              <w:suppressLineNumbers w:val="0"/>
              <w:spacing w:before="0" w:beforeAutospacing="0" w:after="0" w:afterAutospacing="0"/>
              <w:ind w:left="0" w:leftChars="0" w:right="0"/>
              <w:jc w:val="left"/>
            </w:pPr>
            <w:r>
              <w:rPr>
                <w:rFonts w:hint="eastAsia" w:ascii="Times New Roman" w:hAnsi="Times New Roman" w:eastAsia="宋体" w:cs="Times New Roman"/>
                <w:sz w:val="21"/>
                <w:szCs w:val="21"/>
                <w:lang w:val="en-US" w:eastAsia="zh-CN"/>
              </w:rPr>
              <w:t>3.未按要求提供相关证明材料（或相关证明材料无法判断是否符合评分要求）的不计得分。</w:t>
            </w:r>
          </w:p>
        </w:tc>
      </w:tr>
      <w:tr w14:paraId="50C7F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tcPr>
          <w:p w14:paraId="53EEF713">
            <w:pPr>
              <w:rPr>
                <w:vertAlign w:val="baseline"/>
              </w:rPr>
            </w:pPr>
          </w:p>
        </w:tc>
        <w:tc>
          <w:tcPr>
            <w:tcW w:w="990" w:type="dxa"/>
            <w:vAlign w:val="center"/>
          </w:tcPr>
          <w:p w14:paraId="22C1E25A">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545" w:type="dxa"/>
            <w:vAlign w:val="center"/>
          </w:tcPr>
          <w:p w14:paraId="1850498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拟安排的项目负责人情况</w:t>
            </w:r>
          </w:p>
        </w:tc>
        <w:tc>
          <w:tcPr>
            <w:tcW w:w="870" w:type="dxa"/>
            <w:vAlign w:val="center"/>
          </w:tcPr>
          <w:p w14:paraId="5F1487C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p>
        </w:tc>
        <w:tc>
          <w:tcPr>
            <w:tcW w:w="5635" w:type="dxa"/>
            <w:vAlign w:val="top"/>
          </w:tcPr>
          <w:p w14:paraId="5CF0DC72">
            <w:pPr>
              <w:keepNext w:val="0"/>
              <w:keepLines w:val="0"/>
              <w:numPr>
                <w:ilvl w:val="0"/>
                <w:numId w:val="0"/>
              </w:numPr>
              <w:suppressLineNumbers w:val="0"/>
              <w:wordWrap w:val="0"/>
              <w:spacing w:before="0" w:beforeAutospacing="0" w:after="0" w:afterAutospacing="0"/>
              <w:ind w:right="0" w:rightChars="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val="en-US" w:eastAsia="zh-CN"/>
              </w:rPr>
              <w:t>评分内容：</w:t>
            </w:r>
          </w:p>
          <w:p w14:paraId="024C5D3C">
            <w:pPr>
              <w:keepNext w:val="0"/>
              <w:keepLines w:val="0"/>
              <w:numPr>
                <w:ilvl w:val="0"/>
                <w:numId w:val="0"/>
              </w:numPr>
              <w:suppressLineNumbers w:val="0"/>
              <w:spacing w:before="0" w:beforeAutospacing="0" w:after="0" w:afterAutospacing="0"/>
              <w:ind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拟安排的项目负责人须为投标人自有员工。在此基础上：</w:t>
            </w:r>
          </w:p>
          <w:p w14:paraId="1184E819">
            <w:pPr>
              <w:keepNext w:val="0"/>
              <w:keepLines w:val="0"/>
              <w:numPr>
                <w:ilvl w:val="0"/>
                <w:numId w:val="0"/>
              </w:numPr>
              <w:suppressLineNumbers w:val="0"/>
              <w:wordWrap w:val="0"/>
              <w:spacing w:before="0" w:beforeAutospacing="0" w:after="0" w:afterAutospacing="0"/>
              <w:ind w:right="0" w:righ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1)具有本科（或以上）学历的，得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p>
          <w:p w14:paraId="7CE329FE">
            <w:pPr>
              <w:keepNext w:val="0"/>
              <w:keepLines w:val="0"/>
              <w:numPr>
                <w:ilvl w:val="0"/>
                <w:numId w:val="0"/>
              </w:numPr>
              <w:suppressLineNumbers w:val="0"/>
              <w:wordWrap w:val="0"/>
              <w:spacing w:before="0" w:beforeAutospacing="0" w:after="0" w:afterAutospacing="0"/>
              <w:ind w:right="0" w:righ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2)具备一级工程建设类执业资格或者招标师职业资格（或招标采购从业人员能力评价中级或以上证书），得3分；</w:t>
            </w:r>
          </w:p>
          <w:p w14:paraId="13217964">
            <w:pPr>
              <w:keepNext w:val="0"/>
              <w:keepLines w:val="0"/>
              <w:numPr>
                <w:ilvl w:val="0"/>
                <w:numId w:val="0"/>
              </w:numPr>
              <w:suppressLineNumbers w:val="0"/>
              <w:wordWrap w:val="0"/>
              <w:spacing w:before="0" w:beforeAutospacing="0" w:after="0" w:afterAutospacing="0"/>
              <w:ind w:right="0" w:rightChars="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3）具有工程类或者经济类中级以上技术职称</w:t>
            </w:r>
            <w:r>
              <w:rPr>
                <w:rFonts w:hint="eastAsia" w:ascii="宋体" w:hAnsi="宋体" w:eastAsia="宋体" w:cs="宋体"/>
                <w:b w:val="0"/>
                <w:bCs w:val="0"/>
                <w:color w:val="auto"/>
                <w:sz w:val="21"/>
                <w:szCs w:val="21"/>
                <w:highlight w:val="none"/>
                <w:lang w:val="en-US" w:eastAsia="zh-CN"/>
              </w:rPr>
              <w:t>，得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p>
          <w:p w14:paraId="147FEAC3">
            <w:pPr>
              <w:keepNext w:val="0"/>
              <w:keepLines w:val="0"/>
              <w:numPr>
                <w:ilvl w:val="0"/>
                <w:numId w:val="0"/>
              </w:numPr>
              <w:suppressLineNumbers w:val="0"/>
              <w:wordWrap w:val="0"/>
              <w:spacing w:before="0" w:beforeAutospacing="0" w:after="0" w:afterAutospacing="0"/>
              <w:ind w:right="0" w:righ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（二）评分依据：</w:t>
            </w:r>
          </w:p>
          <w:p w14:paraId="4139B0F2">
            <w:pPr>
              <w:keepNext w:val="0"/>
              <w:keepLines w:val="0"/>
              <w:numPr>
                <w:ilvl w:val="0"/>
                <w:numId w:val="0"/>
              </w:numPr>
              <w:suppressLineNumbers w:val="0"/>
              <w:wordWrap w:val="0"/>
              <w:spacing w:before="0" w:beforeAutospacing="0" w:after="0" w:afterAutospacing="0"/>
              <w:ind w:right="0" w:righ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要求提供通过投标供应商缴纳的近1个月（由于社保部门或税务部门原因最近1个月的社保证明无法提供的可往前顺延1个月）的社保证明作为证明依据，如投标供应商为新成立企业且成立时间不足1个月可提供加盖公章的情况说明或者证明材料亦视为符合。如依法不需要缴纳社会保险的，应提供相应文件证明。如为退休返聘人员则提供劳动合同或返聘协议复印件。</w:t>
            </w:r>
          </w:p>
          <w:p w14:paraId="1E7DAE81">
            <w:pPr>
              <w:keepNext w:val="0"/>
              <w:keepLines w:val="0"/>
              <w:numPr>
                <w:ilvl w:val="0"/>
                <w:numId w:val="0"/>
              </w:numPr>
              <w:suppressLineNumbers w:val="0"/>
              <w:wordWrap w:val="0"/>
              <w:spacing w:before="0" w:beforeAutospacing="0" w:after="0" w:afterAutospacing="0"/>
              <w:ind w:right="0" w:righ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2.需提供项目负责人的学历证书复印件；</w:t>
            </w:r>
          </w:p>
          <w:p w14:paraId="6DFA812C">
            <w:pPr>
              <w:keepNext w:val="0"/>
              <w:keepLines w:val="0"/>
              <w:numPr>
                <w:ilvl w:val="0"/>
                <w:numId w:val="0"/>
              </w:numPr>
              <w:suppressLineNumbers w:val="0"/>
              <w:wordWrap w:val="0"/>
              <w:spacing w:before="0" w:beforeAutospacing="0" w:after="0" w:afterAutospacing="0"/>
              <w:ind w:right="0" w:rightChars="0"/>
              <w:rPr>
                <w:rFonts w:hint="default"/>
                <w:b/>
                <w:bCs/>
                <w:vertAlign w:val="baseline"/>
                <w:lang w:val="en-US"/>
              </w:rPr>
            </w:pPr>
            <w:r>
              <w:rPr>
                <w:rFonts w:hint="eastAsia" w:ascii="宋体" w:hAnsi="宋体" w:eastAsia="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lang w:val="en-US" w:eastAsia="zh-CN"/>
              </w:rPr>
              <w:t>相关证书提供扫描件，扫描件不清晰或无法判断的，不得分。</w:t>
            </w:r>
          </w:p>
        </w:tc>
      </w:tr>
      <w:tr w14:paraId="600FD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tcPr>
          <w:p w14:paraId="1858DE08">
            <w:pPr>
              <w:rPr>
                <w:vertAlign w:val="baseline"/>
              </w:rPr>
            </w:pPr>
          </w:p>
        </w:tc>
        <w:tc>
          <w:tcPr>
            <w:tcW w:w="990" w:type="dxa"/>
            <w:vAlign w:val="center"/>
          </w:tcPr>
          <w:p w14:paraId="4B5F1CDD">
            <w:pPr>
              <w:keepNext w:val="0"/>
              <w:keepLines w:val="0"/>
              <w:suppressLineNumbers w:val="0"/>
              <w:wordWrap w:val="0"/>
              <w:spacing w:before="0" w:beforeAutospacing="0" w:after="0" w:afterAutospacing="0"/>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545" w:type="dxa"/>
            <w:vAlign w:val="center"/>
          </w:tcPr>
          <w:p w14:paraId="12E69DD0">
            <w:pPr>
              <w:keepNext w:val="0"/>
              <w:keepLines w:val="0"/>
              <w:suppressLineNumbers w:val="0"/>
              <w:wordWrap w:val="0"/>
              <w:spacing w:before="0" w:beforeAutospacing="0" w:after="0" w:afterAutospacing="0"/>
              <w:ind w:left="0" w:leftChars="0" w:right="0" w:rightChars="0"/>
              <w:jc w:val="center"/>
              <w:rPr>
                <w:color w:val="auto"/>
                <w:vertAlign w:val="baseline"/>
              </w:rPr>
            </w:pPr>
            <w:r>
              <w:rPr>
                <w:rFonts w:hint="eastAsia" w:ascii="宋体" w:hAnsi="宋体" w:eastAsia="宋体" w:cs="宋体"/>
                <w:color w:val="auto"/>
                <w:sz w:val="21"/>
                <w:szCs w:val="21"/>
                <w:highlight w:val="none"/>
              </w:rPr>
              <w:t>拟安排的</w:t>
            </w:r>
            <w:r>
              <w:rPr>
                <w:rFonts w:hint="eastAsia" w:ascii="宋体" w:hAnsi="宋体" w:eastAsia="宋体" w:cs="宋体"/>
                <w:color w:val="auto"/>
                <w:sz w:val="21"/>
                <w:szCs w:val="21"/>
                <w:highlight w:val="none"/>
                <w:lang w:val="en-US" w:eastAsia="zh-CN"/>
              </w:rPr>
              <w:t>项目团队成员</w:t>
            </w:r>
            <w:r>
              <w:rPr>
                <w:rFonts w:hint="eastAsia" w:ascii="宋体" w:hAnsi="宋体" w:eastAsia="宋体" w:cs="宋体"/>
                <w:color w:val="auto"/>
                <w:sz w:val="21"/>
                <w:szCs w:val="21"/>
                <w:highlight w:val="none"/>
              </w:rPr>
              <w:t>情况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项目负责人除外</w:t>
            </w:r>
            <w:r>
              <w:rPr>
                <w:rFonts w:hint="eastAsia" w:ascii="宋体" w:hAnsi="宋体" w:eastAsia="宋体" w:cs="宋体"/>
                <w:color w:val="auto"/>
                <w:sz w:val="21"/>
                <w:szCs w:val="21"/>
                <w:highlight w:val="none"/>
                <w:lang w:eastAsia="zh-CN"/>
              </w:rPr>
              <w:t>）</w:t>
            </w:r>
          </w:p>
        </w:tc>
        <w:tc>
          <w:tcPr>
            <w:tcW w:w="870" w:type="dxa"/>
            <w:vAlign w:val="center"/>
          </w:tcPr>
          <w:p w14:paraId="7E929204">
            <w:pPr>
              <w:keepNext w:val="0"/>
              <w:keepLines w:val="0"/>
              <w:suppressLineNumbers w:val="0"/>
              <w:wordWrap w:val="0"/>
              <w:spacing w:before="0" w:beforeAutospacing="0" w:after="0" w:afterAutospacing="0"/>
              <w:ind w:left="0" w:leftChars="0" w:right="0" w:rightChars="0"/>
              <w:jc w:val="center"/>
              <w:rPr>
                <w:color w:val="auto"/>
                <w:vertAlign w:val="baseline"/>
              </w:rPr>
            </w:pPr>
            <w:r>
              <w:rPr>
                <w:rFonts w:hint="eastAsia" w:ascii="宋体" w:hAnsi="宋体" w:cs="宋体"/>
                <w:color w:val="auto"/>
                <w:sz w:val="21"/>
                <w:szCs w:val="21"/>
                <w:highlight w:val="none"/>
                <w:lang w:val="en-US" w:eastAsia="zh-CN"/>
              </w:rPr>
              <w:t>6</w:t>
            </w:r>
          </w:p>
        </w:tc>
        <w:tc>
          <w:tcPr>
            <w:tcW w:w="5635" w:type="dxa"/>
            <w:vAlign w:val="top"/>
          </w:tcPr>
          <w:p w14:paraId="6FAEA10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（一）评分内容：</w:t>
            </w:r>
          </w:p>
          <w:p w14:paraId="284E4DD4">
            <w:pPr>
              <w:keepNext w:val="0"/>
              <w:keepLines w:val="0"/>
              <w:pageBreakBefore w:val="0"/>
              <w:widowControl w:val="0"/>
              <w:numPr>
                <w:ilvl w:val="0"/>
                <w:numId w:val="0"/>
              </w:numPr>
              <w:suppressLineNumbers w:val="0"/>
              <w:tabs>
                <w:tab w:val="left" w:pos="312"/>
              </w:tabs>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拟安排的项目团队成员（项目负责人除外）：不少于3人，且均需为投标供应商本单位自有员工（以社保为准），否则本项不得分，在此基础上按以下内容评分：</w:t>
            </w:r>
          </w:p>
          <w:p w14:paraId="2746CD48">
            <w:pPr>
              <w:keepNext w:val="0"/>
              <w:keepLines w:val="0"/>
              <w:pageBreakBefore w:val="0"/>
              <w:widowControl w:val="0"/>
              <w:numPr>
                <w:ilvl w:val="0"/>
                <w:numId w:val="0"/>
              </w:numPr>
              <w:suppressLineNumbers w:val="0"/>
              <w:tabs>
                <w:tab w:val="left" w:pos="312"/>
              </w:tabs>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拟安排的项目团队成员（项目负责人除外）：</w:t>
            </w:r>
          </w:p>
          <w:p w14:paraId="1D6B858B">
            <w:pPr>
              <w:keepNext w:val="0"/>
              <w:keepLines w:val="0"/>
              <w:pageBreakBefore w:val="0"/>
              <w:widowControl w:val="0"/>
              <w:numPr>
                <w:ilvl w:val="0"/>
                <w:numId w:val="0"/>
              </w:numPr>
              <w:suppressLineNumbers w:val="0"/>
              <w:tabs>
                <w:tab w:val="left" w:pos="312"/>
              </w:tabs>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1.团队成员</w:t>
            </w:r>
            <w:r>
              <w:rPr>
                <w:rFonts w:hint="eastAsia" w:ascii="宋体" w:hAnsi="宋体" w:cs="宋体"/>
                <w:b w:val="0"/>
                <w:bCs w:val="0"/>
                <w:color w:val="auto"/>
                <w:kern w:val="2"/>
                <w:sz w:val="21"/>
                <w:szCs w:val="21"/>
                <w:highlight w:val="none"/>
                <w:lang w:val="en-US" w:eastAsia="zh-CN" w:bidi="ar-SA"/>
              </w:rPr>
              <w:t>具有不少于5年工作经验的</w:t>
            </w: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cs="宋体"/>
                <w:b w:val="0"/>
                <w:bCs w:val="0"/>
                <w:color w:val="auto"/>
                <w:kern w:val="2"/>
                <w:sz w:val="21"/>
                <w:szCs w:val="21"/>
                <w:highlight w:val="none"/>
                <w:lang w:val="en-US" w:eastAsia="zh-CN" w:bidi="ar-SA"/>
              </w:rPr>
              <w:t>每提供1人，</w:t>
            </w:r>
            <w:r>
              <w:rPr>
                <w:rFonts w:hint="eastAsia" w:ascii="宋体" w:hAnsi="宋体" w:eastAsia="宋体" w:cs="宋体"/>
                <w:b w:val="0"/>
                <w:bCs w:val="0"/>
                <w:color w:val="auto"/>
                <w:kern w:val="2"/>
                <w:sz w:val="21"/>
                <w:szCs w:val="21"/>
                <w:highlight w:val="none"/>
                <w:lang w:val="en-US" w:eastAsia="zh-CN" w:bidi="ar-SA"/>
              </w:rPr>
              <w:t>得1分，本项满分3分；</w:t>
            </w:r>
          </w:p>
          <w:p w14:paraId="3A8294D1">
            <w:pPr>
              <w:keepNext w:val="0"/>
              <w:keepLines w:val="0"/>
              <w:pageBreakBefore w:val="0"/>
              <w:widowControl w:val="0"/>
              <w:numPr>
                <w:ilvl w:val="0"/>
                <w:numId w:val="0"/>
              </w:numPr>
              <w:suppressLineNumbers w:val="0"/>
              <w:tabs>
                <w:tab w:val="left" w:pos="312"/>
              </w:tabs>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2.团队成员中每有1人具有</w:t>
            </w:r>
            <w:r>
              <w:rPr>
                <w:rFonts w:hint="eastAsia" w:ascii="宋体" w:hAnsi="宋体" w:cs="宋体"/>
                <w:b w:val="0"/>
                <w:bCs w:val="0"/>
                <w:color w:val="auto"/>
                <w:kern w:val="2"/>
                <w:sz w:val="21"/>
                <w:szCs w:val="21"/>
                <w:highlight w:val="none"/>
                <w:lang w:val="en-US" w:eastAsia="zh-CN" w:bidi="ar-SA"/>
              </w:rPr>
              <w:t>5个</w:t>
            </w:r>
            <w:r>
              <w:rPr>
                <w:rFonts w:hint="eastAsia" w:ascii="宋体" w:hAnsi="宋体" w:eastAsia="宋体" w:cs="宋体"/>
                <w:b w:val="0"/>
                <w:bCs w:val="0"/>
                <w:color w:val="auto"/>
                <w:kern w:val="2"/>
                <w:sz w:val="21"/>
                <w:szCs w:val="21"/>
                <w:highlight w:val="none"/>
                <w:lang w:val="en-US" w:eastAsia="zh-CN" w:bidi="ar-SA"/>
              </w:rPr>
              <w:t>以上</w:t>
            </w:r>
            <w:r>
              <w:rPr>
                <w:rFonts w:hint="eastAsia" w:ascii="宋体" w:hAnsi="宋体" w:cs="宋体"/>
                <w:b w:val="0"/>
                <w:bCs w:val="0"/>
                <w:color w:val="auto"/>
                <w:kern w:val="2"/>
                <w:sz w:val="21"/>
                <w:szCs w:val="21"/>
                <w:highlight w:val="none"/>
                <w:lang w:val="en-US" w:eastAsia="zh-CN" w:bidi="ar-SA"/>
              </w:rPr>
              <w:t>工程招标代理业绩</w:t>
            </w:r>
            <w:r>
              <w:rPr>
                <w:rFonts w:hint="eastAsia" w:ascii="宋体" w:hAnsi="宋体" w:eastAsia="宋体" w:cs="宋体"/>
                <w:b w:val="0"/>
                <w:bCs w:val="0"/>
                <w:color w:val="auto"/>
                <w:kern w:val="2"/>
                <w:sz w:val="21"/>
                <w:szCs w:val="21"/>
                <w:highlight w:val="none"/>
                <w:lang w:val="en-US" w:eastAsia="zh-CN" w:bidi="ar-SA"/>
              </w:rPr>
              <w:t>，得1分，本项满分3分。</w:t>
            </w:r>
          </w:p>
          <w:p w14:paraId="5C07F8C9">
            <w:pPr>
              <w:keepNext w:val="0"/>
              <w:keepLines w:val="0"/>
              <w:pageBreakBefore w:val="0"/>
              <w:widowControl w:val="0"/>
              <w:numPr>
                <w:ilvl w:val="0"/>
                <w:numId w:val="0"/>
              </w:numPr>
              <w:suppressLineNumbers w:val="0"/>
              <w:tabs>
                <w:tab w:val="left" w:pos="312"/>
              </w:tabs>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（二）评分依据：</w:t>
            </w:r>
          </w:p>
          <w:p w14:paraId="4F41EB41">
            <w:pPr>
              <w:keepNext w:val="0"/>
              <w:keepLines w:val="0"/>
              <w:pageBreakBefore w:val="0"/>
              <w:widowControl w:val="0"/>
              <w:numPr>
                <w:ilvl w:val="0"/>
                <w:numId w:val="0"/>
              </w:numPr>
              <w:suppressLineNumbers w:val="0"/>
              <w:tabs>
                <w:tab w:val="left" w:pos="312"/>
              </w:tabs>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要求提供通过投标供应商缴纳的近1个月（由于社保部门或税务部门原因最近1个月的社保证明无法提供的可往前顺延1个月）的社保证明作为证明依据，如投标供应商为新成立企业且成立时间不足1个月可提供加盖公章的情况说明或者证明材料亦视为符合。如依法不需要缴纳社会保险的，应提供相应文件证明。如为退休返聘人员则提供劳动合同或返聘协议复印件。</w:t>
            </w:r>
          </w:p>
          <w:p w14:paraId="0B5FB8B0">
            <w:pPr>
              <w:keepNext w:val="0"/>
              <w:keepLines w:val="0"/>
              <w:pageBreakBefore w:val="0"/>
              <w:widowControl w:val="0"/>
              <w:numPr>
                <w:ilvl w:val="0"/>
                <w:numId w:val="0"/>
              </w:numPr>
              <w:suppressLineNumbers w:val="0"/>
              <w:tabs>
                <w:tab w:val="left" w:pos="312"/>
              </w:tabs>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cs="宋体"/>
                <w:b w:val="0"/>
                <w:bCs w:val="0"/>
                <w:color w:val="auto"/>
                <w:kern w:val="2"/>
                <w:sz w:val="21"/>
                <w:szCs w:val="21"/>
                <w:highlight w:val="none"/>
                <w:lang w:val="en-US" w:eastAsia="zh-CN" w:bidi="ar-SA"/>
              </w:rPr>
              <w:t>工作</w:t>
            </w:r>
            <w:r>
              <w:rPr>
                <w:rFonts w:hint="eastAsia" w:ascii="宋体" w:hAnsi="宋体" w:eastAsia="宋体" w:cs="宋体"/>
                <w:b w:val="0"/>
                <w:bCs w:val="0"/>
                <w:color w:val="auto"/>
                <w:kern w:val="2"/>
                <w:sz w:val="21"/>
                <w:szCs w:val="21"/>
                <w:highlight w:val="none"/>
                <w:lang w:val="en-US" w:eastAsia="zh-CN" w:bidi="ar-SA"/>
              </w:rPr>
              <w:t>经验提供招标代理单位为项目团队成员连续缴纳的社保证明资料（从业经验时间段内的社保缴纳明细均要提供），间断3个月以内的可以累加，间断3个月以上的以最近一段连续缴纳社保时间计算从业经验时间。</w:t>
            </w:r>
          </w:p>
          <w:p w14:paraId="2D3E8FFB">
            <w:pPr>
              <w:keepNext w:val="0"/>
              <w:keepLines w:val="0"/>
              <w:pageBreakBefore w:val="0"/>
              <w:widowControl w:val="0"/>
              <w:numPr>
                <w:ilvl w:val="0"/>
                <w:numId w:val="0"/>
              </w:numPr>
              <w:suppressLineNumbers w:val="0"/>
              <w:tabs>
                <w:tab w:val="left" w:pos="312"/>
              </w:tabs>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3</w:t>
            </w: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cs="宋体"/>
                <w:b w:val="0"/>
                <w:bCs w:val="0"/>
                <w:color w:val="auto"/>
                <w:kern w:val="2"/>
                <w:sz w:val="21"/>
                <w:szCs w:val="21"/>
                <w:highlight w:val="none"/>
                <w:lang w:val="en-US" w:eastAsia="zh-CN" w:bidi="ar-SA"/>
              </w:rPr>
              <w:t>业绩要求提供项目招标公告截图作为得分依据，需体现人员名称。</w:t>
            </w:r>
          </w:p>
          <w:p w14:paraId="35B23AEA">
            <w:pPr>
              <w:keepNext w:val="0"/>
              <w:keepLines w:val="0"/>
              <w:pageBreakBefore w:val="0"/>
              <w:widowControl w:val="0"/>
              <w:numPr>
                <w:ilvl w:val="0"/>
                <w:numId w:val="0"/>
              </w:numPr>
              <w:suppressLineNumbers w:val="0"/>
              <w:tabs>
                <w:tab w:val="left" w:pos="312"/>
              </w:tabs>
              <w:kinsoku/>
              <w:wordWrap w:val="0"/>
              <w:overflowPunct/>
              <w:topLinePunct w:val="0"/>
              <w:autoSpaceDE/>
              <w:autoSpaceDN/>
              <w:bidi w:val="0"/>
              <w:adjustRightInd/>
              <w:snapToGrid/>
              <w:spacing w:before="0" w:beforeAutospacing="0" w:after="0" w:afterAutospacing="0" w:line="240" w:lineRule="auto"/>
              <w:ind w:left="0" w:right="0"/>
              <w:jc w:val="both"/>
              <w:textAlignment w:val="auto"/>
              <w:rPr>
                <w:b w:val="0"/>
                <w:bCs w:val="0"/>
                <w:color w:val="auto"/>
                <w:vertAlign w:val="baseline"/>
              </w:rPr>
            </w:pPr>
            <w:r>
              <w:rPr>
                <w:rFonts w:hint="eastAsia" w:ascii="宋体" w:hAnsi="宋体" w:cs="宋体"/>
                <w:b w:val="0"/>
                <w:bCs w:val="0"/>
                <w:color w:val="auto"/>
                <w:kern w:val="2"/>
                <w:sz w:val="21"/>
                <w:szCs w:val="21"/>
                <w:highlight w:val="none"/>
                <w:lang w:val="en-US" w:eastAsia="zh-CN" w:bidi="ar-SA"/>
              </w:rPr>
              <w:t>4.</w:t>
            </w:r>
            <w:r>
              <w:rPr>
                <w:rFonts w:hint="eastAsia" w:ascii="宋体" w:hAnsi="宋体" w:eastAsia="宋体" w:cs="宋体"/>
                <w:b w:val="0"/>
                <w:bCs w:val="0"/>
                <w:color w:val="auto"/>
                <w:kern w:val="2"/>
                <w:sz w:val="21"/>
                <w:szCs w:val="21"/>
                <w:highlight w:val="none"/>
                <w:lang w:val="en-US" w:eastAsia="zh-CN" w:bidi="ar-SA"/>
              </w:rPr>
              <w:t>同一人符合两项可累计得分。</w:t>
            </w:r>
          </w:p>
        </w:tc>
      </w:tr>
      <w:tr w14:paraId="6FB2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tcPr>
          <w:p w14:paraId="6B4DFD4A">
            <w:pPr>
              <w:rPr>
                <w:vertAlign w:val="baseline"/>
              </w:rPr>
            </w:pPr>
          </w:p>
        </w:tc>
        <w:tc>
          <w:tcPr>
            <w:tcW w:w="990" w:type="dxa"/>
            <w:vAlign w:val="center"/>
          </w:tcPr>
          <w:p w14:paraId="01BB3254">
            <w:pPr>
              <w:keepNext w:val="0"/>
              <w:keepLines w:val="0"/>
              <w:suppressLineNumbers w:val="0"/>
              <w:wordWrap w:val="0"/>
              <w:spacing w:before="0" w:beforeAutospacing="0" w:after="0" w:afterAutospacing="0"/>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545" w:type="dxa"/>
            <w:vAlign w:val="center"/>
          </w:tcPr>
          <w:p w14:paraId="5C1CC358">
            <w:pPr>
              <w:keepNext w:val="0"/>
              <w:keepLines w:val="0"/>
              <w:suppressLineNumbers w:val="0"/>
              <w:wordWrap w:val="0"/>
              <w:spacing w:before="0" w:beforeAutospacing="0" w:after="0" w:afterAutospacing="0"/>
              <w:ind w:left="0" w:leftChars="0" w:right="0" w:right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诚信</w:t>
            </w:r>
          </w:p>
        </w:tc>
        <w:tc>
          <w:tcPr>
            <w:tcW w:w="870" w:type="dxa"/>
            <w:vAlign w:val="center"/>
          </w:tcPr>
          <w:p w14:paraId="3145F980">
            <w:pPr>
              <w:keepNext w:val="0"/>
              <w:keepLines w:val="0"/>
              <w:suppressLineNumbers w:val="0"/>
              <w:wordWrap w:val="0"/>
              <w:spacing w:before="0" w:beforeAutospacing="0" w:after="0" w:afterAutospacing="0"/>
              <w:ind w:left="0" w:leftChars="0" w:right="0" w:right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5635" w:type="dxa"/>
            <w:vAlign w:val="center"/>
          </w:tcPr>
          <w:p w14:paraId="4F8E2F6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根据《深圳市建筑市场主体信用管理办法》相关规定，投标人在参与</w:t>
            </w:r>
            <w:r>
              <w:rPr>
                <w:rFonts w:hint="eastAsia" w:ascii="宋体" w:hAnsi="宋体" w:cs="宋体"/>
                <w:b w:val="0"/>
                <w:bCs w:val="0"/>
                <w:color w:val="auto"/>
                <w:kern w:val="2"/>
                <w:sz w:val="21"/>
                <w:szCs w:val="21"/>
                <w:highlight w:val="none"/>
                <w:lang w:val="en-US" w:eastAsia="zh-CN" w:bidi="ar-SA"/>
              </w:rPr>
              <w:t>建设工程招标代理活动</w:t>
            </w:r>
            <w:r>
              <w:rPr>
                <w:rFonts w:hint="eastAsia" w:ascii="宋体" w:hAnsi="宋体" w:eastAsia="宋体" w:cs="宋体"/>
                <w:b w:val="0"/>
                <w:bCs w:val="0"/>
                <w:color w:val="auto"/>
                <w:kern w:val="2"/>
                <w:sz w:val="21"/>
                <w:szCs w:val="21"/>
                <w:highlight w:val="none"/>
                <w:lang w:val="en-US" w:eastAsia="zh-CN" w:bidi="ar-SA"/>
              </w:rPr>
              <w:t>中出现诚信相关问题且在相关主管部门处理措施实施期限内的本项不得分，否则得满分。（</w:t>
            </w:r>
            <w:r>
              <w:rPr>
                <w:rFonts w:hint="eastAsia" w:ascii="宋体" w:hAnsi="宋体" w:eastAsia="宋体" w:cs="宋体"/>
                <w:b/>
                <w:bCs/>
                <w:color w:val="auto"/>
                <w:kern w:val="2"/>
                <w:sz w:val="21"/>
                <w:szCs w:val="21"/>
                <w:highlight w:val="none"/>
                <w:lang w:val="en-US" w:eastAsia="zh-CN" w:bidi="ar-SA"/>
              </w:rPr>
              <w:t>提供《诚信承诺函》原件</w:t>
            </w:r>
            <w:r>
              <w:rPr>
                <w:rFonts w:hint="eastAsia" w:ascii="宋体" w:hAnsi="宋体" w:eastAsia="宋体" w:cs="宋体"/>
                <w:b w:val="0"/>
                <w:bCs w:val="0"/>
                <w:color w:val="auto"/>
                <w:kern w:val="2"/>
                <w:sz w:val="21"/>
                <w:szCs w:val="21"/>
                <w:highlight w:val="none"/>
                <w:lang w:val="en-US" w:eastAsia="zh-CN" w:bidi="ar-SA"/>
              </w:rPr>
              <w:t>，按招标文件格式要求提供，不提供不得分。如被认定提供的陈述与事实不符的，作无效投标处理。）</w:t>
            </w:r>
          </w:p>
        </w:tc>
      </w:tr>
    </w:tbl>
    <w:p w14:paraId="15B67103">
      <w:bookmarkStart w:id="0" w:name="InsertEnd"/>
      <w:bookmarkEnd w:id="0"/>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8F6BB4"/>
    <w:multiLevelType w:val="singleLevel"/>
    <w:tmpl w:val="B18F6BB4"/>
    <w:lvl w:ilvl="0" w:tentative="0">
      <w:start w:val="1"/>
      <w:numFmt w:val="decimal"/>
      <w:suff w:val="nothing"/>
      <w:lvlText w:val="（%1）"/>
      <w:lvlJc w:val="left"/>
    </w:lvl>
  </w:abstractNum>
  <w:abstractNum w:abstractNumId="1">
    <w:nsid w:val="E08E3AB6"/>
    <w:multiLevelType w:val="singleLevel"/>
    <w:tmpl w:val="E08E3AB6"/>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3MjcxZDViYjgyMzVhMmYxZmUyOGViZWI2ZmIyMWEifQ=="/>
  </w:docVars>
  <w:rsids>
    <w:rsidRoot w:val="5DEB7752"/>
    <w:rsid w:val="00360E24"/>
    <w:rsid w:val="007314A1"/>
    <w:rsid w:val="00A87F74"/>
    <w:rsid w:val="00C84172"/>
    <w:rsid w:val="0156352C"/>
    <w:rsid w:val="01E17FAF"/>
    <w:rsid w:val="02645FED"/>
    <w:rsid w:val="030B47EA"/>
    <w:rsid w:val="03D472D2"/>
    <w:rsid w:val="03DB41BC"/>
    <w:rsid w:val="043F299D"/>
    <w:rsid w:val="0453773B"/>
    <w:rsid w:val="04657F2A"/>
    <w:rsid w:val="047563BF"/>
    <w:rsid w:val="05F96B7B"/>
    <w:rsid w:val="06956C5C"/>
    <w:rsid w:val="07F97307"/>
    <w:rsid w:val="08393BA7"/>
    <w:rsid w:val="08BD6586"/>
    <w:rsid w:val="092263E9"/>
    <w:rsid w:val="09616F12"/>
    <w:rsid w:val="09887CB5"/>
    <w:rsid w:val="0A590531"/>
    <w:rsid w:val="0A5E78F5"/>
    <w:rsid w:val="0A825391"/>
    <w:rsid w:val="0A913826"/>
    <w:rsid w:val="0B1D155E"/>
    <w:rsid w:val="0BA13F3D"/>
    <w:rsid w:val="0C4B5C57"/>
    <w:rsid w:val="0D032E47"/>
    <w:rsid w:val="0D15073F"/>
    <w:rsid w:val="0D6245C0"/>
    <w:rsid w:val="0DEE2D3E"/>
    <w:rsid w:val="0E213113"/>
    <w:rsid w:val="0F1B4006"/>
    <w:rsid w:val="10064AC2"/>
    <w:rsid w:val="10345380"/>
    <w:rsid w:val="10507CE0"/>
    <w:rsid w:val="10FB151F"/>
    <w:rsid w:val="11AE540C"/>
    <w:rsid w:val="11C72224"/>
    <w:rsid w:val="11E06E41"/>
    <w:rsid w:val="12107727"/>
    <w:rsid w:val="1279694A"/>
    <w:rsid w:val="131274CE"/>
    <w:rsid w:val="13C92283"/>
    <w:rsid w:val="13F37300"/>
    <w:rsid w:val="141E7F46"/>
    <w:rsid w:val="14BF5434"/>
    <w:rsid w:val="14D62EA9"/>
    <w:rsid w:val="14D964F6"/>
    <w:rsid w:val="152F25BA"/>
    <w:rsid w:val="160D0CC2"/>
    <w:rsid w:val="160E2D03"/>
    <w:rsid w:val="1635775C"/>
    <w:rsid w:val="16A13043"/>
    <w:rsid w:val="16DA0303"/>
    <w:rsid w:val="175E0F34"/>
    <w:rsid w:val="17852965"/>
    <w:rsid w:val="179E03F5"/>
    <w:rsid w:val="17B07195"/>
    <w:rsid w:val="17F964D3"/>
    <w:rsid w:val="188249D3"/>
    <w:rsid w:val="18FD6DA5"/>
    <w:rsid w:val="19461A5F"/>
    <w:rsid w:val="198E2E15"/>
    <w:rsid w:val="1ACF2F1C"/>
    <w:rsid w:val="1B270C0E"/>
    <w:rsid w:val="1B75684C"/>
    <w:rsid w:val="1CC127E7"/>
    <w:rsid w:val="1CC57360"/>
    <w:rsid w:val="1D352737"/>
    <w:rsid w:val="1DF5145A"/>
    <w:rsid w:val="1E2D340E"/>
    <w:rsid w:val="1E5170FD"/>
    <w:rsid w:val="1E7159F1"/>
    <w:rsid w:val="1EB6489D"/>
    <w:rsid w:val="1F907D9B"/>
    <w:rsid w:val="1F9279CD"/>
    <w:rsid w:val="203942EC"/>
    <w:rsid w:val="20633533"/>
    <w:rsid w:val="22212BA3"/>
    <w:rsid w:val="228757E3"/>
    <w:rsid w:val="23C30A9D"/>
    <w:rsid w:val="23FC7B0B"/>
    <w:rsid w:val="2580476C"/>
    <w:rsid w:val="260F6C7E"/>
    <w:rsid w:val="26647BE9"/>
    <w:rsid w:val="26AE60BB"/>
    <w:rsid w:val="26F947D6"/>
    <w:rsid w:val="27BA1BD2"/>
    <w:rsid w:val="27CC3C98"/>
    <w:rsid w:val="28500425"/>
    <w:rsid w:val="288A7DDB"/>
    <w:rsid w:val="28BA7F95"/>
    <w:rsid w:val="28C841C6"/>
    <w:rsid w:val="28D20880"/>
    <w:rsid w:val="2912392D"/>
    <w:rsid w:val="29FB2613"/>
    <w:rsid w:val="2A553F7E"/>
    <w:rsid w:val="2AAD433F"/>
    <w:rsid w:val="2AB31CA2"/>
    <w:rsid w:val="2BBE5FB3"/>
    <w:rsid w:val="2BE63FE5"/>
    <w:rsid w:val="2C752B50"/>
    <w:rsid w:val="2CDA3C02"/>
    <w:rsid w:val="2D2E4AC5"/>
    <w:rsid w:val="2D546C0A"/>
    <w:rsid w:val="2D5B3AF4"/>
    <w:rsid w:val="2E132621"/>
    <w:rsid w:val="2E690493"/>
    <w:rsid w:val="2E9B6172"/>
    <w:rsid w:val="2F1E127D"/>
    <w:rsid w:val="2F223DA9"/>
    <w:rsid w:val="2F3740ED"/>
    <w:rsid w:val="2F3C37B2"/>
    <w:rsid w:val="2FA572A9"/>
    <w:rsid w:val="2FE01F71"/>
    <w:rsid w:val="30A92DC8"/>
    <w:rsid w:val="30CD3E0C"/>
    <w:rsid w:val="31496359"/>
    <w:rsid w:val="339715FE"/>
    <w:rsid w:val="33B41377"/>
    <w:rsid w:val="342B5D7A"/>
    <w:rsid w:val="34C21E44"/>
    <w:rsid w:val="360311CD"/>
    <w:rsid w:val="36932551"/>
    <w:rsid w:val="36CF10AF"/>
    <w:rsid w:val="374970B3"/>
    <w:rsid w:val="38165564"/>
    <w:rsid w:val="38C84008"/>
    <w:rsid w:val="39551D3F"/>
    <w:rsid w:val="397877DC"/>
    <w:rsid w:val="3A282FB0"/>
    <w:rsid w:val="3C814BF9"/>
    <w:rsid w:val="3CA32DC2"/>
    <w:rsid w:val="3CF31938"/>
    <w:rsid w:val="3CF950D8"/>
    <w:rsid w:val="3CFD6976"/>
    <w:rsid w:val="3D0117ED"/>
    <w:rsid w:val="3D3B124C"/>
    <w:rsid w:val="3D467882"/>
    <w:rsid w:val="3E1D6BA4"/>
    <w:rsid w:val="3E646581"/>
    <w:rsid w:val="3EC0417E"/>
    <w:rsid w:val="3F4C14EF"/>
    <w:rsid w:val="3F6C393F"/>
    <w:rsid w:val="40CD75B4"/>
    <w:rsid w:val="40F736DC"/>
    <w:rsid w:val="413C266C"/>
    <w:rsid w:val="41FF6CEC"/>
    <w:rsid w:val="42AE426E"/>
    <w:rsid w:val="438E21FA"/>
    <w:rsid w:val="43FA76B2"/>
    <w:rsid w:val="44191BBB"/>
    <w:rsid w:val="444906F3"/>
    <w:rsid w:val="44B244EA"/>
    <w:rsid w:val="44D501D8"/>
    <w:rsid w:val="44DA134B"/>
    <w:rsid w:val="451124F4"/>
    <w:rsid w:val="456A6B72"/>
    <w:rsid w:val="45FC3543"/>
    <w:rsid w:val="46144D30"/>
    <w:rsid w:val="4618037D"/>
    <w:rsid w:val="462431C5"/>
    <w:rsid w:val="46945D0A"/>
    <w:rsid w:val="46CB1893"/>
    <w:rsid w:val="470E4BB7"/>
    <w:rsid w:val="47431429"/>
    <w:rsid w:val="47887784"/>
    <w:rsid w:val="47F045E0"/>
    <w:rsid w:val="480E67F8"/>
    <w:rsid w:val="4880045B"/>
    <w:rsid w:val="489839F7"/>
    <w:rsid w:val="49042E3A"/>
    <w:rsid w:val="492B6619"/>
    <w:rsid w:val="49867CF3"/>
    <w:rsid w:val="49A07ED7"/>
    <w:rsid w:val="49D86032"/>
    <w:rsid w:val="49F7474D"/>
    <w:rsid w:val="4B3519D1"/>
    <w:rsid w:val="4B44381C"/>
    <w:rsid w:val="4B7F49FA"/>
    <w:rsid w:val="4BA20244"/>
    <w:rsid w:val="4BDE5BC4"/>
    <w:rsid w:val="4C5440D8"/>
    <w:rsid w:val="4C8D3147"/>
    <w:rsid w:val="4CA95D86"/>
    <w:rsid w:val="4CC47896"/>
    <w:rsid w:val="4F260FFE"/>
    <w:rsid w:val="50395ABF"/>
    <w:rsid w:val="50C74BE8"/>
    <w:rsid w:val="51167BAE"/>
    <w:rsid w:val="513B13C3"/>
    <w:rsid w:val="51A056CA"/>
    <w:rsid w:val="52A71888"/>
    <w:rsid w:val="52F61889"/>
    <w:rsid w:val="53101E8A"/>
    <w:rsid w:val="533D7674"/>
    <w:rsid w:val="5384019D"/>
    <w:rsid w:val="54F06C40"/>
    <w:rsid w:val="5515565F"/>
    <w:rsid w:val="554051FA"/>
    <w:rsid w:val="57AF6667"/>
    <w:rsid w:val="583C44BF"/>
    <w:rsid w:val="58403763"/>
    <w:rsid w:val="594B5D4C"/>
    <w:rsid w:val="59575208"/>
    <w:rsid w:val="59B00787"/>
    <w:rsid w:val="59C0182F"/>
    <w:rsid w:val="5A117165"/>
    <w:rsid w:val="5A4C4641"/>
    <w:rsid w:val="5A802B93"/>
    <w:rsid w:val="5AD22D98"/>
    <w:rsid w:val="5B08347B"/>
    <w:rsid w:val="5B1A029B"/>
    <w:rsid w:val="5B835E40"/>
    <w:rsid w:val="5BA65FD3"/>
    <w:rsid w:val="5BF40AEC"/>
    <w:rsid w:val="5CE768A3"/>
    <w:rsid w:val="5D9B1B67"/>
    <w:rsid w:val="5DEB7752"/>
    <w:rsid w:val="5EEB766C"/>
    <w:rsid w:val="5F322057"/>
    <w:rsid w:val="5F904FD0"/>
    <w:rsid w:val="604F3145"/>
    <w:rsid w:val="60E07891"/>
    <w:rsid w:val="60F84B34"/>
    <w:rsid w:val="611D2893"/>
    <w:rsid w:val="61742B3C"/>
    <w:rsid w:val="61AC4E56"/>
    <w:rsid w:val="61B50D1E"/>
    <w:rsid w:val="621974FF"/>
    <w:rsid w:val="62361E5F"/>
    <w:rsid w:val="62B2525D"/>
    <w:rsid w:val="62BE3C02"/>
    <w:rsid w:val="637C7D45"/>
    <w:rsid w:val="63B93FA7"/>
    <w:rsid w:val="63C65464"/>
    <w:rsid w:val="63C67212"/>
    <w:rsid w:val="63FE4BFE"/>
    <w:rsid w:val="6408782B"/>
    <w:rsid w:val="64306D81"/>
    <w:rsid w:val="647C5B23"/>
    <w:rsid w:val="64E748DC"/>
    <w:rsid w:val="651915C4"/>
    <w:rsid w:val="65197815"/>
    <w:rsid w:val="65DF714A"/>
    <w:rsid w:val="66187ACD"/>
    <w:rsid w:val="66211F52"/>
    <w:rsid w:val="669A2C8F"/>
    <w:rsid w:val="66D103A8"/>
    <w:rsid w:val="66FD12B1"/>
    <w:rsid w:val="679D64DC"/>
    <w:rsid w:val="67A10C1A"/>
    <w:rsid w:val="67E45EB9"/>
    <w:rsid w:val="680C5410"/>
    <w:rsid w:val="68444BA9"/>
    <w:rsid w:val="68DE141F"/>
    <w:rsid w:val="69160CB9"/>
    <w:rsid w:val="6B122D3D"/>
    <w:rsid w:val="6B364C7D"/>
    <w:rsid w:val="6CAB51F7"/>
    <w:rsid w:val="6D9640F9"/>
    <w:rsid w:val="6DCC3314"/>
    <w:rsid w:val="6E720E90"/>
    <w:rsid w:val="6ECF4587"/>
    <w:rsid w:val="6EF8049C"/>
    <w:rsid w:val="6F7F0B57"/>
    <w:rsid w:val="6F977CB5"/>
    <w:rsid w:val="6FD35191"/>
    <w:rsid w:val="700A0487"/>
    <w:rsid w:val="70957F69"/>
    <w:rsid w:val="70A97C9F"/>
    <w:rsid w:val="712E2EFD"/>
    <w:rsid w:val="715F4802"/>
    <w:rsid w:val="71D64AC4"/>
    <w:rsid w:val="7221510B"/>
    <w:rsid w:val="73591E51"/>
    <w:rsid w:val="73E7745D"/>
    <w:rsid w:val="74B35591"/>
    <w:rsid w:val="759E3B4B"/>
    <w:rsid w:val="766A1C7F"/>
    <w:rsid w:val="76D8308D"/>
    <w:rsid w:val="77493F8A"/>
    <w:rsid w:val="779E42D6"/>
    <w:rsid w:val="77FC2DAB"/>
    <w:rsid w:val="796751D5"/>
    <w:rsid w:val="799B717E"/>
    <w:rsid w:val="79CC49FF"/>
    <w:rsid w:val="79E87A8A"/>
    <w:rsid w:val="7AFB1A3F"/>
    <w:rsid w:val="7B36628C"/>
    <w:rsid w:val="7C1903CF"/>
    <w:rsid w:val="7C4354AF"/>
    <w:rsid w:val="7C607D71"/>
    <w:rsid w:val="7CBF3FB1"/>
    <w:rsid w:val="7CC43426"/>
    <w:rsid w:val="7CEA58C8"/>
    <w:rsid w:val="7D1B3CD3"/>
    <w:rsid w:val="7D43322A"/>
    <w:rsid w:val="7DBF5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annotation text"/>
    <w:basedOn w:val="1"/>
    <w:qFormat/>
    <w:uiPriority w:val="99"/>
    <w:pPr>
      <w:jc w:val="left"/>
    </w:pPr>
    <w:rPr>
      <w:rFonts w:asciiTheme="minorHAnsi" w:hAnsiTheme="minorHAnsi" w:eastAsiaTheme="minorEastAsia" w:cstheme="minorBidi"/>
    </w:rPr>
  </w:style>
  <w:style w:type="paragraph" w:styleId="5">
    <w:name w:val="Body Text Indent 2"/>
    <w:basedOn w:val="1"/>
    <w:next w:val="1"/>
    <w:unhideWhenUsed/>
    <w:qFormat/>
    <w:uiPriority w:val="99"/>
    <w:pPr>
      <w:spacing w:after="120" w:line="480" w:lineRule="auto"/>
      <w:ind w:left="420" w:leftChars="200"/>
    </w:pPr>
    <w:rPr>
      <w:rFonts w:ascii="Calibri" w:hAnsi="Calibri"/>
      <w:szCs w:val="2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3479</Words>
  <Characters>3567</Characters>
  <Lines>0</Lines>
  <Paragraphs>0</Paragraphs>
  <TotalTime>6</TotalTime>
  <ScaleCrop>false</ScaleCrop>
  <LinksUpToDate>false</LinksUpToDate>
  <CharactersWithSpaces>3568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2021-12-08T03:14:00Z</dcterms:created>
  <dc:creator>Jessicalee</dc:creator>
  <cp:lastModifiedBy>如意</cp:lastModifiedBy>
  <dcterms:modified xsi:type="dcterms:W3CDTF">2026-05-29T03:02:04Z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F074F3F831B74BFD8D98853F1BDE0FB9_13</vt:lpwstr>
  </property>
  <property fmtid="{D5CDD505-2E9C-101B-9397-08002B2CF9AE}" pid="4" name="KSOTemplateDocerSaveRecord">
    <vt:lpwstr>eyJoZGlkIjoiODg4YmUyZjVkMTRhYjZhNTA5MTQ0YjE5NThhODEwNjUiLCJ1c2VySWQiOiIxMDE4NjkxMTQ2In0=</vt:lpwstr>
  </property>
</Properties>
</file>