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20"/>
        <w:rPr>
          <w:rFonts w:cs="华文中宋"/>
          <w:b/>
          <w:sz w:val="52"/>
          <w:szCs w:val="52"/>
          <w:lang w:val="zh-CN"/>
        </w:rPr>
      </w:pPr>
    </w:p>
    <w:p w14:paraId="13D1BF92">
      <w:pPr>
        <w:pStyle w:val="20"/>
        <w:rPr>
          <w:rFonts w:cs="华文中宋"/>
          <w:b/>
          <w:sz w:val="52"/>
          <w:szCs w:val="52"/>
          <w:lang w:val="zh-CN"/>
        </w:rPr>
      </w:pPr>
    </w:p>
    <w:p w14:paraId="5BD92BCE">
      <w:pPr>
        <w:pStyle w:val="20"/>
        <w:rPr>
          <w:rFonts w:cs="华文中宋"/>
          <w:b/>
          <w:sz w:val="52"/>
          <w:szCs w:val="52"/>
          <w:lang w:val="zh-CN"/>
        </w:rPr>
      </w:pPr>
    </w:p>
    <w:p w14:paraId="12F38BF6">
      <w:pPr>
        <w:pStyle w:val="20"/>
        <w:rPr>
          <w:rFonts w:cs="华文中宋"/>
          <w:b/>
          <w:sz w:val="52"/>
          <w:szCs w:val="52"/>
          <w:lang w:val="zh-CN"/>
        </w:rPr>
      </w:pPr>
    </w:p>
    <w:p w14:paraId="3E4327A8">
      <w:pPr>
        <w:pStyle w:val="20"/>
        <w:rPr>
          <w:rFonts w:cs="华文中宋"/>
          <w:b/>
          <w:sz w:val="52"/>
          <w:szCs w:val="52"/>
          <w:lang w:val="zh-CN"/>
        </w:rPr>
      </w:pPr>
    </w:p>
    <w:p w14:paraId="71B55A34">
      <w:pPr>
        <w:jc w:val="center"/>
        <w:rPr>
          <w:rFonts w:hint="eastAsia" w:ascii="Times New Roman" w:hAnsi="Times New Roman" w:eastAsia="宋体" w:cs="Times New Roman"/>
          <w:b/>
          <w:bCs w:val="0"/>
          <w:sz w:val="48"/>
          <w:szCs w:val="48"/>
          <w:lang w:val="en-US" w:eastAsia="zh-CN"/>
        </w:rPr>
      </w:pPr>
      <w:r>
        <w:rPr>
          <w:rFonts w:hint="eastAsia" w:ascii="Times New Roman" w:hAnsi="Times New Roman" w:eastAsia="宋体" w:cs="Times New Roman"/>
          <w:b/>
          <w:bCs w:val="0"/>
          <w:sz w:val="48"/>
          <w:szCs w:val="48"/>
          <w:lang w:val="en-US" w:eastAsia="zh-CN"/>
        </w:rPr>
        <w:t>深圳市龙岗区医用耗材联合采购项目</w:t>
      </w:r>
    </w:p>
    <w:p w14:paraId="42E7E133">
      <w:pPr>
        <w:jc w:val="center"/>
        <w:rPr>
          <w:rFonts w:hint="eastAsia"/>
          <w:b/>
          <w:bCs w:val="0"/>
          <w:sz w:val="48"/>
          <w:szCs w:val="48"/>
          <w:lang w:val="zh-CN"/>
        </w:rPr>
      </w:pPr>
      <w:r>
        <w:rPr>
          <w:rFonts w:hint="eastAsia"/>
          <w:b/>
          <w:bCs w:val="0"/>
          <w:sz w:val="48"/>
          <w:szCs w:val="48"/>
          <w:lang w:val="en-US" w:eastAsia="zh-CN"/>
        </w:rPr>
        <w:t>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LGLHHC2026-02</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4"/>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cs="宋体"/>
          <w:sz w:val="24"/>
          <w:szCs w:val="24"/>
          <w:lang w:val="en-US" w:eastAsia="zh-CN"/>
        </w:rPr>
        <w:t>4</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（二）</w:t>
      </w:r>
      <w:r>
        <w:rPr>
          <w:rFonts w:hint="eastAsia" w:ascii="楷体_GB2312" w:hAnsi="宋体" w:eastAsia="楷体_GB2312" w:cs="宋体"/>
          <w:sz w:val="28"/>
          <w:szCs w:val="28"/>
          <w:lang w:val="en-US" w:eastAsia="zh-CN"/>
        </w:rPr>
        <w:t>项目</w:t>
      </w:r>
      <w:r>
        <w:rPr>
          <w:rFonts w:hint="eastAsia" w:ascii="楷体_GB2312" w:hAnsi="宋体" w:eastAsia="楷体_GB2312" w:cs="宋体"/>
          <w:sz w:val="28"/>
          <w:szCs w:val="28"/>
          <w:lang w:eastAsia="zh-CN"/>
        </w:rPr>
        <w:t>采购清单及采购预算量</w:t>
      </w:r>
      <w:r>
        <w:rPr>
          <w:rFonts w:hint="eastAsia" w:ascii="楷体_GB2312" w:hAnsi="宋体" w:eastAsia="楷体_GB2312" w:cs="宋体"/>
          <w:b/>
          <w:bCs/>
          <w:sz w:val="24"/>
          <w:lang w:eastAsia="zh-CN"/>
        </w:rPr>
        <w:t>、</w:t>
      </w:r>
      <w:r>
        <w:rPr>
          <w:rFonts w:hint="eastAsia" w:ascii="楷体_GB2312" w:hAnsi="宋体" w:eastAsia="楷体_GB2312" w:cs="宋体"/>
          <w:sz w:val="28"/>
          <w:szCs w:val="28"/>
        </w:rPr>
        <w:t>提交</w:t>
      </w:r>
      <w:r>
        <w:rPr>
          <w:rFonts w:hint="eastAsia" w:ascii="楷体_GB2312" w:hAnsi="宋体" w:eastAsia="楷体_GB2312" w:cs="宋体"/>
          <w:sz w:val="28"/>
          <w:szCs w:val="28"/>
          <w:lang w:eastAsia="zh-CN"/>
        </w:rPr>
        <w:t>谈判</w:t>
      </w:r>
      <w:r>
        <w:rPr>
          <w:rFonts w:hint="eastAsia" w:ascii="楷体_GB2312" w:hAnsi="宋体" w:eastAsia="楷体_GB2312" w:cs="宋体"/>
          <w:sz w:val="28"/>
          <w:szCs w:val="28"/>
        </w:rPr>
        <w:t>文件截止时间、</w:t>
      </w:r>
      <w:r>
        <w:rPr>
          <w:rFonts w:hint="eastAsia" w:ascii="楷体_GB2312" w:hAnsi="宋体" w:eastAsia="楷体_GB2312" w:cs="宋体"/>
          <w:sz w:val="28"/>
          <w:szCs w:val="28"/>
          <w:lang w:eastAsia="zh-CN"/>
        </w:rPr>
        <w:t>洽谈</w:t>
      </w:r>
      <w:r>
        <w:rPr>
          <w:rFonts w:hint="eastAsia" w:ascii="楷体_GB2312" w:hAnsi="宋体" w:eastAsia="楷体_GB2312" w:cs="宋体"/>
          <w:sz w:val="28"/>
          <w:szCs w:val="28"/>
        </w:rPr>
        <w:t>时间</w:t>
      </w:r>
      <w:r>
        <w:rPr>
          <w:rFonts w:hint="eastAsia" w:ascii="楷体_GB2312" w:hAnsi="宋体" w:eastAsia="楷体_GB2312" w:cs="宋体"/>
          <w:sz w:val="28"/>
          <w:szCs w:val="28"/>
          <w:lang w:eastAsia="zh-CN"/>
        </w:rPr>
        <w:t>及</w:t>
      </w:r>
      <w:r>
        <w:rPr>
          <w:rFonts w:hint="eastAsia" w:ascii="楷体_GB2312" w:hAnsi="宋体" w:eastAsia="楷体_GB2312" w:cs="宋体"/>
          <w:sz w:val="28"/>
          <w:szCs w:val="28"/>
        </w:rPr>
        <w:t>地点</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5-6</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7</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8</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32</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w:t>
      </w:r>
      <w:r>
        <w:rPr>
          <w:rFonts w:hint="eastAsia" w:ascii="宋体" w:hAnsi="宋体" w:cs="宋体"/>
          <w:sz w:val="28"/>
          <w:szCs w:val="28"/>
          <w:lang w:val="en-US" w:eastAsia="zh-CN"/>
        </w:rPr>
        <w:t>评审指引表</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33</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w:t>
      </w:r>
      <w:r>
        <w:rPr>
          <w:rFonts w:hint="eastAsia" w:ascii="宋体" w:hAnsi="宋体" w:cs="宋体"/>
          <w:sz w:val="28"/>
          <w:szCs w:val="28"/>
          <w:lang w:val="en-US" w:eastAsia="zh-CN"/>
        </w:rPr>
        <w:t>报价、评审方法等</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34</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w:t>
      </w:r>
      <w:r>
        <w:rPr>
          <w:rFonts w:hint="eastAsia" w:ascii="宋体" w:hAnsi="宋体" w:cs="宋体"/>
          <w:sz w:val="28"/>
          <w:szCs w:val="28"/>
          <w:lang w:val="en-US" w:eastAsia="zh-CN"/>
        </w:rPr>
        <w:t>评分标准和细则</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34</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62ABED43">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7C13FDC8">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七</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质疑及投诉</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35-37</w:t>
      </w:r>
      <w:r>
        <w:rPr>
          <w:rFonts w:hint="eastAsia" w:ascii="宋体" w:hAnsi="宋体" w:eastAsia="宋体" w:cs="宋体"/>
          <w:sz w:val="24"/>
          <w:szCs w:val="24"/>
          <w:lang w:eastAsia="zh-CN"/>
        </w:rPr>
        <w:t>）</w:t>
      </w:r>
    </w:p>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20"/>
        <w:numPr>
          <w:ilvl w:val="0"/>
          <w:numId w:val="0"/>
        </w:numPr>
        <w:rPr>
          <w:rFonts w:hint="eastAsia"/>
          <w:lang w:val="en-US" w:eastAsia="zh-CN"/>
        </w:rPr>
      </w:pPr>
    </w:p>
    <w:p w14:paraId="5EA41387">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宋体" w:hAnsi="宋体" w:eastAsia="宋体" w:cs="宋体"/>
          <w:b/>
          <w:bCs/>
          <w:sz w:val="44"/>
          <w:szCs w:val="44"/>
        </w:rPr>
      </w:pPr>
      <w:r>
        <w:rPr>
          <w:rFonts w:hint="eastAsia" w:ascii="宋体" w:hAnsi="宋体" w:eastAsia="宋体" w:cs="宋体"/>
          <w:b/>
          <w:bCs/>
          <w:sz w:val="36"/>
          <w:szCs w:val="36"/>
          <w:lang w:eastAsia="zh-CN"/>
        </w:rPr>
        <w:t>深圳市龙岗区人民医院</w:t>
      </w:r>
      <w:r>
        <w:rPr>
          <w:rFonts w:hint="eastAsia" w:ascii="宋体" w:hAnsi="宋体" w:eastAsia="宋体" w:cs="宋体"/>
          <w:b/>
          <w:bCs/>
          <w:sz w:val="36"/>
          <w:szCs w:val="36"/>
        </w:rPr>
        <w:t>关于深圳市龙岗区医用耗材联合采购项目公开</w:t>
      </w:r>
      <w:r>
        <w:rPr>
          <w:rFonts w:hint="eastAsia" w:ascii="宋体" w:hAnsi="宋体" w:cs="宋体"/>
          <w:b/>
          <w:bCs/>
          <w:sz w:val="36"/>
          <w:szCs w:val="36"/>
          <w:lang w:val="en-US" w:eastAsia="zh-CN"/>
        </w:rPr>
        <w:t>遴选</w:t>
      </w:r>
      <w:r>
        <w:rPr>
          <w:rFonts w:hint="eastAsia" w:ascii="宋体" w:hAnsi="宋体" w:eastAsia="宋体" w:cs="宋体"/>
          <w:b/>
          <w:bCs/>
          <w:sz w:val="36"/>
          <w:szCs w:val="36"/>
        </w:rPr>
        <w:t>的公告（编号：</w:t>
      </w:r>
      <w:r>
        <w:rPr>
          <w:rFonts w:hint="eastAsia" w:ascii="宋体" w:hAnsi="宋体" w:eastAsia="宋体" w:cs="宋体"/>
          <w:b/>
          <w:bCs/>
          <w:sz w:val="36"/>
          <w:szCs w:val="36"/>
          <w:lang w:val="en-US" w:eastAsia="zh-CN"/>
        </w:rPr>
        <w:t>LG</w:t>
      </w:r>
      <w:r>
        <w:rPr>
          <w:rFonts w:hint="eastAsia" w:ascii="宋体" w:hAnsi="宋体" w:eastAsia="宋体" w:cs="宋体"/>
          <w:b/>
          <w:bCs/>
          <w:sz w:val="36"/>
          <w:szCs w:val="36"/>
        </w:rPr>
        <w:t>LHHC202</w:t>
      </w:r>
      <w:r>
        <w:rPr>
          <w:rFonts w:hint="eastAsia" w:ascii="宋体" w:hAnsi="宋体" w:cs="宋体"/>
          <w:b/>
          <w:bCs/>
          <w:sz w:val="36"/>
          <w:szCs w:val="36"/>
          <w:lang w:val="en-US" w:eastAsia="zh-CN"/>
        </w:rPr>
        <w:t>6</w:t>
      </w:r>
      <w:r>
        <w:rPr>
          <w:rFonts w:hint="eastAsia" w:ascii="宋体" w:hAnsi="宋体" w:eastAsia="宋体" w:cs="宋体"/>
          <w:b/>
          <w:bCs/>
          <w:sz w:val="36"/>
          <w:szCs w:val="36"/>
        </w:rPr>
        <w:t>-0</w:t>
      </w:r>
      <w:r>
        <w:rPr>
          <w:rFonts w:hint="eastAsia" w:ascii="宋体" w:hAnsi="宋体" w:cs="宋体"/>
          <w:b/>
          <w:bCs/>
          <w:sz w:val="36"/>
          <w:szCs w:val="36"/>
          <w:lang w:val="en-US" w:eastAsia="zh-CN"/>
        </w:rPr>
        <w:t>2</w:t>
      </w:r>
      <w:r>
        <w:rPr>
          <w:rFonts w:hint="eastAsia" w:ascii="宋体" w:hAnsi="宋体" w:eastAsia="宋体" w:cs="宋体"/>
          <w:b/>
          <w:bCs/>
          <w:sz w:val="36"/>
          <w:szCs w:val="36"/>
        </w:rPr>
        <w:t>）</w:t>
      </w:r>
    </w:p>
    <w:p w14:paraId="1847C62F">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color w:val="auto"/>
        </w:rPr>
      </w:pPr>
    </w:p>
    <w:p w14:paraId="6222B822">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highlight w:val="none"/>
        </w:rPr>
      </w:pPr>
      <w:r>
        <w:rPr>
          <w:rFonts w:hint="eastAsia" w:ascii="宋体" w:hAnsi="宋体" w:eastAsia="宋体" w:cs="宋体"/>
          <w:color w:val="auto"/>
        </w:rPr>
        <w:t>根据《关于印发深圳市公立医疗机构医用耗材遴选采购管理指南（修订）的通知》的</w:t>
      </w:r>
      <w:r>
        <w:rPr>
          <w:rFonts w:hint="eastAsia" w:ascii="宋体" w:hAnsi="宋体" w:eastAsia="宋体" w:cs="宋体"/>
          <w:color w:val="auto"/>
          <w:lang w:val="en-US" w:eastAsia="zh-CN"/>
        </w:rPr>
        <w:t>有关</w:t>
      </w:r>
      <w:r>
        <w:rPr>
          <w:rFonts w:hint="eastAsia" w:ascii="宋体" w:hAnsi="宋体" w:eastAsia="宋体" w:cs="宋体"/>
          <w:color w:val="auto"/>
        </w:rPr>
        <w:t>规定，</w:t>
      </w:r>
      <w:r>
        <w:rPr>
          <w:rFonts w:hint="eastAsia" w:ascii="宋体" w:hAnsi="宋体" w:eastAsia="宋体" w:cs="宋体"/>
          <w:color w:val="auto"/>
          <w:lang w:eastAsia="zh-CN"/>
        </w:rPr>
        <w:t>本项目受龙岗区</w:t>
      </w:r>
      <w:r>
        <w:rPr>
          <w:rFonts w:hint="eastAsia" w:ascii="宋体" w:hAnsi="宋体" w:eastAsia="宋体" w:cs="宋体"/>
          <w:color w:val="auto"/>
          <w:lang w:val="en-US" w:eastAsia="zh-CN"/>
        </w:rPr>
        <w:t>12家公立医疗机构委托，</w:t>
      </w:r>
      <w:r>
        <w:rPr>
          <w:rFonts w:hint="eastAsia" w:ascii="宋体" w:hAnsi="宋体" w:eastAsia="宋体" w:cs="宋体"/>
          <w:color w:val="auto"/>
        </w:rPr>
        <w:t>由</w:t>
      </w:r>
      <w:r>
        <w:rPr>
          <w:rFonts w:hint="eastAsia" w:ascii="宋体" w:hAnsi="宋体" w:eastAsia="宋体" w:cs="宋体"/>
          <w:color w:val="auto"/>
          <w:lang w:eastAsia="zh-CN"/>
        </w:rPr>
        <w:t>深圳市龙岗区人民医院</w:t>
      </w:r>
      <w:r>
        <w:rPr>
          <w:rFonts w:hint="eastAsia" w:ascii="宋体" w:hAnsi="宋体" w:eastAsia="宋体" w:cs="宋体"/>
          <w:color w:val="auto"/>
        </w:rPr>
        <w:t>作为牵头方进行</w:t>
      </w:r>
      <w:r>
        <w:rPr>
          <w:rFonts w:hint="eastAsia" w:ascii="宋体" w:hAnsi="宋体" w:eastAsia="宋体" w:cs="宋体"/>
          <w:color w:val="auto"/>
          <w:lang w:eastAsia="zh-CN"/>
        </w:rPr>
        <w:t>联合采购工作</w:t>
      </w:r>
      <w:r>
        <w:rPr>
          <w:rFonts w:hint="eastAsia" w:ascii="宋体" w:hAnsi="宋体" w:eastAsia="宋体" w:cs="宋体"/>
          <w:color w:val="auto"/>
        </w:rPr>
        <w:t>，采购产品用于龙岗区12家公立医院（深圳市龙岗区人民医院、北京中医药大学深圳医院（龙岗）、深圳市龙岗中心医院、深圳市龙岗区第二人民医院、深圳市龙岗区第三人民医院、深圳市龙岗区第四人民医院、深圳市龙岗区第五人民医院、深圳市龙岗区第六人民医院、深圳市龙岗区第七人民医院、深圳市龙岗区妇幼保健院、深圳市龙岗区耳鼻咽喉医院、</w:t>
      </w:r>
      <w:r>
        <w:rPr>
          <w:rFonts w:hint="eastAsia" w:ascii="宋体" w:hAnsi="宋体" w:eastAsia="宋体" w:cs="宋体"/>
        </w:rPr>
        <w:t>深圳市龙岗区骨科医院）。</w:t>
      </w:r>
    </w:p>
    <w:p w14:paraId="26AF9FB5">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rPr>
      </w:pPr>
      <w:r>
        <w:rPr>
          <w:rFonts w:hint="eastAsia" w:ascii="宋体" w:hAnsi="宋体" w:eastAsia="宋体" w:cs="宋体"/>
          <w:highlight w:val="none"/>
        </w:rPr>
        <w:t>欢迎供应商积极参与</w:t>
      </w:r>
      <w:r>
        <w:rPr>
          <w:rFonts w:hint="eastAsia" w:ascii="宋体" w:hAnsi="宋体" w:eastAsia="宋体" w:cs="宋体"/>
          <w:highlight w:val="none"/>
          <w:lang w:eastAsia="zh-CN"/>
        </w:rPr>
        <w:t>报名</w:t>
      </w:r>
      <w:r>
        <w:rPr>
          <w:rFonts w:hint="eastAsia" w:ascii="宋体" w:hAnsi="宋体" w:eastAsia="宋体" w:cs="宋体"/>
          <w:highlight w:val="none"/>
        </w:rPr>
        <w:t>，</w:t>
      </w:r>
      <w:r>
        <w:rPr>
          <w:rFonts w:hint="eastAsia" w:ascii="宋体" w:hAnsi="宋体" w:eastAsia="宋体" w:cs="宋体"/>
          <w:highlight w:val="none"/>
          <w:lang w:eastAsia="zh-CN"/>
        </w:rPr>
        <w:t>报名供应</w:t>
      </w:r>
      <w:r>
        <w:rPr>
          <w:rFonts w:hint="eastAsia" w:ascii="宋体" w:hAnsi="宋体" w:eastAsia="宋体" w:cs="宋体"/>
          <w:highlight w:val="none"/>
        </w:rPr>
        <w:t>商中</w:t>
      </w:r>
      <w:r>
        <w:rPr>
          <w:rFonts w:hint="eastAsia" w:ascii="宋体" w:hAnsi="宋体" w:eastAsia="宋体" w:cs="宋体"/>
          <w:highlight w:val="none"/>
          <w:lang w:eastAsia="zh-CN"/>
        </w:rPr>
        <w:t>选</w:t>
      </w:r>
      <w:r>
        <w:rPr>
          <w:rFonts w:hint="eastAsia" w:ascii="宋体" w:hAnsi="宋体" w:eastAsia="宋体" w:cs="宋体"/>
          <w:highlight w:val="none"/>
        </w:rPr>
        <w:t>后，将分别与</w:t>
      </w:r>
      <w:r>
        <w:rPr>
          <w:rFonts w:hint="eastAsia" w:ascii="宋体" w:hAnsi="宋体" w:cs="宋体"/>
          <w:highlight w:val="none"/>
          <w:lang w:eastAsia="zh-CN"/>
        </w:rPr>
        <w:t>有采购需求的</w:t>
      </w:r>
      <w:r>
        <w:rPr>
          <w:rFonts w:hint="eastAsia" w:ascii="宋体" w:hAnsi="宋体" w:eastAsia="宋体" w:cs="宋体"/>
          <w:highlight w:val="none"/>
        </w:rPr>
        <w:t>医院签订</w:t>
      </w:r>
      <w:r>
        <w:rPr>
          <w:rFonts w:hint="eastAsia" w:ascii="宋体" w:hAnsi="宋体" w:eastAsia="宋体" w:cs="宋体"/>
          <w:highlight w:val="none"/>
          <w:lang w:eastAsia="zh-CN"/>
        </w:rPr>
        <w:t>不超过</w:t>
      </w:r>
      <w:r>
        <w:rPr>
          <w:rFonts w:hint="eastAsia" w:ascii="宋体" w:hAnsi="宋体" w:cs="宋体"/>
          <w:color w:val="auto"/>
          <w:highlight w:val="none"/>
          <w:lang w:val="en-US" w:eastAsia="zh-CN"/>
        </w:rPr>
        <w:t>24</w:t>
      </w:r>
      <w:r>
        <w:rPr>
          <w:rFonts w:hint="eastAsia" w:ascii="宋体" w:hAnsi="宋体" w:eastAsia="宋体" w:cs="宋体"/>
          <w:color w:val="auto"/>
          <w:highlight w:val="none"/>
        </w:rPr>
        <w:t>个月的供货合同。</w:t>
      </w:r>
    </w:p>
    <w:p w14:paraId="0767F64F">
      <w:pPr>
        <w:keepNext w:val="0"/>
        <w:keepLines w:val="0"/>
        <w:pageBreakBefore w:val="0"/>
        <w:widowControl w:val="0"/>
        <w:numPr>
          <w:ilvl w:val="0"/>
          <w:numId w:val="2"/>
        </w:numPr>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遴选</w:t>
      </w:r>
      <w:r>
        <w:rPr>
          <w:rFonts w:hint="eastAsia" w:ascii="宋体" w:hAnsi="宋体" w:eastAsia="宋体" w:cs="宋体"/>
          <w:color w:val="auto"/>
          <w:highlight w:val="none"/>
          <w:lang w:eastAsia="zh-CN"/>
        </w:rPr>
        <w:t>项目</w:t>
      </w:r>
      <w:r>
        <w:rPr>
          <w:rFonts w:hint="eastAsia" w:ascii="宋体" w:hAnsi="宋体" w:eastAsia="宋体" w:cs="宋体"/>
          <w:highlight w:val="none"/>
          <w:lang w:eastAsia="zh-CN"/>
        </w:rPr>
        <w:t>：</w:t>
      </w:r>
    </w:p>
    <w:tbl>
      <w:tblPr>
        <w:tblStyle w:val="15"/>
        <w:tblpPr w:leftFromText="180" w:rightFromText="180" w:vertAnchor="text" w:horzAnchor="page" w:tblpXSpec="center" w:tblpY="327"/>
        <w:tblOverlap w:val="never"/>
        <w:tblW w:w="981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7"/>
        <w:gridCol w:w="2159"/>
        <w:gridCol w:w="1264"/>
        <w:gridCol w:w="1125"/>
        <w:gridCol w:w="1125"/>
        <w:gridCol w:w="3437"/>
      </w:tblGrid>
      <w:tr w14:paraId="4F761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7" w:type="dxa"/>
            <w:tcBorders>
              <w:top w:val="single" w:color="000000" w:sz="4" w:space="0"/>
              <w:left w:val="single" w:color="000000" w:sz="4" w:space="0"/>
              <w:bottom w:val="single" w:color="auto" w:sz="4" w:space="0"/>
              <w:right w:val="single" w:color="000000" w:sz="4" w:space="0"/>
            </w:tcBorders>
            <w:noWrap w:val="0"/>
            <w:vAlign w:val="center"/>
          </w:tcPr>
          <w:p w14:paraId="686E5CF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2159" w:type="dxa"/>
            <w:tcBorders>
              <w:top w:val="single" w:color="000000" w:sz="4" w:space="0"/>
              <w:left w:val="single" w:color="000000" w:sz="4" w:space="0"/>
              <w:bottom w:val="single" w:color="000000" w:sz="4" w:space="0"/>
              <w:right w:val="single" w:color="000000" w:sz="4" w:space="0"/>
            </w:tcBorders>
            <w:noWrap w:val="0"/>
            <w:vAlign w:val="center"/>
          </w:tcPr>
          <w:p w14:paraId="45CF3EE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产品名称</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14:paraId="7AFF22B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规格型号</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00449AA">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计量单位</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2514539D">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最高采购价（元）</w:t>
            </w:r>
          </w:p>
        </w:tc>
        <w:tc>
          <w:tcPr>
            <w:tcW w:w="3437" w:type="dxa"/>
            <w:tcBorders>
              <w:top w:val="single" w:color="000000" w:sz="4" w:space="0"/>
              <w:left w:val="single" w:color="000000" w:sz="4" w:space="0"/>
              <w:bottom w:val="single" w:color="000000" w:sz="4" w:space="0"/>
              <w:right w:val="single" w:color="000000" w:sz="4" w:space="0"/>
            </w:tcBorders>
            <w:noWrap w:val="0"/>
            <w:vAlign w:val="center"/>
          </w:tcPr>
          <w:p w14:paraId="3C1CA33B">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采购需求/参数</w:t>
            </w:r>
          </w:p>
        </w:tc>
      </w:tr>
      <w:tr w14:paraId="511CB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7" w:type="dxa"/>
            <w:tcBorders>
              <w:top w:val="single" w:color="auto" w:sz="4" w:space="0"/>
              <w:left w:val="single" w:color="auto" w:sz="4" w:space="0"/>
              <w:bottom w:val="single" w:color="auto" w:sz="4" w:space="0"/>
              <w:right w:val="single" w:color="auto" w:sz="4" w:space="0"/>
            </w:tcBorders>
            <w:noWrap w:val="0"/>
            <w:vAlign w:val="center"/>
          </w:tcPr>
          <w:p w14:paraId="4F9E2028">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w:t>
            </w:r>
          </w:p>
        </w:tc>
        <w:tc>
          <w:tcPr>
            <w:tcW w:w="2159" w:type="dxa"/>
            <w:tcBorders>
              <w:top w:val="single" w:color="000000" w:sz="4" w:space="0"/>
              <w:left w:val="single" w:color="auto" w:sz="4" w:space="0"/>
              <w:right w:val="single" w:color="000000" w:sz="4" w:space="0"/>
            </w:tcBorders>
            <w:noWrap w:val="0"/>
            <w:vAlign w:val="center"/>
          </w:tcPr>
          <w:p w14:paraId="56FAF77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i w:val="0"/>
                <w:iCs w:val="0"/>
                <w:color w:val="000000"/>
                <w:sz w:val="20"/>
                <w:szCs w:val="20"/>
                <w:u w:val="none"/>
                <w:lang w:val="en-US" w:eastAsia="zh-CN"/>
              </w:rPr>
              <w:t>多酶清洗液（中性）</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14:paraId="673D7C8E">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1L</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2DADAF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i w:val="0"/>
                <w:iCs w:val="0"/>
                <w:color w:val="000000"/>
                <w:sz w:val="20"/>
                <w:szCs w:val="20"/>
                <w:u w:val="none"/>
                <w:lang w:val="en-US" w:eastAsia="zh-CN"/>
              </w:rPr>
              <w:t>桶</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2ECC3BCD">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i w:val="0"/>
                <w:iCs w:val="0"/>
                <w:color w:val="000000"/>
                <w:sz w:val="20"/>
                <w:szCs w:val="20"/>
                <w:u w:val="none"/>
                <w:lang w:val="en-US" w:eastAsia="zh-CN"/>
              </w:rPr>
              <w:t>55</w:t>
            </w:r>
          </w:p>
        </w:tc>
        <w:tc>
          <w:tcPr>
            <w:tcW w:w="3437" w:type="dxa"/>
            <w:tcBorders>
              <w:top w:val="single" w:color="000000" w:sz="4" w:space="0"/>
              <w:left w:val="single" w:color="000000" w:sz="4" w:space="0"/>
              <w:bottom w:val="single" w:color="000000" w:sz="4" w:space="0"/>
              <w:right w:val="single" w:color="000000" w:sz="4" w:space="0"/>
            </w:tcBorders>
            <w:noWrap w:val="0"/>
            <w:vAlign w:val="center"/>
          </w:tcPr>
          <w:p w14:paraId="12E039DC">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1、手洗机洗通用</w:t>
            </w:r>
            <w:r>
              <w:rPr>
                <w:rFonts w:hint="eastAsia" w:ascii="宋体" w:hAnsi="宋体" w:cs="宋体"/>
                <w:i w:val="0"/>
                <w:iCs w:val="0"/>
                <w:color w:val="000000"/>
                <w:sz w:val="20"/>
                <w:szCs w:val="20"/>
                <w:u w:val="none"/>
                <w:lang w:val="en-US" w:eastAsia="zh-CN"/>
              </w:rPr>
              <w:t>，低泡型</w:t>
            </w:r>
            <w:r>
              <w:rPr>
                <w:rFonts w:hint="eastAsia" w:ascii="宋体" w:hAnsi="宋体" w:eastAsia="宋体" w:cs="宋体"/>
                <w:i w:val="0"/>
                <w:iCs w:val="0"/>
                <w:color w:val="000000"/>
                <w:sz w:val="20"/>
                <w:szCs w:val="20"/>
                <w:u w:val="none"/>
                <w:lang w:val="en-US" w:eastAsia="zh-CN"/>
              </w:rPr>
              <w:t>。</w:t>
            </w:r>
          </w:p>
          <w:p w14:paraId="094F00A1">
            <w:pPr>
              <w:keepNext w:val="0"/>
              <w:keepLines w:val="0"/>
              <w:widowControl/>
              <w:suppressLineNumbers w:val="0"/>
              <w:jc w:val="left"/>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2、快速高效，可快速分解各种有机物。</w:t>
            </w:r>
          </w:p>
          <w:p w14:paraId="356AC4A0">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3、</w:t>
            </w:r>
            <w:r>
              <w:rPr>
                <w:rFonts w:hint="eastAsia" w:ascii="宋体" w:hAnsi="宋体" w:eastAsia="宋体" w:cs="宋体"/>
                <w:i w:val="0"/>
                <w:iCs w:val="0"/>
                <w:color w:val="000000"/>
                <w:sz w:val="20"/>
                <w:szCs w:val="20"/>
                <w:u w:val="none"/>
                <w:lang w:val="en-US" w:eastAsia="zh-CN"/>
              </w:rPr>
              <w:t>无毒无味，对环境无污染，溶液澄清，无浑浊。</w:t>
            </w:r>
          </w:p>
          <w:p w14:paraId="72ECB388">
            <w:pPr>
              <w:keepNext w:val="0"/>
              <w:keepLines w:val="0"/>
              <w:widowControl/>
              <w:suppressLineNumbers w:val="0"/>
              <w:jc w:val="left"/>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4、</w:t>
            </w:r>
            <w:r>
              <w:rPr>
                <w:rFonts w:hint="eastAsia" w:ascii="宋体" w:hAnsi="宋体" w:eastAsia="宋体" w:cs="宋体"/>
                <w:i w:val="0"/>
                <w:iCs w:val="0"/>
                <w:color w:val="000000"/>
                <w:sz w:val="20"/>
                <w:szCs w:val="20"/>
                <w:u w:val="none"/>
                <w:lang w:val="en-US" w:eastAsia="zh-CN"/>
              </w:rPr>
              <w:t>用于各类医疗器械物品的清洗，具生物膜去除力。</w:t>
            </w:r>
          </w:p>
          <w:p w14:paraId="2AEC85B1">
            <w:pPr>
              <w:keepNext w:val="0"/>
              <w:keepLines w:val="0"/>
              <w:widowControl/>
              <w:suppressLineNumbers w:val="0"/>
              <w:jc w:val="left"/>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5、</w:t>
            </w:r>
            <w:r>
              <w:rPr>
                <w:rFonts w:hint="eastAsia" w:ascii="宋体" w:hAnsi="宋体" w:eastAsia="宋体" w:cs="宋体"/>
                <w:i w:val="0"/>
                <w:iCs w:val="0"/>
                <w:color w:val="000000"/>
                <w:sz w:val="20"/>
                <w:szCs w:val="20"/>
                <w:u w:val="none"/>
                <w:lang w:val="en-US" w:eastAsia="zh-CN"/>
              </w:rPr>
              <w:t>pH值呈中性，对各种材质的器械无腐蚀性。</w:t>
            </w:r>
          </w:p>
          <w:p w14:paraId="68DDB9C5">
            <w:pPr>
              <w:keepNext w:val="0"/>
              <w:keepLines w:val="0"/>
              <w:widowControl/>
              <w:suppressLineNumbers w:val="0"/>
              <w:jc w:val="left"/>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6、表面活性剂生物可降解。</w:t>
            </w:r>
          </w:p>
          <w:p w14:paraId="2D53B82E">
            <w:pPr>
              <w:keepNext w:val="0"/>
              <w:keepLines w:val="0"/>
              <w:widowControl/>
              <w:suppressLineNumbers w:val="0"/>
              <w:jc w:val="left"/>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7、低泡，易漂洗，无明显刺激性气味。</w:t>
            </w:r>
          </w:p>
          <w:p w14:paraId="2BC6C2C3">
            <w:pPr>
              <w:keepNext w:val="0"/>
              <w:keepLines w:val="0"/>
              <w:widowControl/>
              <w:suppressLineNumbers w:val="0"/>
              <w:jc w:val="left"/>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cs="宋体"/>
                <w:i w:val="0"/>
                <w:iCs w:val="0"/>
                <w:color w:val="000000"/>
                <w:sz w:val="20"/>
                <w:szCs w:val="20"/>
                <w:u w:val="none"/>
                <w:lang w:val="en-US" w:eastAsia="zh-CN"/>
              </w:rPr>
              <w:t>8、</w:t>
            </w:r>
            <w:r>
              <w:rPr>
                <w:rFonts w:hint="eastAsia" w:ascii="宋体" w:hAnsi="宋体" w:eastAsia="宋体" w:cs="宋体"/>
                <w:i w:val="0"/>
                <w:iCs w:val="0"/>
                <w:color w:val="000000"/>
                <w:sz w:val="20"/>
                <w:szCs w:val="20"/>
                <w:u w:val="none"/>
                <w:lang w:val="en-US" w:eastAsia="zh-CN"/>
              </w:rPr>
              <w:t>适用于供应室。</w:t>
            </w:r>
          </w:p>
        </w:tc>
      </w:tr>
      <w:tr w14:paraId="4703B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7" w:type="dxa"/>
            <w:tcBorders>
              <w:top w:val="single" w:color="auto" w:sz="4" w:space="0"/>
              <w:left w:val="single" w:color="auto" w:sz="4" w:space="0"/>
              <w:bottom w:val="single" w:color="auto" w:sz="4" w:space="0"/>
              <w:right w:val="single" w:color="auto" w:sz="4" w:space="0"/>
            </w:tcBorders>
            <w:noWrap w:val="0"/>
            <w:vAlign w:val="center"/>
          </w:tcPr>
          <w:p w14:paraId="405BFF09">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2</w:t>
            </w:r>
          </w:p>
        </w:tc>
        <w:tc>
          <w:tcPr>
            <w:tcW w:w="2159" w:type="dxa"/>
            <w:tcBorders>
              <w:top w:val="single" w:color="000000" w:sz="4" w:space="0"/>
              <w:left w:val="single" w:color="auto" w:sz="4" w:space="0"/>
              <w:bottom w:val="single" w:color="000000" w:sz="4" w:space="0"/>
              <w:right w:val="single" w:color="000000" w:sz="4" w:space="0"/>
            </w:tcBorders>
            <w:noWrap w:val="0"/>
            <w:vAlign w:val="center"/>
          </w:tcPr>
          <w:p w14:paraId="2E219B9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i w:val="0"/>
                <w:iCs w:val="0"/>
                <w:color w:val="000000"/>
                <w:sz w:val="20"/>
                <w:szCs w:val="20"/>
                <w:u w:val="none"/>
                <w:lang w:val="en-US" w:eastAsia="zh-CN"/>
              </w:rPr>
              <w:t>多酶清洗液（碱性）</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14:paraId="35BBB90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1L</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77DE3D9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i w:val="0"/>
                <w:iCs w:val="0"/>
                <w:color w:val="000000"/>
                <w:sz w:val="20"/>
                <w:szCs w:val="20"/>
                <w:u w:val="none"/>
                <w:lang w:val="en-US" w:eastAsia="zh-CN"/>
              </w:rPr>
              <w:t>桶</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21CA7322">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SA"/>
              </w:rPr>
              <w:t>52</w:t>
            </w:r>
          </w:p>
        </w:tc>
        <w:tc>
          <w:tcPr>
            <w:tcW w:w="3437" w:type="dxa"/>
            <w:tcBorders>
              <w:top w:val="single" w:color="000000" w:sz="4" w:space="0"/>
              <w:left w:val="single" w:color="000000" w:sz="4" w:space="0"/>
              <w:bottom w:val="single" w:color="000000" w:sz="4" w:space="0"/>
              <w:right w:val="single" w:color="000000" w:sz="4" w:space="0"/>
            </w:tcBorders>
            <w:noWrap w:val="0"/>
            <w:vAlign w:val="center"/>
          </w:tcPr>
          <w:p w14:paraId="792FE784">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1.手洗机洗通用</w:t>
            </w:r>
            <w:r>
              <w:rPr>
                <w:rFonts w:hint="eastAsia" w:ascii="宋体" w:hAnsi="宋体" w:cs="宋体"/>
                <w:i w:val="0"/>
                <w:iCs w:val="0"/>
                <w:color w:val="000000"/>
                <w:sz w:val="20"/>
                <w:szCs w:val="20"/>
                <w:u w:val="none"/>
                <w:lang w:val="en-US" w:eastAsia="zh-CN"/>
              </w:rPr>
              <w:t>，低泡型</w:t>
            </w:r>
            <w:r>
              <w:rPr>
                <w:rFonts w:hint="eastAsia" w:ascii="宋体" w:hAnsi="宋体" w:eastAsia="宋体" w:cs="宋体"/>
                <w:i w:val="0"/>
                <w:iCs w:val="0"/>
                <w:color w:val="000000"/>
                <w:sz w:val="20"/>
                <w:szCs w:val="20"/>
                <w:u w:val="none"/>
                <w:lang w:val="en-US" w:eastAsia="zh-CN"/>
              </w:rPr>
              <w:t>。</w:t>
            </w:r>
          </w:p>
          <w:p w14:paraId="4A46FC97">
            <w:pPr>
              <w:keepNext w:val="0"/>
              <w:keepLines w:val="0"/>
              <w:widowControl/>
              <w:suppressLineNumbers w:val="0"/>
              <w:jc w:val="left"/>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2.快速高效，可快速分解各种有机物。</w:t>
            </w:r>
          </w:p>
          <w:p w14:paraId="2D338CFD">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3.</w:t>
            </w:r>
            <w:r>
              <w:rPr>
                <w:rFonts w:hint="eastAsia" w:ascii="宋体" w:hAnsi="宋体" w:eastAsia="宋体" w:cs="宋体"/>
                <w:i w:val="0"/>
                <w:iCs w:val="0"/>
                <w:color w:val="000000"/>
                <w:sz w:val="20"/>
                <w:szCs w:val="20"/>
                <w:u w:val="none"/>
                <w:lang w:val="en-US" w:eastAsia="zh-CN"/>
              </w:rPr>
              <w:t>无毒无味，对环境无污染，溶液澄清，无浑浊。</w:t>
            </w:r>
          </w:p>
          <w:p w14:paraId="335DC55D">
            <w:pPr>
              <w:keepNext w:val="0"/>
              <w:keepLines w:val="0"/>
              <w:widowControl/>
              <w:suppressLineNumbers w:val="0"/>
              <w:jc w:val="left"/>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4</w:t>
            </w:r>
            <w:r>
              <w:rPr>
                <w:rFonts w:hint="eastAsia" w:ascii="宋体" w:hAnsi="宋体" w:eastAsia="宋体" w:cs="宋体"/>
                <w:i w:val="0"/>
                <w:iCs w:val="0"/>
                <w:color w:val="000000"/>
                <w:sz w:val="20"/>
                <w:szCs w:val="20"/>
                <w:u w:val="none"/>
                <w:lang w:val="en-US" w:eastAsia="zh-CN"/>
              </w:rPr>
              <w:t>.用于各类医疗器械物品的清洗，具生物膜去除力。</w:t>
            </w:r>
          </w:p>
          <w:p w14:paraId="43A84756">
            <w:pPr>
              <w:keepNext w:val="0"/>
              <w:keepLines w:val="0"/>
              <w:widowControl/>
              <w:suppressLineNumbers w:val="0"/>
              <w:jc w:val="left"/>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5</w:t>
            </w:r>
            <w:r>
              <w:rPr>
                <w:rFonts w:hint="eastAsia" w:ascii="宋体" w:hAnsi="宋体" w:eastAsia="宋体" w:cs="宋体"/>
                <w:i w:val="0"/>
                <w:iCs w:val="0"/>
                <w:color w:val="000000"/>
                <w:sz w:val="20"/>
                <w:szCs w:val="20"/>
                <w:u w:val="none"/>
                <w:lang w:val="en-US" w:eastAsia="zh-CN"/>
              </w:rPr>
              <w:t>.pH值呈弱碱性</w:t>
            </w:r>
            <w:r>
              <w:rPr>
                <w:rFonts w:hint="eastAsia" w:ascii="宋体" w:hAnsi="宋体" w:cs="宋体"/>
                <w:i w:val="0"/>
                <w:iCs w:val="0"/>
                <w:color w:val="000000"/>
                <w:sz w:val="20"/>
                <w:szCs w:val="20"/>
                <w:u w:val="none"/>
                <w:lang w:val="en-US" w:eastAsia="zh-CN"/>
              </w:rPr>
              <w:t>，碱性清洗液基本无或有轻微腐蚀，腐蚀程度不宜强于水洗。</w:t>
            </w:r>
          </w:p>
          <w:p w14:paraId="6018C5BE">
            <w:pPr>
              <w:keepNext w:val="0"/>
              <w:keepLines w:val="0"/>
              <w:widowControl/>
              <w:suppressLineNumbers w:val="0"/>
              <w:jc w:val="left"/>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cs="宋体"/>
                <w:i w:val="0"/>
                <w:iCs w:val="0"/>
                <w:color w:val="000000"/>
                <w:sz w:val="20"/>
                <w:szCs w:val="20"/>
                <w:u w:val="none"/>
                <w:lang w:val="en-US" w:eastAsia="zh-CN"/>
              </w:rPr>
              <w:t>6</w:t>
            </w:r>
            <w:r>
              <w:rPr>
                <w:rFonts w:hint="eastAsia" w:ascii="宋体" w:hAnsi="宋体" w:eastAsia="宋体" w:cs="宋体"/>
                <w:i w:val="0"/>
                <w:iCs w:val="0"/>
                <w:color w:val="000000"/>
                <w:sz w:val="20"/>
                <w:szCs w:val="20"/>
                <w:u w:val="none"/>
                <w:lang w:val="en-US" w:eastAsia="zh-CN"/>
              </w:rPr>
              <w:t>.适用于供应室。</w:t>
            </w:r>
          </w:p>
        </w:tc>
      </w:tr>
    </w:tbl>
    <w:p w14:paraId="5DDAAD04">
      <w:pPr>
        <w:keepNext w:val="0"/>
        <w:keepLines w:val="0"/>
        <w:pageBreakBefore w:val="0"/>
        <w:widowControl w:val="0"/>
        <w:numPr>
          <w:ilvl w:val="0"/>
          <w:numId w:val="0"/>
        </w:numPr>
        <w:kinsoku/>
        <w:wordWrap/>
        <w:overflowPunct/>
        <w:topLinePunct w:val="0"/>
        <w:autoSpaceDE/>
        <w:autoSpaceDN/>
        <w:bidi w:val="0"/>
        <w:adjustRightInd/>
        <w:snapToGrid/>
        <w:jc w:val="distribute"/>
        <w:textAlignment w:val="auto"/>
        <w:outlineLvl w:val="9"/>
        <w:rPr>
          <w:rFonts w:hint="eastAsia" w:ascii="宋体" w:hAnsi="宋体" w:eastAsia="宋体" w:cs="宋体"/>
          <w:color w:val="auto"/>
          <w:highlight w:val="none"/>
          <w:lang w:eastAsia="zh-CN"/>
        </w:rPr>
      </w:pPr>
    </w:p>
    <w:p w14:paraId="5DD27F32">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default" w:ascii="宋体" w:hAnsi="宋体" w:eastAsia="宋体" w:cs="宋体"/>
          <w:color w:val="auto"/>
          <w:highlight w:val="yellow"/>
          <w:lang w:val="en-US" w:eastAsia="zh-CN"/>
        </w:rPr>
      </w:pPr>
      <w:r>
        <w:rPr>
          <w:rFonts w:hint="eastAsia" w:ascii="宋体" w:hAnsi="宋体" w:cs="宋体"/>
          <w:color w:val="auto"/>
          <w:highlight w:val="yellow"/>
          <w:lang w:val="en-US" w:eastAsia="zh-CN"/>
        </w:rPr>
        <w:t>备注：</w:t>
      </w:r>
      <w:r>
        <w:rPr>
          <w:rFonts w:hint="eastAsia" w:ascii="宋体" w:hAnsi="宋体" w:cs="宋体"/>
          <w:color w:val="auto"/>
          <w:highlight w:val="yellow"/>
          <w:lang w:eastAsia="zh-CN"/>
        </w:rPr>
        <w:t>产品名称和规格仅</w:t>
      </w:r>
      <w:r>
        <w:rPr>
          <w:rFonts w:hint="eastAsia" w:ascii="宋体" w:hAnsi="宋体" w:cs="宋体"/>
          <w:color w:val="auto"/>
          <w:highlight w:val="yellow"/>
          <w:lang w:val="en-US" w:eastAsia="zh-CN"/>
        </w:rPr>
        <w:t>供</w:t>
      </w:r>
      <w:r>
        <w:rPr>
          <w:rFonts w:hint="eastAsia" w:ascii="宋体" w:hAnsi="宋体" w:cs="宋体"/>
          <w:color w:val="auto"/>
          <w:highlight w:val="yellow"/>
          <w:lang w:eastAsia="zh-CN"/>
        </w:rPr>
        <w:t>参考，欢迎各供应商提供能实现同等功能的产品。</w:t>
      </w:r>
    </w:p>
    <w:p w14:paraId="704DD65C">
      <w:pPr>
        <w:keepNext w:val="0"/>
        <w:keepLines w:val="0"/>
        <w:pageBreakBefore w:val="0"/>
        <w:widowControl w:val="0"/>
        <w:numPr>
          <w:ilvl w:val="0"/>
          <w:numId w:val="2"/>
        </w:numPr>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报名时间及</w:t>
      </w:r>
      <w:r>
        <w:rPr>
          <w:rFonts w:hint="eastAsia" w:ascii="宋体" w:hAnsi="宋体" w:cs="宋体"/>
          <w:color w:val="auto"/>
          <w:highlight w:val="none"/>
          <w:lang w:eastAsia="zh-CN"/>
        </w:rPr>
        <w:t>方式</w:t>
      </w:r>
      <w:r>
        <w:rPr>
          <w:rFonts w:hint="eastAsia" w:ascii="宋体" w:hAnsi="宋体" w:eastAsia="宋体" w:cs="宋体"/>
          <w:color w:val="auto"/>
          <w:highlight w:val="none"/>
          <w:lang w:eastAsia="zh-CN"/>
        </w:rPr>
        <w:t>：</w:t>
      </w:r>
    </w:p>
    <w:p w14:paraId="43FD81C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（一）</w:t>
      </w:r>
      <w:r>
        <w:rPr>
          <w:rFonts w:hint="eastAsia" w:ascii="宋体" w:hAnsi="宋体" w:eastAsia="宋体" w:cs="宋体"/>
          <w:color w:val="auto"/>
          <w:highlight w:val="none"/>
          <w:lang w:eastAsia="zh-CN"/>
        </w:rPr>
        <w:t>报名时间：</w:t>
      </w:r>
      <w:r>
        <w:rPr>
          <w:rFonts w:hint="eastAsia" w:ascii="宋体" w:hAnsi="宋体" w:cs="宋体"/>
          <w:color w:val="auto"/>
          <w:highlight w:val="none"/>
          <w:lang w:val="en-US" w:eastAsia="zh-CN"/>
        </w:rPr>
        <w:t>公告发布之日起5个工作日</w:t>
      </w:r>
      <w:r>
        <w:rPr>
          <w:rFonts w:hint="eastAsia" w:ascii="宋体" w:hAnsi="宋体" w:eastAsia="宋体" w:cs="宋体"/>
          <w:color w:val="auto"/>
          <w:highlight w:val="none"/>
          <w:lang w:eastAsia="zh-CN"/>
        </w:rPr>
        <w:t>，逾期不予受理。</w:t>
      </w:r>
    </w:p>
    <w:p w14:paraId="5773F16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eastAsia="zh-CN"/>
        </w:rPr>
      </w:pPr>
      <w:r>
        <w:rPr>
          <w:rFonts w:hint="eastAsia" w:ascii="宋体" w:hAnsi="宋体" w:eastAsia="宋体" w:cs="宋体"/>
          <w:color w:val="auto"/>
          <w:lang w:eastAsia="zh-CN"/>
        </w:rPr>
        <w:t>（二）报名方式：线上报</w:t>
      </w:r>
      <w:r>
        <w:rPr>
          <w:rFonts w:hint="eastAsia" w:ascii="宋体" w:hAnsi="宋体" w:eastAsia="宋体" w:cs="宋体"/>
          <w:color w:val="auto"/>
          <w:highlight w:val="none"/>
          <w:lang w:eastAsia="zh-CN"/>
        </w:rPr>
        <w:t>名，报名</w:t>
      </w:r>
      <w:r>
        <w:rPr>
          <w:rFonts w:hint="eastAsia" w:ascii="宋体" w:hAnsi="宋体" w:eastAsia="宋体" w:cs="宋体"/>
          <w:color w:val="auto"/>
          <w:highlight w:val="none"/>
          <w:lang w:val="en-US" w:eastAsia="zh-CN"/>
        </w:rPr>
        <w:t>文件可编辑</w:t>
      </w:r>
      <w:r>
        <w:rPr>
          <w:rFonts w:hint="eastAsia" w:ascii="宋体" w:hAnsi="宋体" w:eastAsia="宋体" w:cs="宋体"/>
          <w:color w:val="auto"/>
          <w:highlight w:val="none"/>
          <w:lang w:eastAsia="zh-CN"/>
        </w:rPr>
        <w:t>电子版及</w:t>
      </w:r>
      <w:r>
        <w:rPr>
          <w:rFonts w:hint="eastAsia" w:ascii="宋体" w:hAnsi="宋体" w:eastAsia="宋体" w:cs="宋体"/>
          <w:color w:val="auto"/>
          <w:highlight w:val="none"/>
          <w:lang w:val="en-US" w:eastAsia="zh-CN"/>
        </w:rPr>
        <w:t>盖章版PDF</w:t>
      </w:r>
      <w:r>
        <w:rPr>
          <w:rFonts w:hint="eastAsia" w:ascii="宋体" w:hAnsi="宋体" w:eastAsia="宋体" w:cs="宋体"/>
          <w:color w:val="auto"/>
          <w:highlight w:val="none"/>
          <w:lang w:eastAsia="zh-CN"/>
        </w:rPr>
        <w:t>扫描件均以邮件形式发送。</w:t>
      </w:r>
    </w:p>
    <w:p w14:paraId="5C39610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lang w:eastAsia="zh-CN"/>
        </w:rPr>
        <w:t>（三）邮箱：</w:t>
      </w:r>
      <w:r>
        <w:rPr>
          <w:rFonts w:hint="eastAsia" w:ascii="宋体" w:hAnsi="宋体" w:eastAsia="宋体" w:cs="宋体"/>
          <w:color w:val="auto"/>
          <w:lang w:eastAsia="zh-CN"/>
        </w:rPr>
        <w:fldChar w:fldCharType="begin"/>
      </w:r>
      <w:r>
        <w:rPr>
          <w:rFonts w:hint="eastAsia" w:ascii="宋体" w:hAnsi="宋体" w:eastAsia="宋体" w:cs="宋体"/>
          <w:color w:val="auto"/>
          <w:lang w:eastAsia="zh-CN"/>
        </w:rPr>
        <w:instrText xml:space="preserve"> HYPERLINK "mailto:szslgqrmyysbk1@lg.gov.cn" </w:instrText>
      </w:r>
      <w:r>
        <w:rPr>
          <w:rFonts w:hint="eastAsia" w:ascii="宋体" w:hAnsi="宋体" w:eastAsia="宋体" w:cs="宋体"/>
          <w:color w:val="auto"/>
          <w:lang w:eastAsia="zh-CN"/>
        </w:rPr>
        <w:fldChar w:fldCharType="separate"/>
      </w:r>
      <w:r>
        <w:rPr>
          <w:rFonts w:hint="eastAsia" w:ascii="宋体" w:hAnsi="宋体" w:eastAsia="宋体" w:cs="宋体"/>
          <w:color w:val="auto"/>
          <w:lang w:eastAsia="zh-CN"/>
        </w:rPr>
        <w:t>szslgqrmyysbk1</w:t>
      </w:r>
      <w:r>
        <w:rPr>
          <w:rFonts w:hint="eastAsia" w:ascii="宋体" w:hAnsi="宋体" w:eastAsia="宋体" w:cs="宋体"/>
          <w:color w:val="auto"/>
          <w:lang w:val="en-US" w:eastAsia="zh-CN"/>
        </w:rPr>
        <w:t>@</w:t>
      </w:r>
      <w:r>
        <w:rPr>
          <w:rFonts w:hint="eastAsia" w:ascii="宋体" w:hAnsi="宋体" w:eastAsia="宋体" w:cs="宋体"/>
          <w:color w:val="auto"/>
          <w:lang w:eastAsia="zh-CN"/>
        </w:rPr>
        <w:t>lg.gov.cn</w:t>
      </w:r>
      <w:r>
        <w:rPr>
          <w:rFonts w:hint="eastAsia" w:ascii="宋体" w:hAnsi="宋体" w:eastAsia="宋体" w:cs="宋体"/>
          <w:color w:val="auto"/>
          <w:lang w:eastAsia="zh-CN"/>
        </w:rPr>
        <w:fldChar w:fldCharType="end"/>
      </w:r>
    </w:p>
    <w:p w14:paraId="2DB0E541">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420" w:firstLineChars="200"/>
        <w:jc w:val="left"/>
        <w:textAlignment w:val="auto"/>
        <w:outlineLvl w:val="9"/>
        <w:rPr>
          <w:rFonts w:hint="eastAsia" w:ascii="仿宋" w:hAnsi="仿宋" w:eastAsia="仿宋" w:cs="仿宋"/>
          <w:color w:val="111111"/>
          <w:kern w:val="0"/>
          <w:sz w:val="24"/>
          <w:szCs w:val="24"/>
          <w:highlight w:val="none"/>
          <w:shd w:val="clear" w:color="auto" w:fill="auto"/>
        </w:rPr>
      </w:pPr>
      <w:r>
        <w:rPr>
          <w:rFonts w:hint="eastAsia" w:ascii="宋体" w:hAnsi="宋体" w:eastAsia="宋体" w:cs="宋体"/>
          <w:b w:val="0"/>
          <w:bCs w:val="0"/>
          <w:color w:val="auto"/>
          <w:highlight w:val="none"/>
          <w:lang w:eastAsia="zh-CN"/>
        </w:rPr>
        <w:t>三</w:t>
      </w:r>
      <w:r>
        <w:rPr>
          <w:rFonts w:hint="eastAsia" w:ascii="宋体" w:hAnsi="宋体" w:eastAsia="宋体" w:cs="宋体"/>
          <w:b w:val="0"/>
          <w:bCs w:val="0"/>
          <w:color w:val="auto"/>
          <w:highlight w:val="none"/>
        </w:rPr>
        <w:t>、</w:t>
      </w:r>
      <w:r>
        <w:rPr>
          <w:rFonts w:hint="eastAsia" w:ascii="宋体" w:hAnsi="宋体" w:cs="宋体"/>
          <w:b w:val="0"/>
          <w:bCs w:val="0"/>
          <w:szCs w:val="21"/>
          <w:highlight w:val="none"/>
          <w:lang w:eastAsia="zh-CN"/>
        </w:rPr>
        <w:t>报名企业资质要求</w:t>
      </w:r>
      <w:r>
        <w:rPr>
          <w:rFonts w:hint="eastAsia" w:ascii="宋体" w:hAnsi="宋体" w:cs="宋体"/>
          <w:b/>
          <w:bCs/>
          <w:szCs w:val="21"/>
          <w:highlight w:val="none"/>
          <w:lang w:val="en-US" w:eastAsia="zh-CN"/>
        </w:rPr>
        <w:t xml:space="preserve"> </w:t>
      </w:r>
    </w:p>
    <w:p w14:paraId="5CDB29A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（一）《营业执照》（提供复印件盖公司红章）；</w:t>
      </w:r>
    </w:p>
    <w:p w14:paraId="280873F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（二）报名企业必须为所投产品的代理商或制造商，非制造商须提供代理证或授权证书彩印件（具有有效期限，且有授权方法人亲笔授权），进口产品授权书必须提供中文版本；</w:t>
      </w:r>
    </w:p>
    <w:p w14:paraId="777E91C5">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（三）提供所投产品有效的《医疗器械产品注册证》或备案凭证；</w:t>
      </w:r>
    </w:p>
    <w:p w14:paraId="41CFF356">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（四）所投产品的生产企业须提供《医疗器械生产企业许可证》，生产范围包含该产品；洽谈产品的代理商或授权供应商，须提供《医疗器械经营许可证》，且经营范围包含该产品；</w:t>
      </w:r>
    </w:p>
    <w:p w14:paraId="6B38AC4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（五）法定代表人资格证明书、法人代表授权委托书；</w:t>
      </w:r>
    </w:p>
    <w:p w14:paraId="211E29F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（六）供应商基本情况表；</w:t>
      </w:r>
    </w:p>
    <w:p w14:paraId="4CB23E7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（七）提供近一个月的社会保险证明；</w:t>
      </w:r>
    </w:p>
    <w:p w14:paraId="544C2E0F">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（八）关于在深圳医用耗材阳光交易和监管平台签订合同的承诺书；</w:t>
      </w:r>
    </w:p>
    <w:p w14:paraId="78BB60F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（九）信用记录承诺函及信用查询记录结果证明文件；</w:t>
      </w:r>
    </w:p>
    <w:p w14:paraId="026E015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（十）线上报名企业须递交以上材料（可编辑电子版及盖章扫描PDF版本），按照公开遴选项目报名表顺序排列（格式见附件1），以邮件形式发送（收到自动回复邮件方为报名成功）。</w:t>
      </w:r>
    </w:p>
    <w:p w14:paraId="02CC7F6C">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9"/>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注明：深圳市龙岗区人民医院有权对供应商对本项目资质条款要求提供的相关证明材料（原件）进行审查。供应商提供虚假资料及围串标等行为被查实的，则可能面临被取消本项目供货资格、列入我院黑名单</w:t>
      </w:r>
      <w:r>
        <w:rPr>
          <w:rFonts w:hint="eastAsia"/>
          <w:b/>
          <w:color w:val="auto"/>
          <w:sz w:val="24"/>
        </w:rPr>
        <w:t>、</w:t>
      </w:r>
      <w:r>
        <w:rPr>
          <w:rFonts w:hint="eastAsia" w:ascii="宋体" w:hAnsi="宋体" w:eastAsia="宋体" w:cs="宋体"/>
          <w:b/>
          <w:bCs/>
          <w:color w:val="auto"/>
          <w:lang w:val="en-US" w:eastAsia="zh-CN"/>
        </w:rPr>
        <w:t>三年内禁止参与深圳市龙岗区医用耗材联合采购活动。</w:t>
      </w:r>
    </w:p>
    <w:p w14:paraId="6809E8A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default"/>
          <w:lang w:val="en-US" w:eastAsia="zh-CN"/>
        </w:rPr>
      </w:pPr>
      <w:r>
        <w:rPr>
          <w:rFonts w:hint="eastAsia" w:ascii="宋体" w:hAnsi="宋体" w:cs="宋体"/>
          <w:color w:val="auto"/>
          <w:highlight w:val="none"/>
          <w:lang w:val="en-US" w:eastAsia="zh-CN"/>
        </w:rPr>
        <w:t>四</w:t>
      </w:r>
      <w:r>
        <w:rPr>
          <w:rFonts w:hint="eastAsia" w:ascii="宋体" w:hAnsi="宋体" w:eastAsia="宋体" w:cs="宋体"/>
          <w:color w:val="auto"/>
          <w:highlight w:val="none"/>
          <w:lang w:eastAsia="zh-CN"/>
        </w:rPr>
        <w:t>、采购评选方式：</w:t>
      </w:r>
      <w:r>
        <w:rPr>
          <w:rFonts w:hint="eastAsia" w:ascii="宋体" w:hAnsi="宋体" w:eastAsia="宋体" w:cs="宋体"/>
          <w:color w:val="auto"/>
          <w:highlight w:val="none"/>
        </w:rPr>
        <w:t>综合评分</w:t>
      </w:r>
      <w:r>
        <w:rPr>
          <w:rFonts w:hint="eastAsia" w:ascii="宋体" w:hAnsi="宋体" w:cs="宋体"/>
          <w:color w:val="auto"/>
          <w:highlight w:val="none"/>
          <w:lang w:eastAsia="zh-CN"/>
        </w:rPr>
        <w:t>法</w:t>
      </w:r>
    </w:p>
    <w:p w14:paraId="6E433DA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rPr>
      </w:pPr>
      <w:r>
        <w:rPr>
          <w:rFonts w:hint="eastAsia" w:ascii="宋体" w:hAnsi="宋体" w:cs="宋体"/>
          <w:color w:val="auto"/>
          <w:highlight w:val="none"/>
          <w:lang w:val="en-US" w:eastAsia="zh-CN"/>
        </w:rPr>
        <w:t>五</w:t>
      </w:r>
      <w:r>
        <w:rPr>
          <w:rFonts w:hint="eastAsia" w:ascii="宋体" w:hAnsi="宋体" w:eastAsia="宋体" w:cs="宋体"/>
          <w:color w:val="auto"/>
          <w:highlight w:val="none"/>
          <w:lang w:eastAsia="zh-CN"/>
        </w:rPr>
        <w:t>、注意事项：</w:t>
      </w:r>
      <w:r>
        <w:rPr>
          <w:rFonts w:hint="eastAsia" w:ascii="宋体" w:hAnsi="宋体" w:eastAsia="宋体" w:cs="宋体"/>
          <w:color w:val="auto"/>
          <w:highlight w:val="none"/>
        </w:rPr>
        <w:t>供应商递交的纸质及电子</w:t>
      </w:r>
      <w:r>
        <w:rPr>
          <w:rFonts w:hint="eastAsia" w:ascii="宋体" w:hAnsi="宋体" w:cs="宋体"/>
          <w:color w:val="auto"/>
          <w:highlight w:val="none"/>
          <w:lang w:eastAsia="zh-CN"/>
        </w:rPr>
        <w:t>洽谈</w:t>
      </w:r>
      <w:r>
        <w:rPr>
          <w:rFonts w:hint="eastAsia" w:ascii="宋体" w:hAnsi="宋体" w:eastAsia="宋体" w:cs="宋体"/>
          <w:color w:val="auto"/>
          <w:highlight w:val="none"/>
          <w:lang w:eastAsia="zh-CN"/>
        </w:rPr>
        <w:t>文件</w:t>
      </w:r>
      <w:r>
        <w:rPr>
          <w:rFonts w:hint="eastAsia" w:ascii="宋体" w:hAnsi="宋体" w:eastAsia="宋体" w:cs="宋体"/>
          <w:color w:val="auto"/>
          <w:highlight w:val="none"/>
        </w:rPr>
        <w:t>须按附件要求的格式和顺序排列，否则视为不合格，视作无效</w:t>
      </w:r>
      <w:r>
        <w:rPr>
          <w:rFonts w:hint="eastAsia" w:ascii="宋体" w:hAnsi="宋体" w:eastAsia="宋体" w:cs="宋体"/>
          <w:color w:val="auto"/>
          <w:highlight w:val="none"/>
          <w:lang w:eastAsia="zh-CN"/>
        </w:rPr>
        <w:t>报名</w:t>
      </w:r>
      <w:r>
        <w:rPr>
          <w:rFonts w:hint="eastAsia" w:ascii="宋体" w:hAnsi="宋体" w:eastAsia="宋体" w:cs="宋体"/>
          <w:color w:val="auto"/>
          <w:highlight w:val="none"/>
        </w:rPr>
        <w:t>。</w:t>
      </w:r>
    </w:p>
    <w:p w14:paraId="0B7956B6">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highlight w:val="none"/>
        </w:rPr>
      </w:pPr>
      <w:r>
        <w:rPr>
          <w:rFonts w:hint="eastAsia" w:ascii="宋体" w:hAnsi="宋体" w:eastAsia="宋体" w:cs="宋体"/>
          <w:color w:val="auto"/>
          <w:highlight w:val="none"/>
        </w:rPr>
        <w:t>提供的证明文件资料必须</w:t>
      </w:r>
      <w:r>
        <w:rPr>
          <w:rFonts w:hint="eastAsia" w:ascii="宋体" w:hAnsi="宋体" w:eastAsia="宋体" w:cs="宋体"/>
          <w:color w:val="auto"/>
          <w:highlight w:val="none"/>
          <w:lang w:eastAsia="zh-CN"/>
        </w:rPr>
        <w:t>真实有效</w:t>
      </w:r>
      <w:r>
        <w:rPr>
          <w:rFonts w:hint="eastAsia" w:ascii="宋体" w:hAnsi="宋体" w:eastAsia="宋体" w:cs="宋体"/>
          <w:color w:val="auto"/>
          <w:highlight w:val="none"/>
        </w:rPr>
        <w:t>，若经</w:t>
      </w:r>
      <w:r>
        <w:rPr>
          <w:rFonts w:hint="eastAsia" w:ascii="宋体" w:hAnsi="宋体" w:cs="宋体"/>
          <w:color w:val="auto"/>
          <w:highlight w:val="none"/>
          <w:lang w:eastAsia="zh-CN"/>
        </w:rPr>
        <w:t>核实</w:t>
      </w:r>
      <w:r>
        <w:rPr>
          <w:rFonts w:hint="eastAsia" w:ascii="宋体" w:hAnsi="宋体" w:eastAsia="宋体" w:cs="宋体"/>
          <w:color w:val="auto"/>
          <w:highlight w:val="none"/>
        </w:rPr>
        <w:t>发现虚假</w:t>
      </w:r>
      <w:r>
        <w:rPr>
          <w:rFonts w:hint="eastAsia" w:ascii="宋体" w:hAnsi="宋体" w:eastAsia="宋体" w:cs="宋体"/>
          <w:highlight w:val="none"/>
        </w:rPr>
        <w:t>证明文件材料，取消其两年内再次参与我</w:t>
      </w:r>
      <w:r>
        <w:rPr>
          <w:rFonts w:hint="eastAsia" w:ascii="宋体" w:hAnsi="宋体" w:cs="宋体"/>
          <w:highlight w:val="none"/>
          <w:lang w:eastAsia="zh-CN"/>
        </w:rPr>
        <w:t>院医疗</w:t>
      </w:r>
      <w:r>
        <w:rPr>
          <w:rFonts w:hint="eastAsia" w:ascii="宋体" w:hAnsi="宋体" w:eastAsia="宋体" w:cs="宋体"/>
          <w:highlight w:val="none"/>
        </w:rPr>
        <w:t>器械采购项目的资格</w:t>
      </w:r>
      <w:r>
        <w:rPr>
          <w:rFonts w:hint="eastAsia" w:ascii="宋体" w:hAnsi="宋体" w:eastAsia="宋体" w:cs="宋体"/>
          <w:highlight w:val="none"/>
          <w:lang w:eastAsia="zh-CN"/>
        </w:rPr>
        <w:t>，</w:t>
      </w:r>
      <w:r>
        <w:rPr>
          <w:rFonts w:hint="eastAsia" w:ascii="宋体" w:hAnsi="宋体" w:eastAsia="宋体" w:cs="宋体"/>
          <w:highlight w:val="none"/>
        </w:rPr>
        <w:t>并报告上级有关部门。</w:t>
      </w:r>
    </w:p>
    <w:p w14:paraId="3D6EEACD">
      <w:pPr>
        <w:keepNext w:val="0"/>
        <w:keepLines w:val="0"/>
        <w:pageBreakBefore w:val="0"/>
        <w:widowControl w:val="0"/>
        <w:kinsoku/>
        <w:wordWrap/>
        <w:overflowPunct/>
        <w:topLinePunct w:val="0"/>
        <w:autoSpaceDE/>
        <w:autoSpaceDN/>
        <w:bidi w:val="0"/>
        <w:adjustRightInd/>
        <w:snapToGrid/>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六</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提</w:t>
      </w:r>
      <w:r>
        <w:rPr>
          <w:rFonts w:hint="eastAsia" w:ascii="宋体" w:hAnsi="宋体" w:eastAsia="宋体" w:cs="宋体"/>
          <w:b/>
          <w:bCs/>
          <w:color w:val="auto"/>
          <w:sz w:val="24"/>
          <w:szCs w:val="24"/>
          <w:highlight w:val="none"/>
          <w:lang w:eastAsia="zh-CN"/>
        </w:rPr>
        <w:t>交谈判</w:t>
      </w:r>
      <w:r>
        <w:rPr>
          <w:rFonts w:hint="eastAsia" w:ascii="宋体" w:hAnsi="宋体" w:eastAsia="宋体" w:cs="宋体"/>
          <w:b/>
          <w:bCs/>
          <w:color w:val="auto"/>
          <w:sz w:val="24"/>
          <w:szCs w:val="24"/>
          <w:highlight w:val="none"/>
          <w:lang w:val="en-US" w:eastAsia="zh-CN"/>
        </w:rPr>
        <w:t>资料</w:t>
      </w:r>
      <w:r>
        <w:rPr>
          <w:rFonts w:hint="eastAsia" w:ascii="宋体" w:hAnsi="宋体" w:eastAsia="宋体" w:cs="宋体"/>
          <w:b/>
          <w:bCs/>
          <w:color w:val="auto"/>
          <w:sz w:val="24"/>
          <w:szCs w:val="24"/>
          <w:highlight w:val="none"/>
          <w:lang w:eastAsia="zh-CN"/>
        </w:rPr>
        <w:t>及洽谈时间地点：</w:t>
      </w:r>
    </w:p>
    <w:p w14:paraId="39301BD7">
      <w:pPr>
        <w:keepNext w:val="0"/>
        <w:keepLines w:val="0"/>
        <w:pageBreakBefore w:val="0"/>
        <w:widowControl w:val="0"/>
        <w:kinsoku/>
        <w:wordWrap/>
        <w:overflowPunct/>
        <w:topLinePunct w:val="0"/>
        <w:autoSpaceDE/>
        <w:autoSpaceDN/>
        <w:bidi w:val="0"/>
        <w:adjustRightInd/>
        <w:snapToGrid/>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（一）</w:t>
      </w:r>
      <w:r>
        <w:rPr>
          <w:rFonts w:hint="eastAsia" w:ascii="宋体" w:hAnsi="宋体" w:eastAsia="宋体" w:cs="宋体"/>
          <w:b/>
          <w:bCs/>
          <w:color w:val="auto"/>
          <w:sz w:val="24"/>
          <w:szCs w:val="24"/>
          <w:highlight w:val="none"/>
          <w:lang w:val="en-US" w:eastAsia="zh-CN"/>
        </w:rPr>
        <w:t>洽谈现场提交谈判资料：谈判文件一正五副（密封），彩页、样品及产品说明书等，谈判文件PDF版扫描件洽谈当天发送邮箱（不接收U盘）。</w:t>
      </w:r>
    </w:p>
    <w:p w14:paraId="336C525C">
      <w:pPr>
        <w:keepNext w:val="0"/>
        <w:keepLines w:val="0"/>
        <w:pageBreakBefore w:val="0"/>
        <w:widowControl w:val="0"/>
        <w:kinsoku/>
        <w:wordWrap/>
        <w:overflowPunct/>
        <w:topLinePunct w:val="0"/>
        <w:autoSpaceDE/>
        <w:autoSpaceDN/>
        <w:bidi w:val="0"/>
        <w:adjustRightInd/>
        <w:snapToGrid/>
        <w:ind w:firstLine="482" w:firstLineChars="20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（二）洽谈</w:t>
      </w:r>
      <w:r>
        <w:rPr>
          <w:rFonts w:hint="eastAsia" w:ascii="宋体" w:hAnsi="宋体" w:eastAsia="宋体" w:cs="宋体"/>
          <w:b/>
          <w:bCs/>
          <w:color w:val="auto"/>
          <w:sz w:val="24"/>
          <w:szCs w:val="24"/>
          <w:highlight w:val="none"/>
        </w:rPr>
        <w:t>时</w:t>
      </w:r>
      <w:r>
        <w:rPr>
          <w:rFonts w:hint="eastAsia" w:ascii="宋体" w:hAnsi="宋体" w:eastAsia="宋体" w:cs="宋体"/>
          <w:b/>
          <w:bCs/>
          <w:color w:val="auto"/>
          <w:sz w:val="24"/>
          <w:szCs w:val="24"/>
          <w:highlight w:val="none"/>
          <w:lang w:eastAsia="zh-CN"/>
        </w:rPr>
        <w:t>间和地点：</w:t>
      </w:r>
      <w:r>
        <w:rPr>
          <w:rFonts w:hint="eastAsia" w:ascii="宋体" w:hAnsi="宋体" w:eastAsia="宋体" w:cs="宋体"/>
          <w:b/>
          <w:bCs/>
          <w:color w:val="auto"/>
          <w:sz w:val="24"/>
          <w:szCs w:val="24"/>
          <w:highlight w:val="none"/>
          <w:lang w:val="en-US" w:eastAsia="zh-CN"/>
        </w:rPr>
        <w:t>2026年6月11日14:30，</w:t>
      </w:r>
      <w:r>
        <w:rPr>
          <w:rFonts w:hint="eastAsia" w:ascii="宋体" w:hAnsi="宋体" w:eastAsia="宋体" w:cs="宋体"/>
          <w:b/>
          <w:bCs/>
          <w:color w:val="auto"/>
          <w:sz w:val="24"/>
          <w:szCs w:val="24"/>
          <w:highlight w:val="none"/>
          <w:lang w:eastAsia="zh-CN"/>
        </w:rPr>
        <w:t>深圳市龙岗区人民医院消毒供应中心二楼</w:t>
      </w:r>
      <w:r>
        <w:rPr>
          <w:rFonts w:hint="eastAsia" w:ascii="宋体" w:hAnsi="宋体" w:eastAsia="宋体" w:cs="宋体"/>
          <w:b/>
          <w:bCs/>
          <w:color w:val="auto"/>
          <w:sz w:val="24"/>
          <w:szCs w:val="24"/>
          <w:highlight w:val="none"/>
          <w:lang w:val="en-US" w:eastAsia="zh-CN"/>
        </w:rPr>
        <w:t>202会议室。</w:t>
      </w:r>
    </w:p>
    <w:p w14:paraId="0021775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rPr>
      </w:pPr>
      <w:r>
        <w:rPr>
          <w:rFonts w:hint="eastAsia" w:ascii="宋体" w:hAnsi="宋体" w:cs="宋体"/>
          <w:lang w:val="en-US" w:eastAsia="zh-CN"/>
        </w:rPr>
        <w:t>八</w:t>
      </w:r>
      <w:r>
        <w:rPr>
          <w:rFonts w:hint="eastAsia" w:ascii="宋体" w:hAnsi="宋体" w:eastAsia="宋体" w:cs="宋体"/>
        </w:rPr>
        <w:t>、联系电话</w:t>
      </w:r>
      <w:r>
        <w:rPr>
          <w:rFonts w:hint="eastAsia" w:ascii="宋体" w:hAnsi="宋体" w:cs="宋体"/>
          <w:lang w:eastAsia="zh-CN"/>
        </w:rPr>
        <w:t>：</w:t>
      </w:r>
      <w:r>
        <w:rPr>
          <w:rFonts w:hint="eastAsia" w:ascii="宋体" w:hAnsi="宋体" w:cs="宋体"/>
          <w:lang w:val="en-US" w:eastAsia="zh-CN"/>
        </w:rPr>
        <w:t>0755-</w:t>
      </w:r>
      <w:r>
        <w:rPr>
          <w:rFonts w:hint="eastAsia" w:ascii="宋体" w:hAnsi="宋体" w:eastAsia="宋体" w:cs="宋体"/>
          <w:lang w:val="en-US" w:eastAsia="zh-CN"/>
        </w:rPr>
        <w:t>28932833-8816</w:t>
      </w:r>
      <w:r>
        <w:rPr>
          <w:rFonts w:hint="eastAsia" w:ascii="宋体" w:hAnsi="宋体" w:eastAsia="宋体" w:cs="宋体"/>
        </w:rPr>
        <w:t>，</w:t>
      </w:r>
      <w:r>
        <w:rPr>
          <w:rFonts w:hint="eastAsia" w:ascii="宋体" w:hAnsi="宋体" w:cs="宋体"/>
          <w:lang w:eastAsia="zh-CN"/>
        </w:rPr>
        <w:t>黄老师</w:t>
      </w:r>
      <w:r>
        <w:rPr>
          <w:rFonts w:hint="eastAsia" w:ascii="宋体" w:hAnsi="宋体" w:eastAsia="宋体" w:cs="宋体"/>
        </w:rPr>
        <w:t>。</w:t>
      </w:r>
    </w:p>
    <w:p w14:paraId="6AA988F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rPr>
      </w:pPr>
    </w:p>
    <w:p w14:paraId="3C921D1A">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00" w:lineRule="auto"/>
        <w:ind w:firstLine="420" w:firstLineChars="200"/>
        <w:jc w:val="left"/>
        <w:textAlignment w:val="auto"/>
        <w:outlineLvl w:val="9"/>
        <w:rPr>
          <w:rFonts w:hint="eastAsia" w:ascii="宋体" w:hAnsi="宋体" w:eastAsia="宋体" w:cs="宋体"/>
          <w:lang w:val="en-US" w:eastAsia="zh-CN"/>
        </w:rPr>
      </w:pPr>
      <w:r>
        <w:rPr>
          <w:rFonts w:hint="eastAsia" w:ascii="宋体" w:hAnsi="宋体" w:eastAsia="宋体" w:cs="宋体"/>
          <w:highlight w:val="none"/>
          <w:lang w:val="en-US" w:eastAsia="zh-CN"/>
        </w:rPr>
        <w:t>附件</w:t>
      </w:r>
      <w:r>
        <w:rPr>
          <w:rFonts w:hint="eastAsia" w:ascii="宋体" w:hAnsi="宋体" w:cs="宋体"/>
          <w:highlight w:val="none"/>
          <w:lang w:val="en-US" w:eastAsia="zh-CN"/>
        </w:rPr>
        <w:t>1</w:t>
      </w:r>
      <w:r>
        <w:rPr>
          <w:rFonts w:hint="eastAsia" w:ascii="宋体" w:hAnsi="宋体" w:eastAsia="宋体" w:cs="宋体"/>
          <w:highlight w:val="none"/>
          <w:lang w:val="en-US" w:eastAsia="zh-CN"/>
        </w:rPr>
        <w:t>：</w:t>
      </w:r>
      <w:r>
        <w:rPr>
          <w:rFonts w:hint="eastAsia" w:ascii="宋体" w:hAnsi="宋体" w:eastAsia="宋体" w:cs="宋体"/>
          <w:lang w:val="en-US" w:eastAsia="zh-CN"/>
        </w:rPr>
        <w:t>联合采购项目报名</w:t>
      </w:r>
      <w:r>
        <w:rPr>
          <w:rFonts w:hint="eastAsia" w:ascii="宋体" w:hAnsi="宋体" w:eastAsia="宋体" w:cs="宋体"/>
          <w:lang w:val="zh-CN" w:eastAsia="zh-CN"/>
        </w:rPr>
        <w:t>文件</w:t>
      </w:r>
    </w:p>
    <w:p w14:paraId="1BAA0E3F">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00" w:lineRule="auto"/>
        <w:ind w:firstLine="420" w:firstLineChars="200"/>
        <w:jc w:val="left"/>
        <w:textAlignment w:val="auto"/>
        <w:outlineLvl w:val="9"/>
        <w:rPr>
          <w:rFonts w:hint="eastAsia" w:ascii="宋体" w:hAnsi="宋体" w:eastAsia="宋体" w:cs="宋体"/>
          <w:highlight w:val="none"/>
          <w:lang w:val="zh-CN" w:eastAsia="zh-CN"/>
        </w:rPr>
      </w:pPr>
      <w:r>
        <w:rPr>
          <w:rFonts w:hint="eastAsia" w:ascii="宋体" w:hAnsi="宋体" w:eastAsia="宋体" w:cs="宋体"/>
          <w:lang w:val="en-US" w:eastAsia="zh-CN"/>
        </w:rPr>
        <w:t>附件2：联合采购项目谈判</w:t>
      </w:r>
      <w:r>
        <w:rPr>
          <w:rFonts w:hint="eastAsia" w:ascii="宋体" w:hAnsi="宋体" w:eastAsia="宋体" w:cs="宋体"/>
          <w:lang w:val="zh-CN" w:eastAsia="zh-CN"/>
        </w:rPr>
        <w:t>文件</w:t>
      </w:r>
    </w:p>
    <w:p w14:paraId="3CCC6628">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lang w:val="en-US" w:eastAsia="zh-CN"/>
        </w:rPr>
      </w:pPr>
    </w:p>
    <w:p w14:paraId="64D9F261">
      <w:pPr>
        <w:keepNext w:val="0"/>
        <w:keepLines w:val="0"/>
        <w:pageBreakBefore w:val="0"/>
        <w:widowControl w:val="0"/>
        <w:kinsoku/>
        <w:wordWrap/>
        <w:overflowPunct/>
        <w:topLinePunct w:val="0"/>
        <w:autoSpaceDE/>
        <w:autoSpaceDN/>
        <w:bidi w:val="0"/>
        <w:adjustRightInd/>
        <w:snapToGrid/>
        <w:ind w:firstLine="420" w:firstLineChars="200"/>
        <w:jc w:val="right"/>
        <w:textAlignment w:val="auto"/>
        <w:outlineLvl w:val="9"/>
        <w:rPr>
          <w:rFonts w:hint="eastAsia" w:ascii="宋体" w:hAnsi="宋体" w:eastAsia="宋体" w:cs="宋体"/>
          <w:lang w:eastAsia="zh-CN"/>
        </w:rPr>
      </w:pPr>
    </w:p>
    <w:p w14:paraId="716BCA34">
      <w:pPr>
        <w:keepNext w:val="0"/>
        <w:keepLines w:val="0"/>
        <w:pageBreakBefore w:val="0"/>
        <w:widowControl w:val="0"/>
        <w:kinsoku/>
        <w:wordWrap/>
        <w:overflowPunct/>
        <w:topLinePunct w:val="0"/>
        <w:autoSpaceDE/>
        <w:autoSpaceDN/>
        <w:bidi w:val="0"/>
        <w:adjustRightInd/>
        <w:snapToGrid/>
        <w:ind w:firstLine="420" w:firstLineChars="200"/>
        <w:jc w:val="right"/>
        <w:textAlignment w:val="auto"/>
        <w:outlineLvl w:val="9"/>
        <w:rPr>
          <w:rFonts w:hint="eastAsia" w:ascii="宋体" w:hAnsi="宋体" w:eastAsia="宋体" w:cs="宋体"/>
          <w:color w:val="auto"/>
          <w:lang w:eastAsia="zh-CN"/>
        </w:rPr>
      </w:pPr>
      <w:r>
        <w:rPr>
          <w:rFonts w:hint="eastAsia" w:ascii="宋体" w:hAnsi="宋体" w:eastAsia="宋体" w:cs="宋体"/>
          <w:lang w:eastAsia="zh-CN"/>
        </w:rPr>
        <w:t>深</w:t>
      </w:r>
      <w:r>
        <w:rPr>
          <w:rFonts w:hint="eastAsia" w:ascii="宋体" w:hAnsi="宋体" w:eastAsia="宋体" w:cs="宋体"/>
          <w:color w:val="auto"/>
          <w:lang w:eastAsia="zh-CN"/>
        </w:rPr>
        <w:t>圳市龙岗区人民医院</w:t>
      </w:r>
    </w:p>
    <w:p w14:paraId="4DAD9B33">
      <w:pPr>
        <w:keepNext w:val="0"/>
        <w:keepLines w:val="0"/>
        <w:pageBreakBefore w:val="0"/>
        <w:widowControl w:val="0"/>
        <w:kinsoku/>
        <w:wordWrap/>
        <w:overflowPunct/>
        <w:topLinePunct w:val="0"/>
        <w:autoSpaceDE/>
        <w:autoSpaceDN/>
        <w:bidi w:val="0"/>
        <w:adjustRightInd/>
        <w:snapToGrid/>
        <w:ind w:firstLine="420" w:firstLineChars="200"/>
        <w:jc w:val="right"/>
        <w:textAlignment w:val="auto"/>
        <w:outlineLvl w:val="9"/>
        <w:rPr>
          <w:rFonts w:hint="eastAsia" w:ascii="宋体" w:hAnsi="宋体" w:eastAsia="宋体" w:cs="宋体"/>
          <w:color w:val="auto"/>
          <w:lang w:eastAsia="zh-CN"/>
        </w:rPr>
      </w:pPr>
      <w:r>
        <w:rPr>
          <w:rFonts w:hint="eastAsia" w:ascii="宋体" w:hAnsi="宋体" w:eastAsia="宋体" w:cs="宋体"/>
          <w:color w:val="auto"/>
          <w:lang w:eastAsia="zh-CN"/>
        </w:rPr>
        <w:t>202</w:t>
      </w:r>
      <w:r>
        <w:rPr>
          <w:rFonts w:hint="eastAsia" w:ascii="宋体" w:hAnsi="宋体" w:eastAsia="宋体" w:cs="宋体"/>
          <w:color w:val="auto"/>
          <w:lang w:val="en-US" w:eastAsia="zh-CN"/>
        </w:rPr>
        <w:t>6</w:t>
      </w:r>
      <w:r>
        <w:rPr>
          <w:rFonts w:hint="eastAsia" w:ascii="宋体" w:hAnsi="宋体" w:eastAsia="宋体" w:cs="宋体"/>
          <w:color w:val="auto"/>
          <w:lang w:eastAsia="zh-CN"/>
        </w:rPr>
        <w:t>年</w:t>
      </w:r>
      <w:r>
        <w:rPr>
          <w:rFonts w:hint="eastAsia" w:ascii="宋体" w:hAnsi="宋体" w:eastAsia="宋体" w:cs="宋体"/>
          <w:color w:val="auto"/>
          <w:lang w:val="en-US" w:eastAsia="zh-CN"/>
        </w:rPr>
        <w:t>5</w:t>
      </w:r>
      <w:r>
        <w:rPr>
          <w:rFonts w:hint="eastAsia" w:ascii="宋体" w:hAnsi="宋体" w:eastAsia="宋体" w:cs="宋体"/>
          <w:color w:val="auto"/>
          <w:lang w:eastAsia="zh-CN"/>
        </w:rPr>
        <w:t>月</w:t>
      </w:r>
      <w:r>
        <w:rPr>
          <w:rFonts w:hint="eastAsia" w:ascii="宋体" w:hAnsi="宋体" w:eastAsia="宋体" w:cs="宋体"/>
          <w:color w:val="auto"/>
          <w:lang w:val="en-US" w:eastAsia="zh-CN"/>
        </w:rPr>
        <w:t>28</w:t>
      </w:r>
      <w:r>
        <w:rPr>
          <w:rFonts w:hint="eastAsia" w:ascii="宋体" w:hAnsi="宋体" w:eastAsia="宋体" w:cs="宋体"/>
          <w:color w:val="auto"/>
          <w:lang w:eastAsia="zh-CN"/>
        </w:rPr>
        <w:t>日</w:t>
      </w:r>
    </w:p>
    <w:p w14:paraId="6EFAD7E4">
      <w:pPr>
        <w:keepNext w:val="0"/>
        <w:keepLines w:val="0"/>
        <w:pageBreakBefore w:val="0"/>
        <w:widowControl w:val="0"/>
        <w:kinsoku/>
        <w:wordWrap/>
        <w:overflowPunct/>
        <w:topLinePunct w:val="0"/>
        <w:autoSpaceDE/>
        <w:autoSpaceDN/>
        <w:bidi w:val="0"/>
        <w:adjustRightInd/>
        <w:snapToGrid/>
        <w:ind w:firstLine="420" w:firstLineChars="200"/>
        <w:jc w:val="right"/>
        <w:textAlignment w:val="auto"/>
        <w:outlineLvl w:val="9"/>
        <w:rPr>
          <w:rFonts w:hint="eastAsia" w:ascii="宋体" w:hAnsi="宋体" w:eastAsia="宋体" w:cs="宋体"/>
          <w:color w:val="auto"/>
          <w:lang w:eastAsia="zh-CN"/>
        </w:rPr>
      </w:pPr>
    </w:p>
    <w:p w14:paraId="6C94F33D">
      <w:pPr>
        <w:keepNext w:val="0"/>
        <w:keepLines w:val="0"/>
        <w:pageBreakBefore w:val="0"/>
        <w:widowControl w:val="0"/>
        <w:kinsoku/>
        <w:wordWrap/>
        <w:overflowPunct/>
        <w:topLinePunct w:val="0"/>
        <w:autoSpaceDE/>
        <w:autoSpaceDN/>
        <w:bidi w:val="0"/>
        <w:adjustRightInd/>
        <w:snapToGrid/>
        <w:ind w:firstLine="420" w:firstLineChars="200"/>
        <w:jc w:val="right"/>
        <w:textAlignment w:val="auto"/>
        <w:outlineLvl w:val="9"/>
        <w:rPr>
          <w:rFonts w:hint="eastAsia" w:ascii="宋体" w:hAnsi="宋体" w:eastAsia="宋体" w:cs="宋体"/>
          <w:color w:val="auto"/>
          <w:lang w:eastAsia="zh-CN"/>
        </w:rPr>
      </w:pPr>
    </w:p>
    <w:p w14:paraId="11C9A4D1">
      <w:pPr>
        <w:pStyle w:val="2"/>
      </w:pPr>
    </w:p>
    <w:p w14:paraId="32AB662C">
      <w:pPr>
        <w:pStyle w:val="2"/>
      </w:pPr>
    </w:p>
    <w:p w14:paraId="6FC3298D">
      <w:pPr>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项目采购清单及采购预算</w:t>
      </w:r>
    </w:p>
    <w:p w14:paraId="03D16A1F">
      <w:pPr>
        <w:keepNext w:val="0"/>
        <w:keepLines w:val="0"/>
        <w:pageBreakBefore w:val="0"/>
        <w:widowControl/>
        <w:numPr>
          <w:ilvl w:val="0"/>
          <w:numId w:val="0"/>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p>
    <w:p w14:paraId="7C47C114">
      <w:pPr>
        <w:numPr>
          <w:ilvl w:val="0"/>
          <w:numId w:val="0"/>
        </w:numPr>
        <w:jc w:val="center"/>
        <w:rPr>
          <w:rFonts w:hint="default" w:cs="宋体" w:asciiTheme="majorEastAsia" w:hAnsiTheme="majorEastAsia" w:eastAsiaTheme="majorEastAsia"/>
          <w:b/>
          <w:bCs/>
          <w:sz w:val="30"/>
          <w:szCs w:val="30"/>
          <w:lang w:val="en-US" w:eastAsia="zh-CN"/>
        </w:rPr>
      </w:pPr>
      <w:r>
        <w:rPr>
          <w:rFonts w:hint="eastAsia" w:cs="宋体" w:asciiTheme="majorEastAsia" w:hAnsiTheme="majorEastAsia" w:eastAsiaTheme="majorEastAsia"/>
          <w:b/>
          <w:bCs/>
          <w:sz w:val="30"/>
          <w:szCs w:val="30"/>
          <w:lang w:val="en-US" w:eastAsia="zh-CN"/>
        </w:rPr>
        <w:t>（一）项目采购清单</w:t>
      </w:r>
    </w:p>
    <w:tbl>
      <w:tblPr>
        <w:tblStyle w:val="15"/>
        <w:tblpPr w:leftFromText="180" w:rightFromText="180" w:vertAnchor="text" w:horzAnchor="page" w:tblpXSpec="center" w:tblpY="327"/>
        <w:tblOverlap w:val="never"/>
        <w:tblW w:w="981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7"/>
        <w:gridCol w:w="2159"/>
        <w:gridCol w:w="1264"/>
        <w:gridCol w:w="1125"/>
        <w:gridCol w:w="1125"/>
        <w:gridCol w:w="3437"/>
      </w:tblGrid>
      <w:tr w14:paraId="2A22C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7" w:type="dxa"/>
            <w:tcBorders>
              <w:top w:val="single" w:color="000000" w:sz="4" w:space="0"/>
              <w:left w:val="single" w:color="000000" w:sz="4" w:space="0"/>
              <w:bottom w:val="single" w:color="auto" w:sz="4" w:space="0"/>
              <w:right w:val="single" w:color="000000" w:sz="4" w:space="0"/>
            </w:tcBorders>
            <w:noWrap w:val="0"/>
            <w:vAlign w:val="center"/>
          </w:tcPr>
          <w:p w14:paraId="38FFF99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2159" w:type="dxa"/>
            <w:tcBorders>
              <w:top w:val="single" w:color="000000" w:sz="4" w:space="0"/>
              <w:left w:val="single" w:color="000000" w:sz="4" w:space="0"/>
              <w:bottom w:val="single" w:color="000000" w:sz="4" w:space="0"/>
              <w:right w:val="single" w:color="000000" w:sz="4" w:space="0"/>
            </w:tcBorders>
            <w:noWrap w:val="0"/>
            <w:vAlign w:val="center"/>
          </w:tcPr>
          <w:p w14:paraId="3FECBD1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产品名称</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14:paraId="3377226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规格型号</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772ECA05">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计量单位</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DBE28ED">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最高采购价（元）</w:t>
            </w:r>
          </w:p>
        </w:tc>
        <w:tc>
          <w:tcPr>
            <w:tcW w:w="3437" w:type="dxa"/>
            <w:tcBorders>
              <w:top w:val="single" w:color="000000" w:sz="4" w:space="0"/>
              <w:left w:val="single" w:color="000000" w:sz="4" w:space="0"/>
              <w:bottom w:val="single" w:color="000000" w:sz="4" w:space="0"/>
              <w:right w:val="single" w:color="000000" w:sz="4" w:space="0"/>
            </w:tcBorders>
            <w:noWrap w:val="0"/>
            <w:vAlign w:val="center"/>
          </w:tcPr>
          <w:p w14:paraId="48093E15">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采购需求/参数</w:t>
            </w:r>
          </w:p>
        </w:tc>
      </w:tr>
      <w:tr w14:paraId="7BB6B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7" w:type="dxa"/>
            <w:tcBorders>
              <w:top w:val="single" w:color="auto" w:sz="4" w:space="0"/>
              <w:left w:val="single" w:color="auto" w:sz="4" w:space="0"/>
              <w:bottom w:val="single" w:color="auto" w:sz="4" w:space="0"/>
              <w:right w:val="single" w:color="auto" w:sz="4" w:space="0"/>
            </w:tcBorders>
            <w:noWrap w:val="0"/>
            <w:vAlign w:val="center"/>
          </w:tcPr>
          <w:p w14:paraId="6B44B999">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w:t>
            </w:r>
          </w:p>
        </w:tc>
        <w:tc>
          <w:tcPr>
            <w:tcW w:w="2159" w:type="dxa"/>
            <w:tcBorders>
              <w:top w:val="single" w:color="000000" w:sz="4" w:space="0"/>
              <w:left w:val="single" w:color="auto" w:sz="4" w:space="0"/>
              <w:right w:val="single" w:color="000000" w:sz="4" w:space="0"/>
            </w:tcBorders>
            <w:noWrap w:val="0"/>
            <w:vAlign w:val="center"/>
          </w:tcPr>
          <w:p w14:paraId="60A4B13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i w:val="0"/>
                <w:iCs w:val="0"/>
                <w:color w:val="000000"/>
                <w:sz w:val="20"/>
                <w:szCs w:val="20"/>
                <w:u w:val="none"/>
                <w:lang w:val="en-US" w:eastAsia="zh-CN"/>
              </w:rPr>
              <w:t>多酶清洗液（中性）</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14:paraId="4C73E4E6">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1L</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02A074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i w:val="0"/>
                <w:iCs w:val="0"/>
                <w:color w:val="000000"/>
                <w:sz w:val="20"/>
                <w:szCs w:val="20"/>
                <w:u w:val="none"/>
                <w:lang w:val="en-US" w:eastAsia="zh-CN"/>
              </w:rPr>
              <w:t>桶</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757D886">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i w:val="0"/>
                <w:iCs w:val="0"/>
                <w:color w:val="000000"/>
                <w:sz w:val="20"/>
                <w:szCs w:val="20"/>
                <w:u w:val="none"/>
                <w:lang w:val="en-US" w:eastAsia="zh-CN"/>
              </w:rPr>
              <w:t>55</w:t>
            </w:r>
          </w:p>
        </w:tc>
        <w:tc>
          <w:tcPr>
            <w:tcW w:w="3437" w:type="dxa"/>
            <w:tcBorders>
              <w:top w:val="single" w:color="000000" w:sz="4" w:space="0"/>
              <w:left w:val="single" w:color="000000" w:sz="4" w:space="0"/>
              <w:bottom w:val="single" w:color="000000" w:sz="4" w:space="0"/>
              <w:right w:val="single" w:color="000000" w:sz="4" w:space="0"/>
            </w:tcBorders>
            <w:noWrap w:val="0"/>
            <w:vAlign w:val="center"/>
          </w:tcPr>
          <w:p w14:paraId="15E3DEBD">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1、手洗机洗通用</w:t>
            </w:r>
            <w:r>
              <w:rPr>
                <w:rFonts w:hint="eastAsia" w:ascii="宋体" w:hAnsi="宋体" w:cs="宋体"/>
                <w:i w:val="0"/>
                <w:iCs w:val="0"/>
                <w:color w:val="000000"/>
                <w:sz w:val="20"/>
                <w:szCs w:val="20"/>
                <w:u w:val="none"/>
                <w:lang w:val="en-US" w:eastAsia="zh-CN"/>
              </w:rPr>
              <w:t>，低泡型</w:t>
            </w:r>
            <w:r>
              <w:rPr>
                <w:rFonts w:hint="eastAsia" w:ascii="宋体" w:hAnsi="宋体" w:eastAsia="宋体" w:cs="宋体"/>
                <w:i w:val="0"/>
                <w:iCs w:val="0"/>
                <w:color w:val="000000"/>
                <w:sz w:val="20"/>
                <w:szCs w:val="20"/>
                <w:u w:val="none"/>
                <w:lang w:val="en-US" w:eastAsia="zh-CN"/>
              </w:rPr>
              <w:t>。</w:t>
            </w:r>
          </w:p>
          <w:p w14:paraId="42A71B45">
            <w:pPr>
              <w:keepNext w:val="0"/>
              <w:keepLines w:val="0"/>
              <w:widowControl/>
              <w:suppressLineNumbers w:val="0"/>
              <w:jc w:val="left"/>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2、快速高效，可快速分解各种有机物。</w:t>
            </w:r>
          </w:p>
          <w:p w14:paraId="1DA0FE4B">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3、</w:t>
            </w:r>
            <w:r>
              <w:rPr>
                <w:rFonts w:hint="eastAsia" w:ascii="宋体" w:hAnsi="宋体" w:eastAsia="宋体" w:cs="宋体"/>
                <w:i w:val="0"/>
                <w:iCs w:val="0"/>
                <w:color w:val="000000"/>
                <w:sz w:val="20"/>
                <w:szCs w:val="20"/>
                <w:u w:val="none"/>
                <w:lang w:val="en-US" w:eastAsia="zh-CN"/>
              </w:rPr>
              <w:t>无毒无味，对环境无污染，溶液澄清，无浑浊。</w:t>
            </w:r>
          </w:p>
          <w:p w14:paraId="5E9E542E">
            <w:pPr>
              <w:keepNext w:val="0"/>
              <w:keepLines w:val="0"/>
              <w:widowControl/>
              <w:suppressLineNumbers w:val="0"/>
              <w:jc w:val="left"/>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4、</w:t>
            </w:r>
            <w:r>
              <w:rPr>
                <w:rFonts w:hint="eastAsia" w:ascii="宋体" w:hAnsi="宋体" w:eastAsia="宋体" w:cs="宋体"/>
                <w:i w:val="0"/>
                <w:iCs w:val="0"/>
                <w:color w:val="000000"/>
                <w:sz w:val="20"/>
                <w:szCs w:val="20"/>
                <w:u w:val="none"/>
                <w:lang w:val="en-US" w:eastAsia="zh-CN"/>
              </w:rPr>
              <w:t>用于各类医疗器械物品的清洗，具生物膜去除力。</w:t>
            </w:r>
          </w:p>
          <w:p w14:paraId="2727E0FF">
            <w:pPr>
              <w:keepNext w:val="0"/>
              <w:keepLines w:val="0"/>
              <w:widowControl/>
              <w:suppressLineNumbers w:val="0"/>
              <w:jc w:val="left"/>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5、</w:t>
            </w:r>
            <w:r>
              <w:rPr>
                <w:rFonts w:hint="eastAsia" w:ascii="宋体" w:hAnsi="宋体" w:eastAsia="宋体" w:cs="宋体"/>
                <w:i w:val="0"/>
                <w:iCs w:val="0"/>
                <w:color w:val="000000"/>
                <w:sz w:val="20"/>
                <w:szCs w:val="20"/>
                <w:u w:val="none"/>
                <w:lang w:val="en-US" w:eastAsia="zh-CN"/>
              </w:rPr>
              <w:t>pH值呈中性，对各种材质的器械无腐蚀性。</w:t>
            </w:r>
          </w:p>
          <w:p w14:paraId="4D72F2CC">
            <w:pPr>
              <w:keepNext w:val="0"/>
              <w:keepLines w:val="0"/>
              <w:widowControl/>
              <w:suppressLineNumbers w:val="0"/>
              <w:jc w:val="left"/>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6、表面活性剂生物可降解。</w:t>
            </w:r>
          </w:p>
          <w:p w14:paraId="58FADCD5">
            <w:pPr>
              <w:keepNext w:val="0"/>
              <w:keepLines w:val="0"/>
              <w:widowControl/>
              <w:suppressLineNumbers w:val="0"/>
              <w:jc w:val="left"/>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7、低泡，易漂洗，无明显刺激性气味。</w:t>
            </w:r>
          </w:p>
          <w:p w14:paraId="07E9352D">
            <w:pPr>
              <w:keepNext w:val="0"/>
              <w:keepLines w:val="0"/>
              <w:widowControl/>
              <w:suppressLineNumbers w:val="0"/>
              <w:jc w:val="left"/>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cs="宋体"/>
                <w:i w:val="0"/>
                <w:iCs w:val="0"/>
                <w:color w:val="000000"/>
                <w:sz w:val="20"/>
                <w:szCs w:val="20"/>
                <w:u w:val="none"/>
                <w:lang w:val="en-US" w:eastAsia="zh-CN"/>
              </w:rPr>
              <w:t>8、</w:t>
            </w:r>
            <w:r>
              <w:rPr>
                <w:rFonts w:hint="eastAsia" w:ascii="宋体" w:hAnsi="宋体" w:eastAsia="宋体" w:cs="宋体"/>
                <w:i w:val="0"/>
                <w:iCs w:val="0"/>
                <w:color w:val="000000"/>
                <w:sz w:val="20"/>
                <w:szCs w:val="20"/>
                <w:u w:val="none"/>
                <w:lang w:val="en-US" w:eastAsia="zh-CN"/>
              </w:rPr>
              <w:t>适用于供应室。</w:t>
            </w:r>
          </w:p>
        </w:tc>
      </w:tr>
      <w:tr w14:paraId="4B30A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7" w:type="dxa"/>
            <w:tcBorders>
              <w:top w:val="single" w:color="auto" w:sz="4" w:space="0"/>
              <w:left w:val="single" w:color="auto" w:sz="4" w:space="0"/>
              <w:bottom w:val="single" w:color="auto" w:sz="4" w:space="0"/>
              <w:right w:val="single" w:color="auto" w:sz="4" w:space="0"/>
            </w:tcBorders>
            <w:noWrap w:val="0"/>
            <w:vAlign w:val="center"/>
          </w:tcPr>
          <w:p w14:paraId="199C34A3">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2</w:t>
            </w:r>
          </w:p>
        </w:tc>
        <w:tc>
          <w:tcPr>
            <w:tcW w:w="2159" w:type="dxa"/>
            <w:tcBorders>
              <w:top w:val="single" w:color="000000" w:sz="4" w:space="0"/>
              <w:left w:val="single" w:color="auto" w:sz="4" w:space="0"/>
              <w:bottom w:val="single" w:color="000000" w:sz="4" w:space="0"/>
              <w:right w:val="single" w:color="000000" w:sz="4" w:space="0"/>
            </w:tcBorders>
            <w:noWrap w:val="0"/>
            <w:vAlign w:val="center"/>
          </w:tcPr>
          <w:p w14:paraId="5359991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i w:val="0"/>
                <w:iCs w:val="0"/>
                <w:color w:val="000000"/>
                <w:sz w:val="20"/>
                <w:szCs w:val="20"/>
                <w:u w:val="none"/>
                <w:lang w:val="en-US" w:eastAsia="zh-CN"/>
              </w:rPr>
              <w:t>多酶清洗液（碱性）</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14:paraId="00E638B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1L</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5172928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i w:val="0"/>
                <w:iCs w:val="0"/>
                <w:color w:val="000000"/>
                <w:sz w:val="20"/>
                <w:szCs w:val="20"/>
                <w:u w:val="none"/>
                <w:lang w:val="en-US" w:eastAsia="zh-CN"/>
              </w:rPr>
              <w:t>桶</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7DA64B3B">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SA"/>
              </w:rPr>
              <w:t>52</w:t>
            </w:r>
          </w:p>
        </w:tc>
        <w:tc>
          <w:tcPr>
            <w:tcW w:w="3437" w:type="dxa"/>
            <w:tcBorders>
              <w:top w:val="single" w:color="000000" w:sz="4" w:space="0"/>
              <w:left w:val="single" w:color="000000" w:sz="4" w:space="0"/>
              <w:bottom w:val="single" w:color="000000" w:sz="4" w:space="0"/>
              <w:right w:val="single" w:color="000000" w:sz="4" w:space="0"/>
            </w:tcBorders>
            <w:noWrap w:val="0"/>
            <w:vAlign w:val="center"/>
          </w:tcPr>
          <w:p w14:paraId="42E18A3F">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1.手洗机洗通用</w:t>
            </w:r>
            <w:r>
              <w:rPr>
                <w:rFonts w:hint="eastAsia" w:ascii="宋体" w:hAnsi="宋体" w:cs="宋体"/>
                <w:i w:val="0"/>
                <w:iCs w:val="0"/>
                <w:color w:val="000000"/>
                <w:sz w:val="20"/>
                <w:szCs w:val="20"/>
                <w:u w:val="none"/>
                <w:lang w:val="en-US" w:eastAsia="zh-CN"/>
              </w:rPr>
              <w:t>，低泡型</w:t>
            </w:r>
            <w:r>
              <w:rPr>
                <w:rFonts w:hint="eastAsia" w:ascii="宋体" w:hAnsi="宋体" w:eastAsia="宋体" w:cs="宋体"/>
                <w:i w:val="0"/>
                <w:iCs w:val="0"/>
                <w:color w:val="000000"/>
                <w:sz w:val="20"/>
                <w:szCs w:val="20"/>
                <w:u w:val="none"/>
                <w:lang w:val="en-US" w:eastAsia="zh-CN"/>
              </w:rPr>
              <w:t>。</w:t>
            </w:r>
          </w:p>
          <w:p w14:paraId="26651544">
            <w:pPr>
              <w:keepNext w:val="0"/>
              <w:keepLines w:val="0"/>
              <w:widowControl/>
              <w:suppressLineNumbers w:val="0"/>
              <w:jc w:val="left"/>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2.快速高效，可快速分解各种有机物。</w:t>
            </w:r>
          </w:p>
          <w:p w14:paraId="5D7225AD">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3.</w:t>
            </w:r>
            <w:r>
              <w:rPr>
                <w:rFonts w:hint="eastAsia" w:ascii="宋体" w:hAnsi="宋体" w:eastAsia="宋体" w:cs="宋体"/>
                <w:i w:val="0"/>
                <w:iCs w:val="0"/>
                <w:color w:val="000000"/>
                <w:sz w:val="20"/>
                <w:szCs w:val="20"/>
                <w:u w:val="none"/>
                <w:lang w:val="en-US" w:eastAsia="zh-CN"/>
              </w:rPr>
              <w:t>无毒无味，对环境无污染，溶液澄清，无浑浊。</w:t>
            </w:r>
          </w:p>
          <w:p w14:paraId="63034E12">
            <w:pPr>
              <w:keepNext w:val="0"/>
              <w:keepLines w:val="0"/>
              <w:widowControl/>
              <w:suppressLineNumbers w:val="0"/>
              <w:jc w:val="left"/>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4</w:t>
            </w:r>
            <w:r>
              <w:rPr>
                <w:rFonts w:hint="eastAsia" w:ascii="宋体" w:hAnsi="宋体" w:eastAsia="宋体" w:cs="宋体"/>
                <w:i w:val="0"/>
                <w:iCs w:val="0"/>
                <w:color w:val="000000"/>
                <w:sz w:val="20"/>
                <w:szCs w:val="20"/>
                <w:u w:val="none"/>
                <w:lang w:val="en-US" w:eastAsia="zh-CN"/>
              </w:rPr>
              <w:t>.用于各类医疗器械物品的清洗，具生物膜去除力。</w:t>
            </w:r>
          </w:p>
          <w:p w14:paraId="252549CC">
            <w:pPr>
              <w:keepNext w:val="0"/>
              <w:keepLines w:val="0"/>
              <w:widowControl/>
              <w:suppressLineNumbers w:val="0"/>
              <w:jc w:val="left"/>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5</w:t>
            </w:r>
            <w:r>
              <w:rPr>
                <w:rFonts w:hint="eastAsia" w:ascii="宋体" w:hAnsi="宋体" w:eastAsia="宋体" w:cs="宋体"/>
                <w:i w:val="0"/>
                <w:iCs w:val="0"/>
                <w:color w:val="000000"/>
                <w:sz w:val="20"/>
                <w:szCs w:val="20"/>
                <w:u w:val="none"/>
                <w:lang w:val="en-US" w:eastAsia="zh-CN"/>
              </w:rPr>
              <w:t>.pH值呈弱碱性</w:t>
            </w:r>
            <w:r>
              <w:rPr>
                <w:rFonts w:hint="eastAsia" w:ascii="宋体" w:hAnsi="宋体" w:cs="宋体"/>
                <w:i w:val="0"/>
                <w:iCs w:val="0"/>
                <w:color w:val="000000"/>
                <w:sz w:val="20"/>
                <w:szCs w:val="20"/>
                <w:u w:val="none"/>
                <w:lang w:val="en-US" w:eastAsia="zh-CN"/>
              </w:rPr>
              <w:t>，碱性清洗液基本无或有轻微腐蚀，腐蚀程度不宜强于水洗。</w:t>
            </w:r>
          </w:p>
          <w:p w14:paraId="7713F253">
            <w:pPr>
              <w:keepNext w:val="0"/>
              <w:keepLines w:val="0"/>
              <w:widowControl/>
              <w:suppressLineNumbers w:val="0"/>
              <w:jc w:val="left"/>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cs="宋体"/>
                <w:i w:val="0"/>
                <w:iCs w:val="0"/>
                <w:color w:val="000000"/>
                <w:sz w:val="20"/>
                <w:szCs w:val="20"/>
                <w:u w:val="none"/>
                <w:lang w:val="en-US" w:eastAsia="zh-CN"/>
              </w:rPr>
              <w:t>6</w:t>
            </w:r>
            <w:r>
              <w:rPr>
                <w:rFonts w:hint="eastAsia" w:ascii="宋体" w:hAnsi="宋体" w:eastAsia="宋体" w:cs="宋体"/>
                <w:i w:val="0"/>
                <w:iCs w:val="0"/>
                <w:color w:val="000000"/>
                <w:sz w:val="20"/>
                <w:szCs w:val="20"/>
                <w:u w:val="none"/>
                <w:lang w:val="en-US" w:eastAsia="zh-CN"/>
              </w:rPr>
              <w:t>.适用于供应室。</w:t>
            </w:r>
          </w:p>
        </w:tc>
      </w:tr>
    </w:tbl>
    <w:p w14:paraId="72F89922">
      <w:pPr>
        <w:numPr>
          <w:ilvl w:val="0"/>
          <w:numId w:val="0"/>
        </w:numPr>
        <w:ind w:leftChars="0"/>
        <w:jc w:val="center"/>
        <w:rPr>
          <w:rFonts w:hint="eastAsia" w:cs="宋体" w:asciiTheme="majorEastAsia" w:hAnsiTheme="majorEastAsia" w:eastAsiaTheme="majorEastAsia"/>
          <w:b/>
          <w:bCs/>
          <w:sz w:val="30"/>
          <w:szCs w:val="30"/>
          <w:lang w:val="en-US" w:eastAsia="zh-CN"/>
        </w:rPr>
      </w:pPr>
    </w:p>
    <w:p w14:paraId="06EDDFAB">
      <w:pPr>
        <w:numPr>
          <w:ilvl w:val="0"/>
          <w:numId w:val="0"/>
        </w:numPr>
        <w:ind w:leftChars="0"/>
        <w:jc w:val="center"/>
        <w:rPr>
          <w:rFonts w:hint="eastAsia" w:cs="宋体" w:asciiTheme="majorEastAsia" w:hAnsiTheme="majorEastAsia" w:eastAsiaTheme="majorEastAsia"/>
          <w:b/>
          <w:bCs/>
          <w:sz w:val="30"/>
          <w:szCs w:val="30"/>
          <w:lang w:val="en-US" w:eastAsia="zh-CN"/>
        </w:rPr>
      </w:pPr>
      <w:r>
        <w:rPr>
          <w:rFonts w:hint="eastAsia" w:cs="宋体" w:asciiTheme="majorEastAsia" w:hAnsiTheme="majorEastAsia" w:eastAsiaTheme="majorEastAsia"/>
          <w:b/>
          <w:bCs/>
          <w:sz w:val="30"/>
          <w:szCs w:val="30"/>
          <w:lang w:val="en-US" w:eastAsia="zh-CN"/>
        </w:rPr>
        <w:t>（二）用户采购预算</w:t>
      </w:r>
    </w:p>
    <w:tbl>
      <w:tblPr>
        <w:tblStyle w:val="15"/>
        <w:tblW w:w="114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0"/>
        <w:gridCol w:w="960"/>
        <w:gridCol w:w="510"/>
        <w:gridCol w:w="780"/>
        <w:gridCol w:w="780"/>
        <w:gridCol w:w="780"/>
        <w:gridCol w:w="780"/>
        <w:gridCol w:w="780"/>
        <w:gridCol w:w="780"/>
        <w:gridCol w:w="780"/>
        <w:gridCol w:w="780"/>
        <w:gridCol w:w="780"/>
        <w:gridCol w:w="780"/>
        <w:gridCol w:w="780"/>
        <w:gridCol w:w="900"/>
      </w:tblGrid>
      <w:tr w14:paraId="12724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1BC51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8629F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5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8CE9E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计量单位</w:t>
            </w:r>
          </w:p>
        </w:tc>
        <w:tc>
          <w:tcPr>
            <w:tcW w:w="9480"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0A7FC1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预计24个月采购预算（单位：万元）</w:t>
            </w:r>
          </w:p>
        </w:tc>
      </w:tr>
      <w:tr w14:paraId="781D3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DEA71">
            <w:pPr>
              <w:jc w:val="center"/>
              <w:rPr>
                <w:rFonts w:hint="eastAsia" w:ascii="宋体" w:hAnsi="宋体" w:eastAsia="宋体" w:cs="宋体"/>
                <w:b/>
                <w:bCs/>
                <w:i w:val="0"/>
                <w:iCs w:val="0"/>
                <w:color w:val="000000"/>
                <w:sz w:val="20"/>
                <w:szCs w:val="20"/>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74299">
            <w:pPr>
              <w:jc w:val="center"/>
              <w:rPr>
                <w:rFonts w:hint="eastAsia" w:ascii="宋体" w:hAnsi="宋体" w:eastAsia="宋体" w:cs="宋体"/>
                <w:b/>
                <w:bCs/>
                <w:i w:val="0"/>
                <w:iCs w:val="0"/>
                <w:color w:val="000000"/>
                <w:sz w:val="20"/>
                <w:szCs w:val="20"/>
                <w:u w:val="none"/>
              </w:rPr>
            </w:pPr>
          </w:p>
        </w:tc>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8AD74">
            <w:pPr>
              <w:jc w:val="center"/>
              <w:rPr>
                <w:rFonts w:hint="eastAsia" w:ascii="宋体" w:hAnsi="宋体" w:eastAsia="宋体" w:cs="宋体"/>
                <w:b/>
                <w:bCs/>
                <w:i w:val="0"/>
                <w:iCs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EE45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龙岗区人民医院</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C644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北京中医药大学深圳医院（龙岗）</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4811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龙岗区妇幼保健院</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D951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龙岗区耳鼻咽喉医院</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9F4E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龙岗区第二人民医院</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DF5A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龙岗区第三人民医院</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547E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龙岗区第四人民医院</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EFA3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龙岗区第五人民医院</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088B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龙岗区第六人民医院</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7113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龙岗区第七人民医院</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FB25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龙岗区第八人民医院</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245C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w:t>
            </w:r>
          </w:p>
        </w:tc>
      </w:tr>
      <w:tr w14:paraId="1966D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9A4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386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多酶清洗液（中性）</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DD6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C3A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823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ED0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62F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F81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FDE9E">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27.44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7E4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C50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275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C92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E44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CD05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146.09</w:t>
            </w:r>
          </w:p>
        </w:tc>
      </w:tr>
      <w:tr w14:paraId="1F138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E05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EBC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多酶清洗液（碱性）</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19D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DFA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218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C2C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FFD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0BB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50531">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0.37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4FF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227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EF6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948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E4C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0B79A">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76.94</w:t>
            </w:r>
          </w:p>
        </w:tc>
      </w:tr>
    </w:tbl>
    <w:p w14:paraId="16B150BE">
      <w:pPr>
        <w:shd w:val="clear"/>
        <w:jc w:val="center"/>
        <w:rPr>
          <w:rFonts w:hint="eastAsia" w:ascii="宋体" w:hAnsi="宋体"/>
          <w:b/>
          <w:color w:val="FF0000"/>
          <w:sz w:val="24"/>
          <w:highlight w:val="yellow"/>
          <w:lang w:eastAsia="zh-CN"/>
        </w:rPr>
      </w:pPr>
    </w:p>
    <w:p w14:paraId="3ABA343D">
      <w:pPr>
        <w:shd w:val="clear"/>
        <w:rPr>
          <w:rFonts w:hint="eastAsia" w:ascii="宋体" w:hAnsi="宋体"/>
          <w:b/>
          <w:color w:val="FF0000"/>
          <w:sz w:val="24"/>
          <w:highlight w:val="yellow"/>
          <w:lang w:eastAsia="zh-CN"/>
        </w:rPr>
      </w:pPr>
      <w:r>
        <w:rPr>
          <w:rFonts w:hint="eastAsia" w:ascii="宋体" w:hAnsi="宋体"/>
          <w:b/>
          <w:color w:val="FF0000"/>
          <w:sz w:val="24"/>
          <w:highlight w:val="yellow"/>
          <w:lang w:eastAsia="zh-CN"/>
        </w:rPr>
        <w:t>条款及其它说明备注（报名供应商需全满足以下需求条款，否则视为无效报名）：</w:t>
      </w:r>
    </w:p>
    <w:p w14:paraId="509E35E5">
      <w:pPr>
        <w:shd w:val="clear"/>
        <w:rPr>
          <w:rFonts w:hint="eastAsia" w:ascii="宋体" w:hAnsi="宋体"/>
          <w:b/>
          <w:color w:val="FF0000"/>
          <w:sz w:val="24"/>
          <w:lang w:eastAsia="zh-CN"/>
        </w:rPr>
      </w:pPr>
      <w:r>
        <w:rPr>
          <w:rFonts w:hint="eastAsia" w:ascii="宋体" w:hAnsi="宋体"/>
          <w:b/>
          <w:color w:val="FF0000"/>
          <w:sz w:val="24"/>
          <w:lang w:eastAsia="zh-CN"/>
        </w:rPr>
        <w:t>一、协议期为</w:t>
      </w:r>
      <w:r>
        <w:rPr>
          <w:rFonts w:hint="eastAsia" w:ascii="宋体" w:hAnsi="宋体"/>
          <w:b/>
          <w:color w:val="FF0000"/>
          <w:sz w:val="24"/>
          <w:u w:val="single"/>
          <w:lang w:val="en-US" w:eastAsia="zh-CN"/>
        </w:rPr>
        <w:t>24</w:t>
      </w:r>
      <w:r>
        <w:rPr>
          <w:rFonts w:hint="eastAsia" w:ascii="宋体" w:hAnsi="宋体"/>
          <w:b/>
          <w:color w:val="FF0000"/>
          <w:sz w:val="24"/>
          <w:lang w:eastAsia="zh-CN"/>
        </w:rPr>
        <w:t>个月，</w:t>
      </w:r>
      <w:r>
        <w:rPr>
          <w:rFonts w:hint="eastAsia" w:ascii="宋体" w:hAnsi="宋体"/>
          <w:b/>
          <w:color w:val="FF0000"/>
          <w:sz w:val="24"/>
          <w:lang w:val="en-US" w:eastAsia="zh-CN"/>
        </w:rPr>
        <w:t>项目</w:t>
      </w:r>
      <w:r>
        <w:rPr>
          <w:rFonts w:hint="eastAsia" w:ascii="宋体" w:hAnsi="宋体"/>
          <w:b/>
          <w:color w:val="FF0000"/>
          <w:sz w:val="24"/>
          <w:lang w:eastAsia="zh-CN"/>
        </w:rPr>
        <w:t>采购清单及采购预算仅作为双方意向采购的参考，不作为双方的成交依据，最终成交物资品种和数量以甲方实际下单采购为准，中标后供应商需在</w:t>
      </w:r>
      <w:r>
        <w:rPr>
          <w:rFonts w:hint="eastAsia" w:ascii="宋体" w:hAnsi="宋体"/>
          <w:b/>
          <w:color w:val="FF0000"/>
          <w:sz w:val="24"/>
          <w:u w:val="single"/>
          <w:lang w:eastAsia="zh-CN"/>
        </w:rPr>
        <w:t xml:space="preserve"> </w:t>
      </w:r>
      <w:r>
        <w:rPr>
          <w:rFonts w:hint="eastAsia" w:ascii="宋体" w:hAnsi="宋体"/>
          <w:b/>
          <w:color w:val="FF0000"/>
          <w:sz w:val="24"/>
          <w:u w:val="single"/>
          <w:lang w:val="en-US" w:eastAsia="zh-CN"/>
        </w:rPr>
        <w:t>10</w:t>
      </w:r>
      <w:r>
        <w:rPr>
          <w:rFonts w:hint="eastAsia" w:ascii="宋体" w:hAnsi="宋体"/>
          <w:b/>
          <w:color w:val="FF0000"/>
          <w:sz w:val="24"/>
          <w:u w:val="single"/>
          <w:lang w:eastAsia="zh-CN"/>
        </w:rPr>
        <w:t xml:space="preserve">  </w:t>
      </w:r>
      <w:r>
        <w:rPr>
          <w:rFonts w:hint="eastAsia" w:ascii="宋体" w:hAnsi="宋体"/>
          <w:b/>
          <w:color w:val="FF0000"/>
          <w:sz w:val="24"/>
          <w:lang w:eastAsia="zh-CN"/>
        </w:rPr>
        <w:t>天内与各需求单位签订合同；</w:t>
      </w:r>
    </w:p>
    <w:p w14:paraId="56B9A2C0">
      <w:pPr>
        <w:pStyle w:val="20"/>
        <w:ind w:left="0" w:leftChars="0" w:firstLine="0" w:firstLineChars="0"/>
        <w:rPr>
          <w:rFonts w:hint="eastAsia" w:ascii="宋体" w:hAnsi="宋体"/>
          <w:b/>
          <w:color w:val="FF0000"/>
          <w:sz w:val="24"/>
          <w:lang w:eastAsia="zh-CN"/>
        </w:rPr>
      </w:pPr>
      <w:r>
        <w:rPr>
          <w:rFonts w:hint="eastAsia" w:ascii="宋体" w:hAnsi="宋体"/>
          <w:b/>
          <w:color w:val="FF0000"/>
          <w:sz w:val="24"/>
          <w:lang w:eastAsia="zh-CN"/>
        </w:rPr>
        <w:t>二、若报价高于最高采购价（单价），则此次报价无效；</w:t>
      </w:r>
    </w:p>
    <w:p w14:paraId="76A38C07">
      <w:pPr>
        <w:rPr>
          <w:rFonts w:hint="eastAsia" w:ascii="宋体" w:hAnsi="宋体"/>
          <w:b/>
          <w:color w:val="FF0000"/>
          <w:sz w:val="24"/>
          <w:lang w:eastAsia="zh-CN"/>
        </w:rPr>
      </w:pPr>
      <w:r>
        <w:rPr>
          <w:rFonts w:hint="eastAsia" w:ascii="宋体" w:hAnsi="宋体"/>
          <w:b/>
          <w:color w:val="FF0000"/>
          <w:sz w:val="24"/>
          <w:lang w:eastAsia="zh-CN"/>
        </w:rPr>
        <w:t>三、报名供应商</w:t>
      </w:r>
      <w:r>
        <w:rPr>
          <w:rFonts w:ascii="宋体" w:hAnsi="宋体"/>
          <w:b/>
          <w:color w:val="FF0000"/>
          <w:sz w:val="24"/>
        </w:rPr>
        <w:t>所投产品必须满足</w:t>
      </w:r>
      <w:r>
        <w:rPr>
          <w:rFonts w:hint="eastAsia" w:ascii="宋体" w:hAnsi="宋体"/>
          <w:b/>
          <w:color w:val="FF0000"/>
          <w:sz w:val="24"/>
        </w:rPr>
        <w:t>产品</w:t>
      </w:r>
      <w:r>
        <w:rPr>
          <w:rFonts w:hint="eastAsia" w:ascii="宋体" w:hAnsi="宋体"/>
          <w:b/>
          <w:color w:val="FF0000"/>
          <w:sz w:val="24"/>
          <w:lang w:eastAsia="zh-CN"/>
        </w:rPr>
        <w:t>参数</w:t>
      </w:r>
      <w:r>
        <w:rPr>
          <w:rFonts w:ascii="宋体" w:hAnsi="宋体"/>
          <w:b/>
          <w:color w:val="FF0000"/>
          <w:sz w:val="24"/>
        </w:rPr>
        <w:t>要求</w:t>
      </w:r>
      <w:r>
        <w:rPr>
          <w:rFonts w:hint="eastAsia" w:ascii="宋体" w:hAnsi="宋体"/>
          <w:b/>
          <w:color w:val="FF0000"/>
          <w:sz w:val="24"/>
          <w:lang w:eastAsia="zh-CN"/>
        </w:rPr>
        <w:t>，</w:t>
      </w:r>
      <w:r>
        <w:rPr>
          <w:rFonts w:ascii="宋体" w:hAnsi="宋体"/>
          <w:b/>
          <w:color w:val="FF0000"/>
          <w:sz w:val="24"/>
        </w:rPr>
        <w:t>否则按</w:t>
      </w:r>
      <w:r>
        <w:rPr>
          <w:rFonts w:hint="eastAsia" w:ascii="宋体" w:hAnsi="宋体"/>
          <w:b/>
          <w:color w:val="FF0000"/>
          <w:sz w:val="24"/>
        </w:rPr>
        <w:t>投</w:t>
      </w:r>
      <w:r>
        <w:rPr>
          <w:rFonts w:ascii="宋体" w:hAnsi="宋体"/>
          <w:b/>
          <w:color w:val="FF0000"/>
          <w:sz w:val="24"/>
        </w:rPr>
        <w:t>标</w:t>
      </w:r>
      <w:r>
        <w:rPr>
          <w:rFonts w:hint="eastAsia" w:ascii="宋体" w:hAnsi="宋体"/>
          <w:b/>
          <w:color w:val="FF0000"/>
          <w:sz w:val="24"/>
        </w:rPr>
        <w:t>无效</w:t>
      </w:r>
      <w:r>
        <w:rPr>
          <w:rFonts w:ascii="宋体" w:hAnsi="宋体"/>
          <w:b/>
          <w:color w:val="FF0000"/>
          <w:sz w:val="24"/>
        </w:rPr>
        <w:t>处理</w:t>
      </w:r>
      <w:r>
        <w:rPr>
          <w:rFonts w:hint="eastAsia" w:ascii="宋体" w:hAnsi="宋体"/>
          <w:b/>
          <w:color w:val="FF0000"/>
          <w:sz w:val="24"/>
          <w:lang w:eastAsia="zh-CN"/>
        </w:rPr>
        <w:t>；</w:t>
      </w:r>
    </w:p>
    <w:p w14:paraId="74F3F63D">
      <w:pPr>
        <w:pStyle w:val="20"/>
        <w:ind w:left="0" w:leftChars="0" w:firstLine="0" w:firstLineChars="0"/>
        <w:rPr>
          <w:rFonts w:hint="eastAsia" w:ascii="宋体" w:hAnsi="宋体"/>
          <w:b/>
          <w:color w:val="FF0000"/>
          <w:sz w:val="24"/>
          <w:lang w:eastAsia="zh-CN"/>
        </w:rPr>
      </w:pPr>
      <w:r>
        <w:rPr>
          <w:rFonts w:hint="eastAsia" w:ascii="宋体" w:hAnsi="宋体"/>
          <w:b/>
          <w:color w:val="FF0000"/>
          <w:sz w:val="24"/>
          <w:lang w:eastAsia="zh-CN"/>
        </w:rPr>
        <w:t>四、中选产品必须执行深圳市阳光平台线上交易工作</w:t>
      </w:r>
      <w:r>
        <w:rPr>
          <w:rFonts w:hint="eastAsia" w:ascii="宋体" w:hAnsi="宋体"/>
          <w:b/>
          <w:color w:val="FF0000"/>
          <w:sz w:val="24"/>
          <w:lang w:val="en-US" w:eastAsia="zh-CN"/>
        </w:rPr>
        <w:t>(非医疗器械无需执行）</w:t>
      </w:r>
      <w:r>
        <w:rPr>
          <w:rFonts w:hint="eastAsia" w:ascii="宋体" w:hAnsi="宋体"/>
          <w:b/>
          <w:color w:val="FF0000"/>
          <w:sz w:val="24"/>
          <w:lang w:eastAsia="zh-CN"/>
        </w:rPr>
        <w:t>；</w:t>
      </w:r>
    </w:p>
    <w:p w14:paraId="7B383DD0">
      <w:pPr>
        <w:pStyle w:val="20"/>
        <w:ind w:left="0" w:leftChars="0" w:firstLine="0" w:firstLineChars="0"/>
        <w:jc w:val="both"/>
        <w:rPr>
          <w:rFonts w:hint="default"/>
          <w:lang w:val="en-US" w:eastAsia="zh-CN"/>
        </w:rPr>
      </w:pPr>
      <w:r>
        <w:rPr>
          <w:rFonts w:hint="eastAsia" w:ascii="宋体" w:hAnsi="宋体"/>
          <w:b/>
          <w:color w:val="FF0000"/>
          <w:sz w:val="24"/>
          <w:lang w:eastAsia="zh-CN"/>
        </w:rPr>
        <w:t>五、需求单位：龙岗区各公立医院。</w:t>
      </w:r>
    </w:p>
    <w:p w14:paraId="16EE4072">
      <w:pPr>
        <w:pStyle w:val="2"/>
        <w:rPr>
          <w:rFonts w:hint="eastAsia" w:ascii="宋体" w:hAnsi="宋体" w:eastAsia="宋体" w:cs="Times New Roman"/>
          <w:b/>
          <w:bCs w:val="0"/>
          <w:color w:val="FF0000"/>
          <w:spacing w:val="0"/>
          <w:kern w:val="2"/>
          <w:sz w:val="24"/>
          <w:szCs w:val="24"/>
          <w:highlight w:val="yellow"/>
          <w:lang w:val="en-US" w:eastAsia="zh-CN" w:bidi="ar-SA"/>
        </w:rPr>
      </w:pPr>
      <w:r>
        <w:rPr>
          <w:rFonts w:hint="eastAsia" w:ascii="宋体" w:hAnsi="宋体" w:eastAsia="宋体" w:cs="Times New Roman"/>
          <w:b/>
          <w:bCs w:val="0"/>
          <w:color w:val="FF0000"/>
          <w:spacing w:val="0"/>
          <w:kern w:val="2"/>
          <w:sz w:val="24"/>
          <w:szCs w:val="24"/>
          <w:highlight w:val="yellow"/>
          <w:lang w:val="en-US" w:eastAsia="zh-CN" w:bidi="ar-SA"/>
        </w:rPr>
        <w:t>六、如报名资料发送邮箱未收到自动回复请</w:t>
      </w:r>
      <w:r>
        <w:rPr>
          <w:rFonts w:hint="eastAsia" w:ascii="宋体" w:hAnsi="宋体" w:cs="Times New Roman"/>
          <w:b/>
          <w:bCs w:val="0"/>
          <w:color w:val="FF0000"/>
          <w:spacing w:val="0"/>
          <w:kern w:val="2"/>
          <w:sz w:val="24"/>
          <w:szCs w:val="24"/>
          <w:highlight w:val="yellow"/>
          <w:lang w:val="en-US" w:eastAsia="zh-CN" w:bidi="ar-SA"/>
        </w:rPr>
        <w:t>拨打电话28989671</w:t>
      </w:r>
      <w:r>
        <w:rPr>
          <w:rFonts w:hint="eastAsia" w:ascii="宋体" w:hAnsi="宋体" w:eastAsia="宋体" w:cs="Times New Roman"/>
          <w:b/>
          <w:bCs w:val="0"/>
          <w:color w:val="FF0000"/>
          <w:spacing w:val="0"/>
          <w:kern w:val="2"/>
          <w:sz w:val="24"/>
          <w:szCs w:val="24"/>
          <w:highlight w:val="yellow"/>
          <w:lang w:val="en-US" w:eastAsia="zh-CN" w:bidi="ar-SA"/>
        </w:rPr>
        <w:t>。</w:t>
      </w:r>
    </w:p>
    <w:p w14:paraId="004D8769">
      <w:pPr>
        <w:pStyle w:val="2"/>
        <w:rPr>
          <w:rFonts w:hint="eastAsia" w:ascii="宋体" w:hAnsi="宋体" w:eastAsia="宋体" w:cs="Times New Roman"/>
          <w:b/>
          <w:bCs w:val="0"/>
          <w:color w:val="FF0000"/>
          <w:spacing w:val="0"/>
          <w:kern w:val="2"/>
          <w:sz w:val="24"/>
          <w:szCs w:val="24"/>
          <w:lang w:val="en-US" w:eastAsia="zh-CN" w:bidi="ar-SA"/>
        </w:rPr>
      </w:pPr>
    </w:p>
    <w:p w14:paraId="6218A3D9">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47B1765F">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楷体_GB2312" w:eastAsia="楷体_GB2312"/>
          <w:sz w:val="24"/>
        </w:rPr>
      </w:pPr>
      <w:r>
        <w:rPr>
          <w:rFonts w:hint="eastAsia" w:ascii="楷体_GB2312" w:eastAsia="楷体_GB2312"/>
          <w:b/>
          <w:bCs/>
          <w:sz w:val="24"/>
          <w:lang w:eastAsia="zh-CN"/>
        </w:rPr>
        <w:t>三</w:t>
      </w:r>
      <w:r>
        <w:rPr>
          <w:rFonts w:hint="eastAsia" w:ascii="楷体_GB2312" w:eastAsia="楷体_GB2312"/>
          <w:b/>
          <w:bCs/>
          <w:sz w:val="24"/>
        </w:rPr>
        <w:t>、</w:t>
      </w:r>
      <w:r>
        <w:rPr>
          <w:rFonts w:hint="eastAsia" w:ascii="楷体_GB2312" w:hAnsi="宋体" w:eastAsia="楷体_GB2312" w:cs="宋体"/>
          <w:b/>
          <w:bCs/>
          <w:sz w:val="24"/>
        </w:rPr>
        <w:t>提交</w:t>
      </w:r>
      <w:r>
        <w:rPr>
          <w:rFonts w:hint="eastAsia" w:ascii="楷体_GB2312" w:hAnsi="宋体" w:eastAsia="楷体_GB2312" w:cs="宋体"/>
          <w:b/>
          <w:bCs/>
          <w:sz w:val="24"/>
          <w:lang w:eastAsia="zh-CN"/>
        </w:rPr>
        <w:t>谈判文件截止时</w:t>
      </w:r>
      <w:r>
        <w:rPr>
          <w:rFonts w:hint="eastAsia" w:ascii="楷体_GB2312" w:hAnsi="宋体" w:eastAsia="楷体_GB2312" w:cs="宋体"/>
          <w:b/>
          <w:bCs/>
          <w:sz w:val="24"/>
        </w:rPr>
        <w:t>间、</w:t>
      </w:r>
      <w:r>
        <w:rPr>
          <w:rFonts w:hint="eastAsia" w:ascii="楷体_GB2312" w:hAnsi="宋体" w:eastAsia="楷体_GB2312" w:cs="宋体"/>
          <w:b/>
          <w:bCs/>
          <w:sz w:val="24"/>
          <w:lang w:eastAsia="zh-CN"/>
        </w:rPr>
        <w:t>洽谈</w:t>
      </w:r>
      <w:r>
        <w:rPr>
          <w:rFonts w:hint="eastAsia" w:ascii="楷体_GB2312" w:hAnsi="宋体" w:eastAsia="楷体_GB2312" w:cs="宋体"/>
          <w:b/>
          <w:bCs/>
          <w:sz w:val="24"/>
        </w:rPr>
        <w:t>时间和地点：</w:t>
      </w:r>
    </w:p>
    <w:p w14:paraId="65A00DD7">
      <w:pPr>
        <w:keepNext w:val="0"/>
        <w:keepLines w:val="0"/>
        <w:pageBreakBefore w:val="0"/>
        <w:widowControl w:val="0"/>
        <w:kinsoku/>
        <w:wordWrap/>
        <w:overflowPunct/>
        <w:topLinePunct w:val="0"/>
        <w:autoSpaceDE/>
        <w:autoSpaceDN/>
        <w:bidi w:val="0"/>
        <w:adjustRightInd/>
        <w:snapToGrid/>
        <w:spacing w:line="300" w:lineRule="auto"/>
        <w:ind w:firstLine="482" w:firstLineChars="200"/>
        <w:jc w:val="left"/>
        <w:textAlignment w:val="auto"/>
        <w:outlineLvl w:val="9"/>
        <w:rPr>
          <w:rFonts w:hint="eastAsia" w:ascii="宋体" w:hAnsi="宋体" w:eastAsia="宋体" w:cs="宋体"/>
          <w:b/>
          <w:bCs/>
          <w:color w:val="FF0000"/>
          <w:sz w:val="24"/>
          <w:szCs w:val="24"/>
          <w:highlight w:val="none"/>
          <w:lang w:val="en-US" w:eastAsia="zh-CN"/>
        </w:rPr>
      </w:pPr>
      <w:r>
        <w:rPr>
          <w:rFonts w:hint="eastAsia" w:ascii="宋体" w:hAnsi="宋体" w:eastAsia="宋体" w:cs="宋体"/>
          <w:b/>
          <w:bCs/>
          <w:color w:val="FF0000"/>
          <w:kern w:val="0"/>
          <w:sz w:val="24"/>
          <w:szCs w:val="24"/>
          <w:highlight w:val="none"/>
          <w:lang w:val="en-US" w:eastAsia="zh-CN"/>
        </w:rPr>
        <w:t>（一）</w:t>
      </w:r>
      <w:r>
        <w:rPr>
          <w:rFonts w:hint="eastAsia" w:ascii="宋体" w:hAnsi="宋体" w:eastAsia="宋体" w:cs="宋体"/>
          <w:b/>
          <w:bCs/>
          <w:color w:val="FF0000"/>
          <w:sz w:val="24"/>
          <w:szCs w:val="24"/>
          <w:highlight w:val="none"/>
          <w:lang w:val="en-US" w:eastAsia="zh-CN"/>
        </w:rPr>
        <w:t>洽谈现场提交纸质谈判资料：谈判文件一正五副（密封），彩页</w:t>
      </w:r>
      <w:r>
        <w:rPr>
          <w:rFonts w:hint="eastAsia" w:ascii="宋体" w:hAnsi="宋体" w:cs="宋体"/>
          <w:b/>
          <w:bCs/>
          <w:color w:val="FF0000"/>
          <w:sz w:val="24"/>
          <w:szCs w:val="24"/>
          <w:highlight w:val="none"/>
          <w:lang w:val="en-US" w:eastAsia="zh-CN"/>
        </w:rPr>
        <w:t>、</w:t>
      </w:r>
      <w:r>
        <w:rPr>
          <w:rFonts w:hint="eastAsia" w:ascii="宋体" w:hAnsi="宋体" w:eastAsia="宋体" w:cs="宋体"/>
          <w:b/>
          <w:bCs/>
          <w:color w:val="FF0000"/>
          <w:sz w:val="24"/>
          <w:szCs w:val="24"/>
          <w:highlight w:val="none"/>
          <w:lang w:val="en-US" w:eastAsia="zh-CN"/>
        </w:rPr>
        <w:t>样品</w:t>
      </w:r>
      <w:r>
        <w:rPr>
          <w:rFonts w:hint="eastAsia" w:ascii="宋体" w:hAnsi="宋体" w:cs="宋体"/>
          <w:b/>
          <w:bCs/>
          <w:color w:val="FF0000"/>
          <w:sz w:val="24"/>
          <w:szCs w:val="24"/>
          <w:highlight w:val="none"/>
          <w:lang w:val="en-US" w:eastAsia="zh-CN"/>
        </w:rPr>
        <w:t>及产品说明书</w:t>
      </w:r>
      <w:r>
        <w:rPr>
          <w:rFonts w:hint="eastAsia" w:ascii="宋体" w:hAnsi="宋体" w:eastAsia="宋体" w:cs="宋体"/>
          <w:b/>
          <w:bCs/>
          <w:color w:val="FF0000"/>
          <w:sz w:val="24"/>
          <w:szCs w:val="24"/>
          <w:highlight w:val="none"/>
          <w:lang w:val="en-US" w:eastAsia="zh-CN"/>
        </w:rPr>
        <w:t>等，谈判文件PDF版扫描件洽谈当天发送邮箱（不接收U盘），逾期不予受理。</w:t>
      </w:r>
    </w:p>
    <w:p w14:paraId="0351CD71">
      <w:pPr>
        <w:pStyle w:val="2"/>
        <w:ind w:firstLine="522" w:firstLineChars="200"/>
        <w:rPr>
          <w:rFonts w:hint="default" w:ascii="宋体" w:hAnsi="宋体" w:eastAsia="宋体" w:cs="宋体"/>
          <w:b/>
          <w:bCs/>
          <w:color w:val="FF0000"/>
          <w:spacing w:val="0"/>
          <w:kern w:val="2"/>
          <w:sz w:val="24"/>
          <w:szCs w:val="24"/>
          <w:highlight w:val="none"/>
          <w:lang w:val="en-US" w:eastAsia="zh-CN" w:bidi="ar-SA"/>
        </w:rPr>
      </w:pPr>
      <w:r>
        <w:rPr>
          <w:rFonts w:hint="eastAsia" w:ascii="宋体" w:hAnsi="宋体" w:cs="宋体"/>
          <w:b/>
          <w:bCs/>
          <w:color w:val="FF0000"/>
          <w:sz w:val="24"/>
          <w:szCs w:val="24"/>
          <w:highlight w:val="yellow"/>
          <w:lang w:val="en-US" w:eastAsia="zh-CN"/>
        </w:rPr>
        <w:t>备注：请</w:t>
      </w:r>
      <w:r>
        <w:rPr>
          <w:rFonts w:hint="eastAsia" w:ascii="宋体" w:hAnsi="宋体" w:eastAsia="宋体" w:cs="宋体"/>
          <w:b/>
          <w:bCs/>
          <w:color w:val="FF0000"/>
          <w:spacing w:val="0"/>
          <w:kern w:val="2"/>
          <w:sz w:val="24"/>
          <w:szCs w:val="24"/>
          <w:highlight w:val="yellow"/>
          <w:lang w:val="en-US" w:eastAsia="zh-CN" w:bidi="ar-SA"/>
        </w:rPr>
        <w:t>根据报名序号分别提交</w:t>
      </w:r>
      <w:r>
        <w:rPr>
          <w:rFonts w:hint="eastAsia" w:ascii="宋体" w:hAnsi="宋体" w:cs="宋体"/>
          <w:b/>
          <w:bCs/>
          <w:color w:val="FF0000"/>
          <w:sz w:val="24"/>
          <w:szCs w:val="24"/>
          <w:highlight w:val="yellow"/>
          <w:lang w:val="en-US" w:eastAsia="zh-CN"/>
        </w:rPr>
        <w:t>谈判文件</w:t>
      </w:r>
      <w:r>
        <w:rPr>
          <w:rFonts w:hint="eastAsia" w:ascii="宋体" w:hAnsi="宋体" w:eastAsia="宋体" w:cs="宋体"/>
          <w:b/>
          <w:bCs/>
          <w:color w:val="FF0000"/>
          <w:sz w:val="24"/>
          <w:szCs w:val="24"/>
          <w:highlight w:val="yellow"/>
          <w:lang w:val="en-US" w:eastAsia="zh-CN"/>
        </w:rPr>
        <w:t>一正五副（密封）。</w:t>
      </w:r>
    </w:p>
    <w:p w14:paraId="50081CD6">
      <w:pPr>
        <w:keepNext w:val="0"/>
        <w:keepLines w:val="0"/>
        <w:pageBreakBefore w:val="0"/>
        <w:widowControl w:val="0"/>
        <w:kinsoku/>
        <w:wordWrap/>
        <w:overflowPunct/>
        <w:topLinePunct w:val="0"/>
        <w:autoSpaceDE/>
        <w:autoSpaceDN/>
        <w:bidi w:val="0"/>
        <w:adjustRightInd/>
        <w:snapToGrid/>
        <w:ind w:firstLine="482" w:firstLineChars="200"/>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b/>
          <w:bCs/>
          <w:color w:val="FF0000"/>
          <w:sz w:val="24"/>
          <w:szCs w:val="24"/>
          <w:highlight w:val="none"/>
          <w:lang w:eastAsia="zh-CN"/>
        </w:rPr>
        <w:t>（二）洽谈</w:t>
      </w:r>
      <w:r>
        <w:rPr>
          <w:rFonts w:hint="eastAsia" w:ascii="宋体" w:hAnsi="宋体" w:eastAsia="宋体" w:cs="宋体"/>
          <w:b/>
          <w:bCs/>
          <w:color w:val="FF0000"/>
          <w:sz w:val="24"/>
          <w:szCs w:val="24"/>
          <w:highlight w:val="none"/>
        </w:rPr>
        <w:t>时</w:t>
      </w:r>
      <w:r>
        <w:rPr>
          <w:rFonts w:hint="eastAsia" w:ascii="宋体" w:hAnsi="宋体" w:eastAsia="宋体" w:cs="宋体"/>
          <w:b/>
          <w:bCs/>
          <w:color w:val="FF0000"/>
          <w:sz w:val="24"/>
          <w:szCs w:val="24"/>
          <w:highlight w:val="none"/>
          <w:lang w:eastAsia="zh-CN"/>
        </w:rPr>
        <w:t>间和地点：</w:t>
      </w:r>
      <w:r>
        <w:rPr>
          <w:rFonts w:hint="eastAsia" w:ascii="宋体" w:hAnsi="宋体" w:cs="宋体"/>
          <w:b/>
          <w:bCs/>
          <w:color w:val="FF0000"/>
          <w:sz w:val="24"/>
          <w:szCs w:val="24"/>
          <w:highlight w:val="none"/>
          <w:lang w:val="en-US" w:eastAsia="zh-CN"/>
        </w:rPr>
        <w:t>2026</w:t>
      </w:r>
      <w:r>
        <w:rPr>
          <w:rFonts w:hint="eastAsia" w:ascii="宋体" w:hAnsi="宋体" w:eastAsia="宋体" w:cs="宋体"/>
          <w:b/>
          <w:bCs/>
          <w:color w:val="FF0000"/>
          <w:sz w:val="24"/>
          <w:szCs w:val="24"/>
          <w:highlight w:val="none"/>
          <w:lang w:val="en-US" w:eastAsia="zh-CN"/>
        </w:rPr>
        <w:t>年</w:t>
      </w:r>
      <w:r>
        <w:rPr>
          <w:rFonts w:hint="eastAsia" w:ascii="宋体" w:hAnsi="宋体" w:cs="宋体"/>
          <w:b/>
          <w:bCs/>
          <w:color w:val="FF0000"/>
          <w:sz w:val="24"/>
          <w:szCs w:val="24"/>
          <w:highlight w:val="none"/>
          <w:lang w:val="en-US" w:eastAsia="zh-CN"/>
        </w:rPr>
        <w:t>6</w:t>
      </w:r>
      <w:r>
        <w:rPr>
          <w:rFonts w:hint="eastAsia" w:ascii="宋体" w:hAnsi="宋体" w:eastAsia="宋体" w:cs="宋体"/>
          <w:b/>
          <w:bCs/>
          <w:color w:val="FF0000"/>
          <w:sz w:val="24"/>
          <w:szCs w:val="24"/>
          <w:highlight w:val="none"/>
          <w:lang w:val="en-US" w:eastAsia="zh-CN"/>
        </w:rPr>
        <w:t>月</w:t>
      </w:r>
      <w:r>
        <w:rPr>
          <w:rFonts w:hint="eastAsia" w:ascii="宋体" w:hAnsi="宋体" w:cs="宋体"/>
          <w:b/>
          <w:bCs/>
          <w:color w:val="FF0000"/>
          <w:sz w:val="24"/>
          <w:szCs w:val="24"/>
          <w:highlight w:val="none"/>
          <w:lang w:val="en-US" w:eastAsia="zh-CN"/>
        </w:rPr>
        <w:t>11</w:t>
      </w:r>
      <w:r>
        <w:rPr>
          <w:rFonts w:hint="eastAsia" w:ascii="宋体" w:hAnsi="宋体" w:eastAsia="宋体" w:cs="宋体"/>
          <w:b/>
          <w:bCs/>
          <w:color w:val="FF0000"/>
          <w:sz w:val="24"/>
          <w:szCs w:val="24"/>
          <w:highlight w:val="none"/>
          <w:lang w:val="en-US" w:eastAsia="zh-CN"/>
        </w:rPr>
        <w:t>日14:30，</w:t>
      </w:r>
      <w:r>
        <w:rPr>
          <w:rFonts w:hint="eastAsia" w:ascii="宋体" w:hAnsi="宋体" w:eastAsia="宋体" w:cs="宋体"/>
          <w:b/>
          <w:bCs/>
          <w:color w:val="FF0000"/>
          <w:sz w:val="24"/>
          <w:szCs w:val="24"/>
          <w:highlight w:val="none"/>
          <w:lang w:eastAsia="zh-CN"/>
        </w:rPr>
        <w:t>深圳市龙岗区人民医院消毒供应中心二楼</w:t>
      </w:r>
      <w:r>
        <w:rPr>
          <w:rFonts w:hint="eastAsia" w:ascii="宋体" w:hAnsi="宋体" w:eastAsia="宋体" w:cs="宋体"/>
          <w:b/>
          <w:bCs/>
          <w:color w:val="FF0000"/>
          <w:sz w:val="24"/>
          <w:szCs w:val="24"/>
          <w:highlight w:val="none"/>
          <w:lang w:val="en-US" w:eastAsia="zh-CN"/>
        </w:rPr>
        <w:t>202会议室。</w:t>
      </w:r>
    </w:p>
    <w:p w14:paraId="3DF5490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bookmarkStart w:id="7" w:name="_GoBack"/>
      <w:bookmarkEnd w:id="7"/>
      <w:bookmarkStart w:id="0" w:name="_Toc28359084"/>
      <w:bookmarkStart w:id="1" w:name="_Toc35393794"/>
      <w:bookmarkStart w:id="2" w:name="_Toc35393625"/>
      <w:bookmarkStart w:id="3" w:name="_Toc28359007"/>
    </w:p>
    <w:p w14:paraId="0F687D18">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37EF1AB4">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3B5A8AA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327F35F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3EA4D83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68778118">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07335226">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06DA89EE">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7E36050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2983A204">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2977BD8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479A1B06">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5E391644">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702614A">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1CDC50A2">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70786F56">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4C6901A5">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0AFAACB8">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75DFC1A0">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1D618CB7">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56644E37">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7D952F16">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2"/>
        <w:rPr>
          <w:rFonts w:hint="eastAsia" w:ascii="仿宋_GB2312" w:eastAsia="仿宋_GB2312"/>
          <w:bCs/>
        </w:rPr>
      </w:pPr>
    </w:p>
    <w:p w14:paraId="168D274B">
      <w:pPr>
        <w:pStyle w:val="2"/>
        <w:rPr>
          <w:rFonts w:hint="eastAsia" w:ascii="仿宋_GB2312" w:eastAsia="仿宋_GB2312"/>
          <w:bCs/>
          <w:lang w:val="zh-CN"/>
        </w:rPr>
      </w:pPr>
    </w:p>
    <w:p w14:paraId="1358C329">
      <w:pPr>
        <w:ind w:left="0"/>
        <w:jc w:val="center"/>
        <w:rPr>
          <w:rFonts w:cs="华文中宋"/>
          <w:b/>
          <w:sz w:val="52"/>
          <w:szCs w:val="52"/>
          <w:lang w:val="zh-CN"/>
        </w:rPr>
      </w:pPr>
      <w:r>
        <w:rPr>
          <w:rFonts w:hint="eastAsia" w:cs="华文中宋"/>
          <w:b/>
          <w:sz w:val="52"/>
          <w:szCs w:val="52"/>
          <w:lang w:val="zh-CN"/>
        </w:rPr>
        <w:t>深圳市龙岗区公立医院医用耗材联合采购项目</w:t>
      </w:r>
    </w:p>
    <w:p w14:paraId="4C2E849D">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1E8213E8">
      <w:pPr>
        <w:autoSpaceDE w:val="0"/>
        <w:autoSpaceDN w:val="0"/>
        <w:adjustRightInd w:val="0"/>
        <w:ind w:left="3602" w:leftChars="855" w:hanging="1807" w:hangingChars="500"/>
        <w:jc w:val="both"/>
        <w:outlineLvl w:val="0"/>
        <w:rPr>
          <w:rFonts w:hint="default"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w:t>
      </w:r>
      <w:r>
        <w:rPr>
          <w:rFonts w:hint="eastAsia" w:ascii="宋体" w:hAnsi="宋体" w:cs="宋体"/>
          <w:b/>
          <w:bCs/>
          <w:color w:val="111111"/>
          <w:kern w:val="0"/>
          <w:sz w:val="36"/>
          <w:szCs w:val="36"/>
          <w:highlight w:val="none"/>
          <w:shd w:val="clear" w:color="auto" w:fill="auto"/>
          <w:lang w:val="en-US" w:eastAsia="zh-CN"/>
        </w:rPr>
        <w:t>例1、多酶消毒液（中性）</w:t>
      </w:r>
    </w:p>
    <w:p w14:paraId="276EE5A2">
      <w:pPr>
        <w:pStyle w:val="2"/>
        <w:rPr>
          <w:rFonts w:hint="eastAsia" w:ascii="宋体" w:hAnsi="宋体" w:eastAsia="宋体" w:cs="宋体"/>
          <w:b/>
          <w:bCs/>
          <w:kern w:val="2"/>
          <w:sz w:val="32"/>
          <w:szCs w:val="32"/>
          <w:lang w:val="en-US" w:eastAsia="zh-CN" w:bidi="ar-SA"/>
        </w:rPr>
      </w:pPr>
    </w:p>
    <w:p w14:paraId="4B995FEE">
      <w:pPr>
        <w:pStyle w:val="2"/>
        <w:rPr>
          <w:rFonts w:hint="eastAsia" w:ascii="宋体" w:hAnsi="宋体" w:eastAsia="宋体" w:cs="宋体"/>
          <w:b/>
          <w:bCs/>
          <w:kern w:val="2"/>
          <w:sz w:val="32"/>
          <w:szCs w:val="32"/>
          <w:lang w:val="en-US" w:eastAsia="zh-CN" w:bidi="ar-SA"/>
        </w:rPr>
      </w:pPr>
    </w:p>
    <w:p w14:paraId="75721832">
      <w:pPr>
        <w:pStyle w:val="2"/>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9"/>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公章：</w:t>
      </w:r>
    </w:p>
    <w:p w14:paraId="27988D35">
      <w:pPr>
        <w:pStyle w:val="2"/>
        <w:rPr>
          <w:rFonts w:hint="eastAsia" w:ascii="宋体" w:hAnsi="宋体" w:eastAsia="宋体" w:cs="宋体"/>
          <w:sz w:val="28"/>
          <w:szCs w:val="28"/>
        </w:rPr>
      </w:pPr>
    </w:p>
    <w:p w14:paraId="6C338C7F">
      <w:pPr>
        <w:pStyle w:val="2"/>
        <w:rPr>
          <w:rFonts w:hint="eastAsia" w:ascii="宋体" w:hAnsi="宋体" w:eastAsia="宋体" w:cs="宋体"/>
          <w:sz w:val="28"/>
          <w:szCs w:val="28"/>
          <w:lang w:val="zh-CN"/>
        </w:rPr>
      </w:pPr>
    </w:p>
    <w:p w14:paraId="6B54AF5E">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27760DCA">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0D63025F">
      <w:pPr>
        <w:pStyle w:val="2"/>
        <w:numPr>
          <w:ilvl w:val="0"/>
          <w:numId w:val="0"/>
        </w:numPr>
        <w:rPr>
          <w:rFonts w:ascii="宋体" w:hAnsi="宋体" w:eastAsia="宋体" w:cs="宋体"/>
          <w:sz w:val="21"/>
          <w:szCs w:val="21"/>
        </w:rPr>
      </w:pPr>
    </w:p>
    <w:p w14:paraId="7ADCDF6F">
      <w:pPr>
        <w:pStyle w:val="2"/>
        <w:numPr>
          <w:ilvl w:val="0"/>
          <w:numId w:val="0"/>
        </w:numPr>
        <w:rPr>
          <w:rFonts w:ascii="宋体" w:hAnsi="宋体" w:eastAsia="宋体" w:cs="宋体"/>
          <w:sz w:val="21"/>
          <w:szCs w:val="21"/>
        </w:rPr>
      </w:pPr>
    </w:p>
    <w:p w14:paraId="4357676F">
      <w:pPr>
        <w:pStyle w:val="2"/>
        <w:numPr>
          <w:ilvl w:val="0"/>
          <w:numId w:val="0"/>
        </w:numPr>
        <w:rPr>
          <w:rFonts w:ascii="宋体" w:hAnsi="宋体" w:eastAsia="宋体" w:cs="宋体"/>
          <w:sz w:val="21"/>
          <w:szCs w:val="21"/>
        </w:rPr>
      </w:pPr>
    </w:p>
    <w:p w14:paraId="6FFD0D59">
      <w:pPr>
        <w:pStyle w:val="2"/>
        <w:numPr>
          <w:ilvl w:val="0"/>
          <w:numId w:val="0"/>
        </w:numPr>
        <w:rPr>
          <w:rFonts w:ascii="宋体" w:hAnsi="宋体" w:eastAsia="宋体" w:cs="宋体"/>
          <w:sz w:val="21"/>
          <w:szCs w:val="21"/>
        </w:rPr>
      </w:pPr>
    </w:p>
    <w:p w14:paraId="18B35079">
      <w:pPr>
        <w:pStyle w:val="2"/>
        <w:numPr>
          <w:ilvl w:val="0"/>
          <w:numId w:val="0"/>
        </w:numPr>
        <w:rPr>
          <w:rFonts w:ascii="宋体" w:hAnsi="宋体" w:eastAsia="宋体" w:cs="宋体"/>
          <w:sz w:val="21"/>
          <w:szCs w:val="21"/>
        </w:rPr>
      </w:pPr>
    </w:p>
    <w:p w14:paraId="7621FECE">
      <w:pPr>
        <w:pStyle w:val="2"/>
        <w:numPr>
          <w:ilvl w:val="0"/>
          <w:numId w:val="0"/>
        </w:numPr>
        <w:rPr>
          <w:rFonts w:ascii="宋体" w:hAnsi="宋体" w:eastAsia="宋体" w:cs="宋体"/>
          <w:sz w:val="21"/>
          <w:szCs w:val="21"/>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5"/>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cs="宋体"/>
                <w:sz w:val="24"/>
                <w:szCs w:val="24"/>
                <w:highlight w:val="none"/>
                <w:lang w:eastAsia="zh-CN"/>
              </w:rPr>
              <w:t>三甲医院</w:t>
            </w:r>
            <w:r>
              <w:rPr>
                <w:rFonts w:hint="eastAsia" w:ascii="宋体" w:hAnsi="宋体" w:eastAsia="宋体" w:cs="宋体"/>
                <w:sz w:val="24"/>
                <w:szCs w:val="24"/>
                <w:highlight w:val="none"/>
              </w:rPr>
              <w:t>使用证明</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r>
              <w:rPr>
                <w:rFonts w:hint="eastAsia" w:ascii="宋体" w:hAnsi="宋体" w:cs="宋体"/>
                <w:sz w:val="24"/>
                <w:szCs w:val="24"/>
                <w:lang w:val="en-US" w:eastAsia="zh-CN"/>
              </w:rPr>
              <w:t>（非医疗器械无需提供）</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文件目录”所列顺序装订，并在每个</w:t>
            </w:r>
            <w:r>
              <w:rPr>
                <w:rFonts w:hint="eastAsia" w:ascii="宋体" w:hAnsi="宋体" w:eastAsia="宋体" w:cs="宋体"/>
                <w:sz w:val="24"/>
                <w:szCs w:val="24"/>
                <w:lang w:eastAsia="zh-CN"/>
              </w:rPr>
              <w:t>所投</w:t>
            </w:r>
            <w:r>
              <w:rPr>
                <w:rFonts w:hint="eastAsia" w:ascii="宋体" w:hAnsi="宋体" w:eastAsia="宋体" w:cs="宋体"/>
                <w:sz w:val="24"/>
                <w:szCs w:val="24"/>
              </w:rPr>
              <w:t>产品材料的右上角编上</w:t>
            </w:r>
            <w:r>
              <w:rPr>
                <w:rFonts w:hint="eastAsia" w:ascii="宋体" w:hAnsi="宋体" w:eastAsia="宋体" w:cs="宋体"/>
                <w:sz w:val="24"/>
                <w:szCs w:val="24"/>
                <w:lang w:eastAsia="zh-CN"/>
              </w:rPr>
              <w:t>采购目录</w:t>
            </w:r>
            <w:r>
              <w:rPr>
                <w:rFonts w:hint="eastAsia" w:ascii="宋体" w:hAnsi="宋体" w:eastAsia="宋体" w:cs="宋体"/>
                <w:sz w:val="24"/>
                <w:szCs w:val="24"/>
              </w:rPr>
              <w:t>序号</w:t>
            </w:r>
            <w:r>
              <w:rPr>
                <w:rFonts w:hint="eastAsia" w:ascii="宋体" w:hAnsi="宋体" w:eastAsia="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eastAsia="宋体" w:cs="宋体"/>
                <w:sz w:val="24"/>
                <w:szCs w:val="24"/>
                <w:lang w:eastAsia="zh-CN"/>
              </w:rPr>
              <w:t>洽谈</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20"/>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kern w:val="2"/>
                <w:sz w:val="24"/>
                <w:szCs w:val="24"/>
                <w:lang w:val="en-US" w:eastAsia="zh-CN" w:bidi="ar-SA"/>
              </w:rPr>
              <w:t>投标多产品，涉及多厂家，则按照7（含）-8（含）的顺序重复排放（厂家授权+厂家证件）。</w:t>
            </w:r>
          </w:p>
        </w:tc>
      </w:tr>
    </w:tbl>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28199"/>
      <w:bookmarkStart w:id="5" w:name="_Toc13235"/>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3"/>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8"/>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LGLHHC2026-02</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6"/>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
                              <w:rPr>
                                <w:rFonts w:eastAsia="华文中宋"/>
                                <w:sz w:val="28"/>
                              </w:rPr>
                            </w:pPr>
                          </w:p>
                          <w:p w14:paraId="690CB270">
                            <w:pPr>
                              <w:pStyle w:val="2"/>
                              <w:rPr>
                                <w:rFonts w:eastAsia="华文中宋"/>
                                <w:sz w:val="28"/>
                              </w:rPr>
                            </w:pPr>
                          </w:p>
                          <w:p w14:paraId="587995A1">
                            <w:pPr>
                              <w:pStyle w:val="2"/>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
                        <w:rPr>
                          <w:rFonts w:eastAsia="华文中宋"/>
                          <w:sz w:val="28"/>
                        </w:rPr>
                      </w:pPr>
                    </w:p>
                    <w:p w14:paraId="690CB270">
                      <w:pPr>
                        <w:pStyle w:val="2"/>
                        <w:rPr>
                          <w:rFonts w:eastAsia="华文中宋"/>
                          <w:sz w:val="28"/>
                        </w:rPr>
                      </w:pPr>
                    </w:p>
                    <w:p w14:paraId="587995A1">
                      <w:pPr>
                        <w:pStyle w:val="2"/>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
                              <w:rPr>
                                <w:rFonts w:eastAsia="华文中宋"/>
                                <w:sz w:val="28"/>
                              </w:rPr>
                            </w:pPr>
                          </w:p>
                          <w:p w14:paraId="15BAF1AE">
                            <w:pPr>
                              <w:pStyle w:val="2"/>
                              <w:rPr>
                                <w:rFonts w:eastAsia="华文中宋"/>
                                <w:sz w:val="28"/>
                              </w:rPr>
                            </w:pPr>
                          </w:p>
                          <w:p w14:paraId="7F680F68">
                            <w:pPr>
                              <w:pStyle w:val="2"/>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
                        <w:rPr>
                          <w:rFonts w:eastAsia="华文中宋"/>
                          <w:sz w:val="28"/>
                        </w:rPr>
                      </w:pPr>
                    </w:p>
                    <w:p w14:paraId="15BAF1AE">
                      <w:pPr>
                        <w:pStyle w:val="2"/>
                        <w:rPr>
                          <w:rFonts w:eastAsia="华文中宋"/>
                          <w:sz w:val="28"/>
                        </w:rPr>
                      </w:pPr>
                    </w:p>
                    <w:p w14:paraId="7F680F68">
                      <w:pPr>
                        <w:pStyle w:val="2"/>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57DCB7BB">
      <w:pPr>
        <w:rPr>
          <w:rFonts w:hint="eastAsia" w:ascii="宋体" w:hAnsi="宋体" w:eastAsia="宋体" w:cs="宋体"/>
          <w:b/>
          <w:sz w:val="24"/>
          <w:szCs w:val="24"/>
        </w:rPr>
      </w:pPr>
    </w:p>
    <w:p w14:paraId="07D6606C">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8"/>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8"/>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21"/>
        <w:rPr>
          <w:rFonts w:hint="eastAsia" w:ascii="仿宋_GB2312" w:hAnsi="Times New Roman" w:eastAsia="仿宋_GB2312"/>
          <w:sz w:val="32"/>
          <w:szCs w:val="32"/>
        </w:rPr>
      </w:pPr>
    </w:p>
    <w:p w14:paraId="5886B676">
      <w:pPr>
        <w:pStyle w:val="21"/>
        <w:rPr>
          <w:rFonts w:hint="eastAsia" w:ascii="仿宋_GB2312" w:hAnsi="Times New Roman" w:eastAsia="仿宋_GB2312"/>
          <w:sz w:val="32"/>
          <w:szCs w:val="32"/>
        </w:rPr>
      </w:pPr>
    </w:p>
    <w:p w14:paraId="0FB27A71">
      <w:pPr>
        <w:pStyle w:val="21"/>
        <w:rPr>
          <w:rFonts w:hint="default" w:ascii="仿宋_GB2312" w:hAnsi="Times New Roman" w:eastAsia="仿宋_GB2312" w:cs="Times New Roman"/>
          <w:bCs/>
          <w:kern w:val="2"/>
          <w:sz w:val="21"/>
          <w:szCs w:val="24"/>
          <w:lang w:val="en-US" w:eastAsia="zh-CN" w:bidi="ar-SA"/>
        </w:rPr>
      </w:pPr>
    </w:p>
    <w:p w14:paraId="35CD45A7">
      <w:pPr>
        <w:pStyle w:val="21"/>
        <w:rPr>
          <w:rFonts w:hint="default" w:ascii="仿宋_GB2312" w:hAnsi="Times New Roman" w:eastAsia="仿宋_GB2312" w:cs="Times New Roman"/>
          <w:bCs/>
          <w:kern w:val="2"/>
          <w:sz w:val="21"/>
          <w:szCs w:val="24"/>
          <w:lang w:val="en-US" w:eastAsia="zh-CN" w:bidi="ar-SA"/>
        </w:rPr>
      </w:pPr>
    </w:p>
    <w:p w14:paraId="578DB41B">
      <w:pPr>
        <w:pStyle w:val="21"/>
        <w:rPr>
          <w:rFonts w:hint="default" w:ascii="仿宋_GB2312" w:hAnsi="Times New Roman" w:eastAsia="仿宋_GB2312" w:cs="Times New Roman"/>
          <w:bCs/>
          <w:kern w:val="2"/>
          <w:sz w:val="21"/>
          <w:szCs w:val="24"/>
          <w:lang w:val="en-US" w:eastAsia="zh-CN" w:bidi="ar-SA"/>
        </w:rPr>
      </w:pPr>
    </w:p>
    <w:p w14:paraId="4D025F76">
      <w:pPr>
        <w:pStyle w:val="21"/>
        <w:rPr>
          <w:rFonts w:hint="default" w:ascii="仿宋_GB2312" w:hAnsi="Times New Roman" w:eastAsia="仿宋_GB2312" w:cs="Times New Roman"/>
          <w:bCs/>
          <w:kern w:val="2"/>
          <w:sz w:val="21"/>
          <w:szCs w:val="24"/>
          <w:lang w:val="en-US" w:eastAsia="zh-CN" w:bidi="ar-SA"/>
        </w:rPr>
      </w:pPr>
    </w:p>
    <w:p w14:paraId="22EE38DE">
      <w:pPr>
        <w:pStyle w:val="21"/>
        <w:rPr>
          <w:rFonts w:hint="default" w:ascii="仿宋_GB2312" w:hAnsi="Times New Roman" w:eastAsia="仿宋_GB2312" w:cs="Times New Roman"/>
          <w:bCs/>
          <w:kern w:val="2"/>
          <w:sz w:val="21"/>
          <w:szCs w:val="24"/>
          <w:lang w:val="en-US" w:eastAsia="zh-CN" w:bidi="ar-SA"/>
        </w:rPr>
      </w:pPr>
    </w:p>
    <w:p w14:paraId="32F5DC6B">
      <w:pPr>
        <w:pStyle w:val="21"/>
        <w:rPr>
          <w:rFonts w:hint="default" w:ascii="仿宋_GB2312" w:hAnsi="Times New Roman" w:eastAsia="仿宋_GB2312" w:cs="Times New Roman"/>
          <w:bCs/>
          <w:kern w:val="2"/>
          <w:sz w:val="21"/>
          <w:szCs w:val="24"/>
          <w:lang w:val="en-US" w:eastAsia="zh-CN" w:bidi="ar-SA"/>
        </w:rPr>
      </w:pPr>
    </w:p>
    <w:p w14:paraId="0D9A5178">
      <w:pPr>
        <w:pStyle w:val="21"/>
        <w:rPr>
          <w:rFonts w:hint="default" w:ascii="仿宋_GB2312" w:hAnsi="Times New Roman" w:eastAsia="仿宋_GB2312" w:cs="Times New Roman"/>
          <w:bCs/>
          <w:kern w:val="2"/>
          <w:sz w:val="21"/>
          <w:szCs w:val="24"/>
          <w:lang w:val="en-US" w:eastAsia="zh-CN" w:bidi="ar-SA"/>
        </w:rPr>
      </w:pPr>
    </w:p>
    <w:p w14:paraId="762A6EAC">
      <w:pPr>
        <w:pStyle w:val="21"/>
        <w:rPr>
          <w:rFonts w:hint="default" w:ascii="仿宋_GB2312" w:hAnsi="Times New Roman" w:eastAsia="仿宋_GB2312" w:cs="Times New Roman"/>
          <w:bCs/>
          <w:kern w:val="2"/>
          <w:sz w:val="21"/>
          <w:szCs w:val="24"/>
          <w:lang w:val="en-US" w:eastAsia="zh-CN" w:bidi="ar-SA"/>
        </w:rPr>
      </w:pPr>
    </w:p>
    <w:p w14:paraId="3463BF13">
      <w:pPr>
        <w:pStyle w:val="21"/>
        <w:rPr>
          <w:rFonts w:hint="default" w:ascii="仿宋_GB2312" w:hAnsi="Times New Roman" w:eastAsia="仿宋_GB2312" w:cs="Times New Roman"/>
          <w:bCs/>
          <w:kern w:val="2"/>
          <w:sz w:val="21"/>
          <w:szCs w:val="24"/>
          <w:lang w:val="en-US" w:eastAsia="zh-CN" w:bidi="ar-SA"/>
        </w:rPr>
      </w:pPr>
    </w:p>
    <w:p w14:paraId="573892C9">
      <w:pPr>
        <w:pStyle w:val="21"/>
        <w:rPr>
          <w:rFonts w:hint="default" w:ascii="仿宋_GB2312" w:hAnsi="Times New Roman" w:eastAsia="仿宋_GB2312" w:cs="Times New Roman"/>
          <w:bCs/>
          <w:kern w:val="2"/>
          <w:sz w:val="21"/>
          <w:szCs w:val="24"/>
          <w:lang w:val="en-US" w:eastAsia="zh-CN" w:bidi="ar-SA"/>
        </w:rPr>
      </w:pPr>
    </w:p>
    <w:p w14:paraId="7860BD36">
      <w:pPr>
        <w:pStyle w:val="21"/>
        <w:rPr>
          <w:rFonts w:hint="default" w:ascii="仿宋_GB2312" w:hAnsi="Times New Roman" w:eastAsia="仿宋_GB2312" w:cs="Times New Roman"/>
          <w:bCs/>
          <w:kern w:val="2"/>
          <w:sz w:val="21"/>
          <w:szCs w:val="24"/>
          <w:lang w:val="en-US" w:eastAsia="zh-CN" w:bidi="ar-SA"/>
        </w:rPr>
      </w:pPr>
    </w:p>
    <w:p w14:paraId="169FAD47">
      <w:pPr>
        <w:pStyle w:val="5"/>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6"/>
        <w:tblW w:w="13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7"/>
        <w:gridCol w:w="900"/>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1627"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900"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627" w:type="dxa"/>
            <w:vMerge w:val="restart"/>
            <w:vAlign w:val="center"/>
          </w:tcPr>
          <w:p w14:paraId="390905C4">
            <w:pPr>
              <w:ind w:left="0"/>
            </w:pPr>
            <w:r>
              <w:rPr>
                <w:rFonts w:hint="eastAsia" w:cs="宋体"/>
                <w:color w:val="FF0000"/>
                <w:sz w:val="18"/>
                <w:szCs w:val="18"/>
              </w:rPr>
              <w:t>xxx</w:t>
            </w:r>
          </w:p>
        </w:tc>
        <w:tc>
          <w:tcPr>
            <w:tcW w:w="900" w:type="dxa"/>
            <w:vMerge w:val="restart"/>
            <w:vAlign w:val="center"/>
          </w:tcPr>
          <w:p w14:paraId="4705A481">
            <w:pPr>
              <w:ind w:left="0"/>
            </w:pPr>
            <w:r>
              <w:rPr>
                <w:rFonts w:hint="eastAsia" w:cs="宋体"/>
                <w:color w:val="FF0000"/>
                <w:sz w:val="18"/>
                <w:szCs w:val="18"/>
              </w:rPr>
              <w:t>xxx</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627" w:type="dxa"/>
            <w:vMerge w:val="continue"/>
            <w:vAlign w:val="center"/>
          </w:tcPr>
          <w:p w14:paraId="0B7AC630">
            <w:pPr>
              <w:ind w:left="0"/>
              <w:jc w:val="center"/>
            </w:pPr>
          </w:p>
        </w:tc>
        <w:tc>
          <w:tcPr>
            <w:tcW w:w="900" w:type="dxa"/>
            <w:vMerge w:val="continue"/>
            <w:vAlign w:val="center"/>
          </w:tcPr>
          <w:p w14:paraId="63E433F4">
            <w:pPr>
              <w:ind w:left="0"/>
              <w:jc w:val="cente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627" w:type="dxa"/>
            <w:vMerge w:val="continue"/>
            <w:vAlign w:val="center"/>
          </w:tcPr>
          <w:p w14:paraId="0B6BD419">
            <w:pPr>
              <w:ind w:left="0"/>
              <w:jc w:val="center"/>
            </w:pPr>
          </w:p>
        </w:tc>
        <w:tc>
          <w:tcPr>
            <w:tcW w:w="900" w:type="dxa"/>
            <w:vMerge w:val="continue"/>
            <w:vAlign w:val="center"/>
          </w:tcPr>
          <w:p w14:paraId="0DE8FF93">
            <w:pPr>
              <w:ind w:left="0"/>
              <w:jc w:val="cente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dxa"/>
            <w:vMerge w:val="continue"/>
            <w:vAlign w:val="center"/>
          </w:tcPr>
          <w:p w14:paraId="25FC31AA">
            <w:pPr>
              <w:ind w:left="0"/>
              <w:jc w:val="center"/>
            </w:pPr>
          </w:p>
        </w:tc>
        <w:tc>
          <w:tcPr>
            <w:tcW w:w="900" w:type="dxa"/>
            <w:vMerge w:val="continue"/>
            <w:vAlign w:val="center"/>
          </w:tcPr>
          <w:p w14:paraId="2454716F">
            <w:pPr>
              <w:ind w:left="0"/>
              <w:jc w:val="cente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dxa"/>
            <w:vMerge w:val="continue"/>
            <w:vAlign w:val="center"/>
          </w:tcPr>
          <w:p w14:paraId="73C2CB0A">
            <w:pPr>
              <w:ind w:left="0"/>
              <w:jc w:val="center"/>
            </w:pPr>
          </w:p>
        </w:tc>
        <w:tc>
          <w:tcPr>
            <w:tcW w:w="900" w:type="dxa"/>
            <w:vMerge w:val="continue"/>
            <w:vAlign w:val="center"/>
          </w:tcPr>
          <w:p w14:paraId="60041573">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2"/>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2"/>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2"/>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2"/>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2"/>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2"/>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2"/>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2"/>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2"/>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5"/>
        <w:tblW w:w="14787"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25"/>
        <w:gridCol w:w="1250"/>
        <w:gridCol w:w="1200"/>
        <w:gridCol w:w="1388"/>
        <w:gridCol w:w="1737"/>
        <w:gridCol w:w="1600"/>
        <w:gridCol w:w="1425"/>
        <w:gridCol w:w="913"/>
        <w:gridCol w:w="1012"/>
        <w:gridCol w:w="563"/>
        <w:gridCol w:w="1050"/>
        <w:gridCol w:w="862"/>
        <w:gridCol w:w="862"/>
      </w:tblGrid>
      <w:tr w14:paraId="7A59F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r>
              <w:rPr>
                <w:rFonts w:hint="eastAsia" w:ascii="宋体" w:hAnsi="宋体" w:eastAsia="宋体" w:cs="宋体"/>
                <w:i w:val="0"/>
                <w:iCs w:val="0"/>
                <w:color w:val="FF0000"/>
                <w:kern w:val="0"/>
                <w:sz w:val="18"/>
                <w:szCs w:val="18"/>
                <w:u w:val="none"/>
                <w:lang w:val="en-US" w:eastAsia="zh-CN" w:bidi="ar"/>
              </w:rPr>
              <w:t>（如无平台交易代码填写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668B4">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备注（如适用手术/范围等）</w:t>
            </w:r>
          </w:p>
        </w:tc>
      </w:tr>
      <w:tr w14:paraId="5B2C4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top"/>
          </w:tcPr>
          <w:p w14:paraId="44796E72">
            <w:pPr>
              <w:jc w:val="center"/>
              <w:rPr>
                <w:rFonts w:hint="eastAsia" w:ascii="宋体" w:hAnsi="宋体" w:eastAsia="宋体" w:cs="宋体"/>
                <w:i w:val="0"/>
                <w:iCs w:val="0"/>
                <w:color w:val="000000"/>
                <w:sz w:val="20"/>
                <w:szCs w:val="20"/>
                <w:u w:val="none"/>
              </w:rPr>
            </w:pPr>
          </w:p>
        </w:tc>
      </w:tr>
      <w:tr w14:paraId="2CC1A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top"/>
          </w:tcPr>
          <w:p w14:paraId="717A473D">
            <w:pPr>
              <w:jc w:val="center"/>
              <w:rPr>
                <w:rFonts w:hint="eastAsia" w:ascii="宋体" w:hAnsi="宋体" w:eastAsia="宋体" w:cs="宋体"/>
                <w:i w:val="0"/>
                <w:iCs w:val="0"/>
                <w:color w:val="000000"/>
                <w:sz w:val="20"/>
                <w:szCs w:val="20"/>
                <w:u w:val="none"/>
              </w:rPr>
            </w:pPr>
          </w:p>
        </w:tc>
      </w:tr>
      <w:tr w14:paraId="24DC2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top"/>
          </w:tcPr>
          <w:p w14:paraId="0D05B7E1">
            <w:pPr>
              <w:jc w:val="center"/>
              <w:rPr>
                <w:rFonts w:hint="eastAsia" w:ascii="宋体" w:hAnsi="宋体" w:eastAsia="宋体" w:cs="宋体"/>
                <w:i w:val="0"/>
                <w:iCs w:val="0"/>
                <w:color w:val="000000"/>
                <w:sz w:val="20"/>
                <w:szCs w:val="20"/>
                <w:u w:val="none"/>
              </w:rPr>
            </w:pPr>
          </w:p>
        </w:tc>
      </w:tr>
      <w:tr w14:paraId="31482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top"/>
          </w:tcPr>
          <w:p w14:paraId="7F730BD9">
            <w:pPr>
              <w:jc w:val="center"/>
              <w:rPr>
                <w:rFonts w:hint="eastAsia" w:ascii="宋体" w:hAnsi="宋体" w:eastAsia="宋体" w:cs="宋体"/>
                <w:i w:val="0"/>
                <w:iCs w:val="0"/>
                <w:color w:val="000000"/>
                <w:sz w:val="20"/>
                <w:szCs w:val="20"/>
                <w:u w:val="none"/>
              </w:rPr>
            </w:pPr>
          </w:p>
        </w:tc>
      </w:tr>
      <w:tr w14:paraId="779EE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top"/>
          </w:tcPr>
          <w:p w14:paraId="3809305A">
            <w:pPr>
              <w:jc w:val="center"/>
              <w:rPr>
                <w:rFonts w:hint="eastAsia" w:ascii="宋体" w:hAnsi="宋体" w:eastAsia="宋体" w:cs="宋体"/>
                <w:i w:val="0"/>
                <w:iCs w:val="0"/>
                <w:color w:val="000000"/>
                <w:sz w:val="20"/>
                <w:szCs w:val="20"/>
                <w:u w:val="none"/>
              </w:rPr>
            </w:pPr>
          </w:p>
        </w:tc>
      </w:tr>
      <w:tr w14:paraId="55FF6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8D4D6">
            <w:pPr>
              <w:rPr>
                <w:rFonts w:hint="eastAsia" w:ascii="宋体" w:hAnsi="宋体" w:eastAsia="宋体" w:cs="宋体"/>
                <w:i w:val="0"/>
                <w:iCs w:val="0"/>
                <w:color w:val="000000"/>
                <w:sz w:val="22"/>
                <w:szCs w:val="22"/>
                <w:u w:val="none"/>
              </w:rPr>
            </w:pPr>
          </w:p>
        </w:tc>
      </w:tr>
    </w:tbl>
    <w:p w14:paraId="784D56A9">
      <w:pPr>
        <w:pStyle w:val="2"/>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2"/>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2"/>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2"/>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2"/>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2"/>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2"/>
        <w:ind w:left="0" w:leftChars="0" w:firstLine="0" w:firstLineChars="0"/>
        <w:rPr>
          <w:rFonts w:hint="eastAsia" w:cs="宋体"/>
          <w:i w:val="0"/>
          <w:color w:val="000000"/>
          <w:kern w:val="0"/>
          <w:sz w:val="22"/>
          <w:szCs w:val="22"/>
          <w:u w:val="none"/>
          <w:lang w:val="en-US" w:eastAsia="zh-CN" w:bidi="ar"/>
        </w:rPr>
      </w:pPr>
    </w:p>
    <w:p w14:paraId="38FC7BF6">
      <w:pPr>
        <w:pStyle w:val="2"/>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w:t>
      </w:r>
    </w:p>
    <w:p w14:paraId="4CE74F77">
      <w:pPr>
        <w:pStyle w:val="2"/>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2"/>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13F0994">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5"/>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r>
              <w:rPr>
                <w:rFonts w:hint="eastAsia" w:ascii="宋体" w:hAnsi="宋体" w:eastAsia="宋体" w:cs="宋体"/>
                <w:i w:val="0"/>
                <w:iCs w:val="0"/>
                <w:color w:val="FF0000"/>
                <w:kern w:val="0"/>
                <w:sz w:val="18"/>
                <w:szCs w:val="18"/>
                <w:u w:val="none"/>
                <w:lang w:val="en-US" w:eastAsia="zh-CN" w:bidi="ar"/>
              </w:rPr>
              <w:t>（如无平台交易代码填写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2"/>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2"/>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2"/>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2"/>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2"/>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2"/>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2"/>
        <w:ind w:left="0" w:leftChars="0" w:firstLine="0" w:firstLineChars="0"/>
        <w:rPr>
          <w:rFonts w:hint="eastAsia" w:cs="宋体"/>
          <w:i w:val="0"/>
          <w:color w:val="000000"/>
          <w:kern w:val="0"/>
          <w:sz w:val="22"/>
          <w:szCs w:val="22"/>
          <w:u w:val="none"/>
          <w:lang w:val="en-US" w:eastAsia="zh-CN" w:bidi="ar"/>
        </w:rPr>
      </w:pPr>
    </w:p>
    <w:p w14:paraId="440FA307">
      <w:pPr>
        <w:pStyle w:val="2"/>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w:t>
      </w:r>
    </w:p>
    <w:p w14:paraId="70F8542F">
      <w:pPr>
        <w:pStyle w:val="2"/>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2"/>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20"/>
      </w:pPr>
    </w:p>
    <w:p w14:paraId="348901B0">
      <w:pPr>
        <w:pStyle w:val="20"/>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21"/>
        <w:rPr>
          <w:rFonts w:hint="eastAsia" w:ascii="仿宋_GB2312" w:eastAsia="仿宋_GB2312"/>
          <w:bCs/>
        </w:rPr>
      </w:pPr>
    </w:p>
    <w:p w14:paraId="51FCAA43">
      <w:pPr>
        <w:pStyle w:val="21"/>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20"/>
        <w:rPr>
          <w:rFonts w:hint="eastAsia" w:ascii="仿宋_GB2312" w:eastAsia="仿宋_GB2312"/>
          <w:bCs/>
          <w:lang w:eastAsia="zh-CN"/>
        </w:rPr>
      </w:pPr>
    </w:p>
    <w:p w14:paraId="02539E6A">
      <w:pPr>
        <w:pStyle w:val="20"/>
        <w:rPr>
          <w:rFonts w:hint="eastAsia" w:ascii="仿宋_GB2312" w:eastAsia="仿宋_GB2312"/>
          <w:bCs/>
          <w:lang w:eastAsia="zh-CN"/>
        </w:rPr>
      </w:pPr>
    </w:p>
    <w:p w14:paraId="236BCCF3">
      <w:pPr>
        <w:pStyle w:val="20"/>
        <w:rPr>
          <w:rFonts w:hint="eastAsia" w:ascii="仿宋_GB2312" w:eastAsia="仿宋_GB2312"/>
          <w:bCs/>
          <w:lang w:eastAsia="zh-CN"/>
        </w:rPr>
      </w:pPr>
    </w:p>
    <w:p w14:paraId="13283545">
      <w:pPr>
        <w:pStyle w:val="20"/>
        <w:rPr>
          <w:rFonts w:hint="eastAsia" w:ascii="仿宋_GB2312" w:eastAsia="仿宋_GB2312"/>
          <w:bCs/>
          <w:lang w:eastAsia="zh-CN"/>
        </w:rPr>
      </w:pPr>
    </w:p>
    <w:p w14:paraId="7814F288">
      <w:pPr>
        <w:pStyle w:val="20"/>
        <w:rPr>
          <w:rFonts w:hint="eastAsia" w:ascii="仿宋_GB2312" w:eastAsia="仿宋_GB2312"/>
          <w:bCs/>
          <w:lang w:eastAsia="zh-CN"/>
        </w:rPr>
      </w:pPr>
    </w:p>
    <w:p w14:paraId="5825D37F">
      <w:pPr>
        <w:pStyle w:val="20"/>
        <w:rPr>
          <w:rFonts w:hint="eastAsia" w:ascii="仿宋_GB2312" w:eastAsia="仿宋_GB2312"/>
          <w:bCs/>
          <w:lang w:eastAsia="zh-CN"/>
        </w:rPr>
      </w:pPr>
    </w:p>
    <w:p w14:paraId="3E969829">
      <w:pPr>
        <w:pStyle w:val="20"/>
        <w:rPr>
          <w:rFonts w:hint="eastAsia" w:ascii="仿宋_GB2312" w:eastAsia="仿宋_GB2312"/>
          <w:bCs/>
          <w:lang w:eastAsia="zh-CN"/>
        </w:rPr>
      </w:pPr>
    </w:p>
    <w:p w14:paraId="6B1ECCCD">
      <w:pPr>
        <w:pStyle w:val="20"/>
        <w:rPr>
          <w:rFonts w:hint="eastAsia" w:ascii="仿宋_GB2312" w:eastAsia="仿宋_GB2312"/>
          <w:bCs/>
          <w:lang w:eastAsia="zh-CN"/>
        </w:rPr>
      </w:pPr>
    </w:p>
    <w:p w14:paraId="6E8C091C">
      <w:pPr>
        <w:pStyle w:val="20"/>
        <w:rPr>
          <w:rFonts w:hint="eastAsia" w:ascii="仿宋_GB2312" w:eastAsia="仿宋_GB2312"/>
          <w:bCs/>
          <w:lang w:eastAsia="zh-CN"/>
        </w:rPr>
      </w:pPr>
    </w:p>
    <w:p w14:paraId="3D5F62F5">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AF4C56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5"/>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2025年起至今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广东省</w:t>
      </w:r>
      <w:r>
        <w:rPr>
          <w:rFonts w:hint="eastAsia" w:ascii="宋体" w:hAnsi="宋体" w:cs="宋体"/>
          <w:color w:val="auto"/>
          <w:sz w:val="24"/>
          <w:lang w:val="en-US" w:eastAsia="zh-CN"/>
        </w:rPr>
        <w:t>内</w:t>
      </w:r>
      <w:r>
        <w:rPr>
          <w:rFonts w:hint="eastAsia" w:ascii="宋体" w:hAnsi="宋体" w:cs="宋体"/>
          <w:color w:val="auto"/>
          <w:sz w:val="24"/>
        </w:rPr>
        <w:t>三甲医院客户。</w:t>
      </w:r>
      <w:r>
        <w:rPr>
          <w:rFonts w:hint="eastAsia" w:cs="宋体"/>
          <w:color w:val="auto"/>
          <w:sz w:val="24"/>
          <w:szCs w:val="24"/>
          <w:lang w:val="en-US" w:eastAsia="zh-CN"/>
        </w:rPr>
        <w:t>此项为评分项，以提交的</w:t>
      </w:r>
      <w:r>
        <w:rPr>
          <w:rFonts w:hint="eastAsia" w:ascii="宋体" w:hAnsi="宋体" w:cs="宋体"/>
          <w:sz w:val="24"/>
          <w:lang w:eastAsia="zh-CN"/>
        </w:rPr>
        <w:t>广东省内三甲医院使用证明（</w:t>
      </w:r>
      <w:r>
        <w:rPr>
          <w:rFonts w:hint="eastAsia" w:ascii="宋体" w:hAnsi="宋体" w:cs="宋体"/>
          <w:sz w:val="24"/>
        </w:rPr>
        <w:t>使用证明仅限含投标产品规格型号</w:t>
      </w:r>
      <w:r>
        <w:rPr>
          <w:rFonts w:hint="eastAsia" w:ascii="宋体" w:hAnsi="宋体" w:cs="宋体"/>
          <w:sz w:val="24"/>
          <w:lang w:eastAsia="zh-CN"/>
        </w:rPr>
        <w:t>，</w:t>
      </w:r>
      <w:r>
        <w:rPr>
          <w:rFonts w:hint="eastAsia" w:ascii="宋体" w:hAnsi="宋体" w:cs="宋体"/>
          <w:sz w:val="24"/>
          <w:lang w:val="en-US" w:eastAsia="zh-CN"/>
        </w:rPr>
        <w:t>包含发票、发票验证证明、三甲医院截图证明</w:t>
      </w:r>
      <w:r>
        <w:rPr>
          <w:rFonts w:hint="eastAsia" w:ascii="宋体" w:hAnsi="宋体" w:cs="宋体"/>
          <w:sz w:val="24"/>
          <w:lang w:eastAsia="zh-CN"/>
        </w:rPr>
        <w:t>）</w:t>
      </w:r>
      <w:r>
        <w:rPr>
          <w:rFonts w:hint="eastAsia" w:cs="宋体"/>
          <w:color w:val="auto"/>
          <w:sz w:val="24"/>
          <w:szCs w:val="24"/>
          <w:lang w:val="en-US" w:eastAsia="zh-CN"/>
        </w:rPr>
        <w:t>为准。</w:t>
      </w:r>
      <w:r>
        <w:rPr>
          <w:rFonts w:hint="eastAsia" w:cs="宋体"/>
          <w:b/>
          <w:bCs/>
          <w:i w:val="0"/>
          <w:color w:val="FF0000"/>
          <w:kern w:val="0"/>
          <w:sz w:val="24"/>
          <w:szCs w:val="24"/>
          <w:u w:val="single"/>
          <w:lang w:val="en-US" w:eastAsia="zh-CN" w:bidi="ar"/>
        </w:rPr>
        <w:t>（</w:t>
      </w:r>
      <w:r>
        <w:rPr>
          <w:rFonts w:hint="eastAsia" w:ascii="宋体" w:hAnsi="宋体" w:cs="宋体"/>
          <w:b/>
          <w:bCs/>
          <w:color w:val="FF0000"/>
          <w:sz w:val="24"/>
          <w:szCs w:val="24"/>
          <w:u w:val="single"/>
          <w:lang w:val="en-US" w:eastAsia="zh-CN"/>
        </w:rPr>
        <w:t>详见示例图，未提供发票查验证明及发票内无投标产品规格型号均为无效发票，无三甲医院截图证明视为非三甲医院，缺一项均不得分。</w:t>
      </w:r>
      <w:r>
        <w:rPr>
          <w:rFonts w:hint="eastAsia" w:cs="宋体"/>
          <w:b/>
          <w:bCs/>
          <w:i w:val="0"/>
          <w:color w:val="FF0000"/>
          <w:kern w:val="0"/>
          <w:sz w:val="24"/>
          <w:szCs w:val="24"/>
          <w:u w:val="single"/>
          <w:lang w:val="en-US" w:eastAsia="zh-CN" w:bidi="ar"/>
        </w:rPr>
        <w:t>）</w:t>
      </w:r>
    </w:p>
    <w:p w14:paraId="2CEC30CA">
      <w:pPr>
        <w:spacing w:line="500" w:lineRule="atLeast"/>
        <w:ind w:left="-420" w:leftChars="-200" w:firstLine="0" w:firstLineChars="0"/>
        <w:rPr>
          <w:rFonts w:hint="eastAsia" w:ascii="宋体" w:hAnsi="宋体" w:eastAsia="宋体" w:cs="宋体"/>
          <w:color w:val="auto"/>
          <w:sz w:val="24"/>
          <w:szCs w:val="24"/>
        </w:rPr>
      </w:pP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4A09CB8D">
      <w:pPr>
        <w:tabs>
          <w:tab w:val="left" w:pos="4860"/>
          <w:tab w:val="left" w:pos="5400"/>
          <w:tab w:val="left" w:pos="5580"/>
        </w:tabs>
        <w:ind w:left="0"/>
        <w:rPr>
          <w:rFonts w:hint="eastAsia" w:ascii="宋体" w:hAnsi="宋体" w:eastAsia="宋体" w:cs="宋体"/>
          <w:b/>
          <w:bCs w:val="0"/>
          <w:lang w:eastAsia="zh-CN"/>
        </w:rPr>
      </w:pPr>
      <w:r>
        <w:rPr>
          <w:rFonts w:hint="eastAsia" w:ascii="宋体" w:hAnsi="宋体" w:eastAsia="宋体" w:cs="宋体"/>
          <w:b/>
          <w:bCs w:val="0"/>
          <w:lang w:eastAsia="zh-CN"/>
        </w:rPr>
        <w:t>格式</w:t>
      </w:r>
      <w:r>
        <w:rPr>
          <w:rFonts w:hint="eastAsia" w:ascii="宋体" w:hAnsi="宋体" w:eastAsia="宋体" w:cs="宋体"/>
          <w:b/>
          <w:bCs w:val="0"/>
          <w:lang w:val="en-US" w:eastAsia="zh-CN"/>
        </w:rPr>
        <w:t>11</w:t>
      </w:r>
      <w:r>
        <w:rPr>
          <w:rFonts w:hint="eastAsia" w:ascii="宋体" w:hAnsi="宋体" w:eastAsia="宋体" w:cs="宋体"/>
          <w:b/>
          <w:bCs w:val="0"/>
        </w:rPr>
        <w:t>：</w:t>
      </w:r>
      <w:r>
        <w:rPr>
          <w:rFonts w:hint="eastAsia" w:ascii="宋体" w:hAnsi="宋体" w:eastAsia="宋体" w:cs="宋体"/>
          <w:b/>
          <w:bCs w:val="0"/>
          <w:lang w:eastAsia="zh-CN"/>
        </w:rPr>
        <w:t>广东省内三甲医院使用证明（</w:t>
      </w:r>
      <w:r>
        <w:rPr>
          <w:rFonts w:hint="eastAsia" w:ascii="宋体" w:hAnsi="宋体" w:eastAsia="宋体" w:cs="宋体"/>
          <w:b/>
          <w:bCs w:val="0"/>
          <w:lang w:val="en-US" w:eastAsia="zh-CN"/>
        </w:rPr>
        <w:t>包含发票、发票查验证明、三甲医院截图证明</w:t>
      </w:r>
      <w:r>
        <w:rPr>
          <w:rFonts w:hint="eastAsia" w:ascii="宋体" w:hAnsi="宋体" w:eastAsia="宋体" w:cs="宋体"/>
          <w:b/>
          <w:bCs w:val="0"/>
          <w:lang w:eastAsia="zh-CN"/>
        </w:rPr>
        <w:t>）</w:t>
      </w:r>
    </w:p>
    <w:p w14:paraId="3D8EF1D7">
      <w:pPr>
        <w:tabs>
          <w:tab w:val="left" w:pos="4860"/>
          <w:tab w:val="left" w:pos="5400"/>
          <w:tab w:val="left" w:pos="5580"/>
        </w:tabs>
        <w:ind w:left="0"/>
        <w:rPr>
          <w:rFonts w:hint="default" w:ascii="宋体" w:hAnsi="宋体" w:eastAsia="宋体" w:cs="宋体"/>
          <w:b/>
          <w:bCs w:val="0"/>
          <w:sz w:val="30"/>
          <w:szCs w:val="30"/>
          <w:lang w:val="en-US" w:eastAsia="zh-CN"/>
        </w:rPr>
      </w:pPr>
      <w:r>
        <w:rPr>
          <w:rFonts w:hint="eastAsia" w:ascii="宋体" w:hAnsi="宋体" w:eastAsia="宋体" w:cs="宋体"/>
          <w:b/>
          <w:bCs w:val="0"/>
          <w:sz w:val="30"/>
          <w:szCs w:val="30"/>
          <w:lang w:val="en-US" w:eastAsia="zh-CN"/>
        </w:rPr>
        <w:t>示例：</w:t>
      </w:r>
    </w:p>
    <w:p w14:paraId="01A51873">
      <w:pPr>
        <w:pStyle w:val="2"/>
        <w:rPr>
          <w:rFonts w:hint="eastAsia" w:eastAsia="宋体"/>
          <w:color w:val="FF0000"/>
          <w:lang w:val="en-US" w:eastAsia="zh-CN"/>
        </w:rPr>
      </w:pPr>
      <w:r>
        <w:rPr>
          <w:rFonts w:hint="eastAsia"/>
          <w:color w:val="FF0000"/>
          <w:lang w:val="en-US" w:eastAsia="zh-CN"/>
        </w:rPr>
        <w:t xml:space="preserve">发票附件：投标序号1：XXXXX      单价：    用户单位：XXX医院 </w:t>
      </w:r>
    </w:p>
    <w:tbl>
      <w:tblPr>
        <w:tblStyle w:val="16"/>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D624AA3">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3368" w:hRule="exact"/>
          <w:jc w:val="center"/>
        </w:trPr>
        <w:tc>
          <w:tcPr>
            <w:tcW w:w="10422" w:type="dxa"/>
            <w:tcBorders>
              <w:tl2br w:val="nil"/>
              <w:tr2bl w:val="nil"/>
            </w:tcBorders>
            <w:vAlign w:val="center"/>
          </w:tcPr>
          <w:p w14:paraId="45F72503">
            <w:pPr>
              <w:pStyle w:val="2"/>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70A80170">
            <w:pPr>
              <w:pStyle w:val="2"/>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7F586930">
            <w:pPr>
              <w:pStyle w:val="2"/>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18A7F01B">
      <w:pPr>
        <w:pStyle w:val="2"/>
      </w:pPr>
    </w:p>
    <w:p w14:paraId="4CA75E32">
      <w:pPr>
        <w:pStyle w:val="2"/>
        <w:jc w:val="both"/>
      </w:pPr>
      <w:r>
        <w:rPr>
          <w:rFonts w:hint="eastAsia" w:eastAsia="宋体"/>
          <w:lang w:eastAsia="zh-CN"/>
        </w:rPr>
        <w:drawing>
          <wp:inline distT="0" distB="0" distL="114300" distR="114300">
            <wp:extent cx="6372860" cy="2287905"/>
            <wp:effectExtent l="0" t="0" r="8890" b="17145"/>
            <wp:docPr id="19" name="图片 19" descr="8a6ce7f22e9c9ed3e461b7ccf6eb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a6ce7f22e9c9ed3e461b7ccf6ebe92"/>
                    <pic:cNvPicPr>
                      <a:picLocks noChangeAspect="1"/>
                    </pic:cNvPicPr>
                  </pic:nvPicPr>
                  <pic:blipFill>
                    <a:blip r:embed="rId9"/>
                    <a:stretch>
                      <a:fillRect/>
                    </a:stretch>
                  </pic:blipFill>
                  <pic:spPr>
                    <a:xfrm>
                      <a:off x="0" y="0"/>
                      <a:ext cx="6372860" cy="2287905"/>
                    </a:xfrm>
                    <a:prstGeom prst="rect">
                      <a:avLst/>
                    </a:prstGeom>
                  </pic:spPr>
                </pic:pic>
              </a:graphicData>
            </a:graphic>
          </wp:inline>
        </w:drawing>
      </w:r>
    </w:p>
    <w:p w14:paraId="31159FAA">
      <w:pPr>
        <w:pStyle w:val="2"/>
        <w:sectPr>
          <w:pgSz w:w="11906" w:h="16838"/>
          <w:pgMar w:top="850" w:right="1230" w:bottom="567" w:left="1230" w:header="851" w:footer="992" w:gutter="0"/>
          <w:cols w:space="0" w:num="1"/>
          <w:rtlGutter w:val="0"/>
          <w:docGrid w:type="lines" w:linePitch="319" w:charSpace="0"/>
        </w:sectPr>
      </w:pPr>
      <w:r>
        <w:drawing>
          <wp:inline distT="0" distB="0" distL="114300" distR="114300">
            <wp:extent cx="5725160" cy="3650615"/>
            <wp:effectExtent l="0" t="0" r="8890" b="698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0"/>
                    <a:stretch>
                      <a:fillRect/>
                    </a:stretch>
                  </pic:blipFill>
                  <pic:spPr>
                    <a:xfrm>
                      <a:off x="0" y="0"/>
                      <a:ext cx="5725160" cy="3650615"/>
                    </a:xfrm>
                    <a:prstGeom prst="rect">
                      <a:avLst/>
                    </a:prstGeom>
                    <a:noFill/>
                    <a:ln>
                      <a:noFill/>
                    </a:ln>
                  </pic:spPr>
                </pic:pic>
              </a:graphicData>
            </a:graphic>
          </wp:inline>
        </w:drawing>
      </w: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其他违反法律、法规规定的行为。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2"/>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8"/>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、项目编号：LGLHHC2026-02</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8"/>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7"/>
        <w:rPr>
          <w:rFonts w:hint="eastAsia" w:ascii="宋体" w:hAnsi="宋体" w:cs="宋体"/>
          <w:sz w:val="24"/>
        </w:rPr>
      </w:pPr>
    </w:p>
    <w:p w14:paraId="221C0FB2">
      <w:pPr>
        <w:rPr>
          <w:rFonts w:hint="eastAsia" w:ascii="宋体" w:hAnsi="宋体" w:cs="宋体"/>
          <w:sz w:val="24"/>
        </w:rPr>
      </w:pPr>
    </w:p>
    <w:p w14:paraId="0F9F8CA4">
      <w:pPr>
        <w:pStyle w:val="20"/>
        <w:rPr>
          <w:rFonts w:hint="eastAsia" w:ascii="宋体" w:hAnsi="宋体" w:cs="宋体"/>
          <w:sz w:val="24"/>
        </w:rPr>
      </w:pPr>
    </w:p>
    <w:p w14:paraId="6FACBA50">
      <w:pPr>
        <w:pStyle w:val="20"/>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6"/>
        <w:rPr>
          <w:rFonts w:hint="eastAsia" w:ascii="仿宋_GB2312" w:eastAsia="仿宋_GB2312"/>
          <w:bCs/>
          <w:lang w:eastAsia="zh-CN"/>
        </w:rPr>
      </w:pPr>
    </w:p>
    <w:p w14:paraId="6F35AC0C">
      <w:pPr>
        <w:pStyle w:val="8"/>
        <w:rPr>
          <w:rFonts w:hint="eastAsia" w:ascii="仿宋_GB2312" w:eastAsia="仿宋_GB2312"/>
          <w:bCs/>
          <w:lang w:eastAsia="zh-CN"/>
        </w:rPr>
      </w:pPr>
    </w:p>
    <w:p w14:paraId="5F99201B">
      <w:pPr>
        <w:pStyle w:val="9"/>
        <w:rPr>
          <w:rFonts w:hint="eastAsia"/>
          <w:lang w:eastAsia="zh-CN"/>
        </w:rPr>
      </w:pPr>
    </w:p>
    <w:p w14:paraId="78BC2CC8">
      <w:pPr>
        <w:numPr>
          <w:ilvl w:val="0"/>
          <w:numId w:val="0"/>
        </w:numPr>
        <w:jc w:val="both"/>
        <w:rPr>
          <w:rFonts w:hint="eastAsia" w:ascii="仿宋_GB2312" w:eastAsia="仿宋_GB2312"/>
          <w:bCs/>
          <w:lang w:eastAsia="zh-CN"/>
        </w:rPr>
      </w:pPr>
    </w:p>
    <w:p w14:paraId="187FABB5">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关于在深圳医用耗材阳光交易和监管平台签订合同的承诺书（非医疗器械无需填写）</w:t>
      </w:r>
    </w:p>
    <w:p w14:paraId="45D84A0D">
      <w:pPr>
        <w:pStyle w:val="2"/>
        <w:rPr>
          <w:rFonts w:hint="eastAsia"/>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2"/>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LGLHHC2026-02）中选后将严格按照深圳市医保局要求，所有中选产品必须在10天内在深圳医用耗材阳光交易和监管平台与深圳市龙岗区人民医院签订合同（非医疗器械除外）。</w:t>
      </w:r>
    </w:p>
    <w:p w14:paraId="1A5246A8">
      <w:pPr>
        <w:pStyle w:val="2"/>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如因我司或代理品牌厂家原因未能在规定时间内成功签订合同，同意深圳市龙岗区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w:t>
      </w:r>
    </w:p>
    <w:p w14:paraId="2CDF42CB">
      <w:pPr>
        <w:pStyle w:val="2"/>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18D5499E">
      <w:pPr>
        <w:pStyle w:val="2"/>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17D9088D">
      <w:pPr>
        <w:pStyle w:val="2"/>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24215E1D">
      <w:pPr>
        <w:pStyle w:val="2"/>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3BE49161">
      <w:pPr>
        <w:adjustRightInd w:val="0"/>
        <w:ind w:left="0" w:right="1049"/>
        <w:rPr>
          <w:rFonts w:hint="eastAsia" w:ascii="仿宋_GB2312" w:eastAsia="仿宋_GB2312"/>
          <w:bCs/>
          <w:lang w:eastAsia="zh-CN"/>
        </w:rPr>
      </w:pPr>
    </w:p>
    <w:p w14:paraId="5045D71B">
      <w:pPr>
        <w:adjustRightInd w:val="0"/>
        <w:ind w:left="0" w:right="1049"/>
        <w:rPr>
          <w:rFonts w:hint="eastAsia" w:ascii="仿宋_GB2312" w:eastAsia="仿宋_GB2312"/>
          <w:bCs/>
          <w:lang w:eastAsia="zh-CN"/>
        </w:rPr>
      </w:pPr>
    </w:p>
    <w:p w14:paraId="50EB9117">
      <w:pPr>
        <w:adjustRightInd w:val="0"/>
        <w:ind w:left="0" w:right="1049"/>
        <w:rPr>
          <w:rFonts w:hint="eastAsia" w:ascii="仿宋_GB2312" w:eastAsia="仿宋_GB2312"/>
          <w:bCs/>
          <w:lang w:eastAsia="zh-CN"/>
        </w:rPr>
      </w:pPr>
    </w:p>
    <w:p w14:paraId="166EEFD9">
      <w:pPr>
        <w:adjustRightInd w:val="0"/>
        <w:ind w:left="0" w:right="1049"/>
        <w:rPr>
          <w:rFonts w:hint="eastAsia" w:ascii="仿宋_GB2312" w:eastAsia="仿宋_GB2312"/>
          <w:bCs/>
          <w:lang w:val="en-US" w:eastAsia="zh-CN"/>
        </w:rPr>
      </w:pPr>
    </w:p>
    <w:p w14:paraId="700A7AB4">
      <w:pPr>
        <w:adjustRightInd w:val="0"/>
        <w:ind w:left="0" w:right="1049"/>
        <w:rPr>
          <w:rFonts w:hint="eastAsia" w:ascii="仿宋_GB2312" w:eastAsia="仿宋_GB2312"/>
          <w:bCs/>
          <w:lang w:val="en-US" w:eastAsia="zh-CN"/>
        </w:rPr>
      </w:pPr>
    </w:p>
    <w:p w14:paraId="40B7F2EC">
      <w:pPr>
        <w:adjustRightInd w:val="0"/>
        <w:ind w:left="0" w:right="1049"/>
        <w:rPr>
          <w:rFonts w:hint="eastAsia" w:ascii="仿宋_GB2312" w:eastAsia="仿宋_GB2312"/>
          <w:bCs/>
          <w:lang w:val="en-US" w:eastAsia="zh-CN"/>
        </w:rPr>
      </w:pPr>
    </w:p>
    <w:p w14:paraId="524E5E1A">
      <w:pPr>
        <w:adjustRightInd w:val="0"/>
        <w:ind w:left="0" w:right="1049"/>
        <w:rPr>
          <w:rFonts w:hint="eastAsia" w:ascii="仿宋_GB2312" w:eastAsia="仿宋_GB2312"/>
          <w:bCs/>
          <w:lang w:val="en-US" w:eastAsia="zh-CN"/>
        </w:rPr>
      </w:pPr>
    </w:p>
    <w:p w14:paraId="4A0FAB27">
      <w:pPr>
        <w:adjustRightInd w:val="0"/>
        <w:ind w:left="0" w:right="1049"/>
        <w:rPr>
          <w:rFonts w:hint="eastAsia" w:ascii="仿宋_GB2312" w:eastAsia="仿宋_GB2312"/>
          <w:bCs/>
          <w:lang w:val="en-US" w:eastAsia="zh-CN"/>
        </w:rPr>
      </w:pPr>
    </w:p>
    <w:p w14:paraId="38FE683A">
      <w:pPr>
        <w:adjustRightInd w:val="0"/>
        <w:ind w:left="0" w:right="1049"/>
        <w:rPr>
          <w:rFonts w:hint="eastAsia" w:ascii="仿宋_GB2312" w:eastAsia="仿宋_GB2312"/>
          <w:bCs/>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龙岗区医用耗材联合采购项目</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LGLHHC2026-02</w:t>
      </w:r>
      <w:r>
        <w:rPr>
          <w:rFonts w:hint="eastAsia"/>
        </w:rPr>
        <w:t>）</w:t>
      </w:r>
      <w:r>
        <w:rPr>
          <w:rFonts w:hint="eastAsia"/>
          <w:lang w:val="en-US" w:eastAsia="zh-CN"/>
        </w:rPr>
        <w:t>公开遴选的</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66F10FD2">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）主管部门依照法律、法规认定的其他情形。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2"/>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2"/>
        <w:rPr>
          <w:rFonts w:hint="eastAsia"/>
          <w:szCs w:val="21"/>
          <w:u w:val="single"/>
        </w:rPr>
      </w:pPr>
      <w:r>
        <w:rPr>
          <w:rFonts w:hint="eastAsia"/>
          <w:szCs w:val="21"/>
          <w:u w:val="single"/>
        </w:rPr>
        <w:t xml:space="preserve">                                                        </w:t>
      </w:r>
    </w:p>
    <w:p w14:paraId="0C3291E9">
      <w:pPr>
        <w:pStyle w:val="2"/>
        <w:rPr>
          <w:rFonts w:hint="eastAsia"/>
        </w:rPr>
      </w:pPr>
      <w:r>
        <w:rPr>
          <w:rFonts w:hint="eastAsia"/>
          <w:szCs w:val="21"/>
          <w:u w:val="single"/>
        </w:rPr>
        <w:t xml:space="preserve">                                                        </w:t>
      </w:r>
    </w:p>
    <w:p w14:paraId="014A9DD0">
      <w:pPr>
        <w:pStyle w:val="2"/>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2"/>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2"/>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9"/>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6"/>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6"/>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3C519E4F">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2DC2EFAD">
            <w:pPr>
              <w:pStyle w:val="6"/>
              <w:spacing w:line="240" w:lineRule="auto"/>
              <w:ind w:firstLine="420" w:firstLineChars="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33B5C252">
      <w:pPr>
        <w:rPr>
          <w:rFonts w:ascii="仿宋_GB2312" w:eastAsia="仿宋_GB2312"/>
          <w:bCs/>
        </w:rPr>
      </w:pPr>
    </w:p>
    <w:p w14:paraId="1BEBB91C">
      <w:pPr>
        <w:pStyle w:val="5"/>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7A04AD6F">
      <w:pPr>
        <w:pStyle w:val="20"/>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20"/>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深圳市政府采购监管网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8"/>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21"/>
        <w:rPr>
          <w:rFonts w:hint="eastAsia" w:ascii="仿宋_GB2312" w:eastAsia="仿宋_GB2312"/>
          <w:bCs/>
          <w:lang w:eastAsia="zh-CN"/>
        </w:rPr>
      </w:pPr>
    </w:p>
    <w:p w14:paraId="7ACD5FB9">
      <w:pPr>
        <w:pStyle w:val="21"/>
        <w:rPr>
          <w:rFonts w:hint="eastAsia" w:ascii="仿宋_GB2312" w:eastAsia="仿宋_GB2312"/>
          <w:bCs/>
          <w:lang w:eastAsia="zh-CN"/>
        </w:rPr>
      </w:pPr>
    </w:p>
    <w:p w14:paraId="10945BFE">
      <w:pPr>
        <w:pStyle w:val="21"/>
        <w:rPr>
          <w:rFonts w:hint="eastAsia" w:ascii="仿宋_GB2312" w:eastAsia="仿宋_GB2312"/>
          <w:bCs/>
          <w:lang w:eastAsia="zh-CN"/>
        </w:rPr>
      </w:pPr>
    </w:p>
    <w:p w14:paraId="26FF18DF">
      <w:pPr>
        <w:pStyle w:val="21"/>
        <w:rPr>
          <w:rFonts w:hint="eastAsia" w:ascii="仿宋_GB2312" w:eastAsia="仿宋_GB2312"/>
          <w:bCs/>
          <w:lang w:eastAsia="zh-CN"/>
        </w:rPr>
      </w:pPr>
    </w:p>
    <w:p w14:paraId="7D250B3E">
      <w:pPr>
        <w:pStyle w:val="21"/>
        <w:rPr>
          <w:rFonts w:hint="eastAsia" w:ascii="仿宋_GB2312" w:eastAsia="仿宋_GB2312"/>
          <w:bCs/>
          <w:lang w:eastAsia="zh-CN"/>
        </w:rPr>
      </w:pPr>
    </w:p>
    <w:p w14:paraId="2B0DBF42">
      <w:pPr>
        <w:pStyle w:val="21"/>
        <w:rPr>
          <w:rFonts w:hint="eastAsia" w:ascii="仿宋_GB2312" w:eastAsia="仿宋_GB2312"/>
          <w:bCs/>
          <w:lang w:eastAsia="zh-CN"/>
        </w:rPr>
      </w:pPr>
    </w:p>
    <w:p w14:paraId="132D2329">
      <w:pPr>
        <w:pStyle w:val="21"/>
        <w:rPr>
          <w:rFonts w:hint="eastAsia" w:ascii="仿宋_GB2312" w:eastAsia="仿宋_GB2312"/>
          <w:bCs/>
          <w:lang w:eastAsia="zh-CN"/>
        </w:rPr>
      </w:pPr>
    </w:p>
    <w:p w14:paraId="2A682D08">
      <w:pPr>
        <w:pStyle w:val="21"/>
        <w:rPr>
          <w:rFonts w:hint="eastAsia" w:ascii="仿宋_GB2312" w:eastAsia="仿宋_GB2312"/>
          <w:bCs/>
          <w:lang w:eastAsia="zh-CN"/>
        </w:rPr>
      </w:pPr>
    </w:p>
    <w:p w14:paraId="41ED020F">
      <w:pPr>
        <w:pStyle w:val="21"/>
        <w:rPr>
          <w:rFonts w:hint="eastAsia" w:ascii="仿宋_GB2312" w:eastAsia="仿宋_GB2312"/>
          <w:bCs/>
          <w:lang w:eastAsia="zh-CN"/>
        </w:rPr>
      </w:pPr>
    </w:p>
    <w:p w14:paraId="5B747E50">
      <w:pPr>
        <w:pStyle w:val="21"/>
        <w:rPr>
          <w:rFonts w:hint="eastAsia" w:ascii="仿宋_GB2312" w:eastAsia="仿宋_GB2312"/>
          <w:bCs/>
          <w:lang w:eastAsia="zh-CN"/>
        </w:rPr>
      </w:pPr>
    </w:p>
    <w:p w14:paraId="49450F87">
      <w:pPr>
        <w:pStyle w:val="21"/>
        <w:rPr>
          <w:rFonts w:hint="eastAsia" w:ascii="仿宋_GB2312" w:eastAsia="仿宋_GB2312"/>
          <w:bCs/>
          <w:lang w:eastAsia="zh-CN"/>
        </w:rPr>
      </w:pPr>
    </w:p>
    <w:p w14:paraId="19A5A3BE">
      <w:pPr>
        <w:pStyle w:val="21"/>
        <w:rPr>
          <w:rFonts w:hint="eastAsia" w:ascii="仿宋_GB2312" w:eastAsia="仿宋_GB2312"/>
          <w:bCs/>
          <w:lang w:eastAsia="zh-CN"/>
        </w:rPr>
      </w:pPr>
    </w:p>
    <w:p w14:paraId="60A71042">
      <w:pPr>
        <w:pStyle w:val="21"/>
        <w:rPr>
          <w:rFonts w:hint="eastAsia" w:ascii="仿宋_GB2312" w:eastAsia="仿宋_GB2312"/>
          <w:bCs/>
          <w:lang w:eastAsia="zh-CN"/>
        </w:rPr>
      </w:pPr>
    </w:p>
    <w:p w14:paraId="0A50DAE0">
      <w:pPr>
        <w:pStyle w:val="21"/>
        <w:rPr>
          <w:rFonts w:hint="eastAsia" w:ascii="仿宋_GB2312" w:eastAsia="仿宋_GB2312"/>
          <w:bCs/>
          <w:lang w:eastAsia="zh-CN"/>
        </w:rPr>
      </w:pPr>
    </w:p>
    <w:p w14:paraId="058190D0">
      <w:pPr>
        <w:pStyle w:val="21"/>
        <w:rPr>
          <w:rFonts w:hint="eastAsia" w:ascii="仿宋_GB2312" w:eastAsia="仿宋_GB2312"/>
          <w:bCs/>
          <w:lang w:eastAsia="zh-CN"/>
        </w:rPr>
      </w:pPr>
    </w:p>
    <w:p w14:paraId="029D4EF9">
      <w:pPr>
        <w:pStyle w:val="21"/>
        <w:rPr>
          <w:rFonts w:hint="eastAsia" w:ascii="仿宋_GB2312" w:eastAsia="仿宋_GB2312"/>
          <w:bCs/>
          <w:lang w:eastAsia="zh-CN"/>
        </w:rPr>
      </w:pPr>
    </w:p>
    <w:p w14:paraId="41573CA2">
      <w:pPr>
        <w:pStyle w:val="21"/>
        <w:rPr>
          <w:rFonts w:hint="eastAsia" w:ascii="仿宋_GB2312" w:eastAsia="仿宋_GB2312"/>
          <w:bCs/>
          <w:lang w:eastAsia="zh-CN"/>
        </w:rPr>
      </w:pPr>
    </w:p>
    <w:p w14:paraId="33997B0D">
      <w:pPr>
        <w:pStyle w:val="21"/>
        <w:rPr>
          <w:rFonts w:hint="eastAsia" w:ascii="仿宋_GB2312" w:eastAsia="仿宋_GB2312"/>
          <w:bCs/>
          <w:lang w:eastAsia="zh-CN"/>
        </w:rPr>
      </w:pPr>
    </w:p>
    <w:p w14:paraId="5B81EB29">
      <w:pPr>
        <w:pStyle w:val="21"/>
        <w:rPr>
          <w:rFonts w:hint="eastAsia" w:ascii="仿宋_GB2312" w:eastAsia="仿宋_GB2312"/>
          <w:bCs/>
          <w:lang w:eastAsia="zh-CN"/>
        </w:rPr>
      </w:pPr>
    </w:p>
    <w:p w14:paraId="386BF14B">
      <w:pPr>
        <w:pStyle w:val="21"/>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20"/>
        <w:ind w:left="0" w:leftChars="0" w:firstLine="0" w:firstLineChars="0"/>
      </w:pPr>
    </w:p>
    <w:p w14:paraId="5300E438">
      <w:pPr>
        <w:pStyle w:val="20"/>
        <w:ind w:left="0" w:leftChars="0" w:firstLine="0" w:firstLineChars="0"/>
      </w:pPr>
    </w:p>
    <w:p w14:paraId="26CD93EB">
      <w:pPr>
        <w:pStyle w:val="20"/>
        <w:ind w:left="0" w:leftChars="0" w:firstLine="0" w:firstLineChars="0"/>
      </w:pPr>
    </w:p>
    <w:p w14:paraId="7C087C7A">
      <w:pPr>
        <w:pStyle w:val="20"/>
        <w:ind w:left="0" w:leftChars="0" w:firstLine="0" w:firstLineChars="0"/>
      </w:pPr>
    </w:p>
    <w:p w14:paraId="184E18C6">
      <w:pPr>
        <w:pStyle w:val="20"/>
        <w:ind w:left="0" w:leftChars="0" w:firstLine="0" w:firstLineChars="0"/>
      </w:pPr>
    </w:p>
    <w:p w14:paraId="098E6CB7">
      <w:pPr>
        <w:pStyle w:val="20"/>
        <w:ind w:left="0" w:leftChars="0" w:firstLine="0" w:firstLineChars="0"/>
      </w:pPr>
    </w:p>
    <w:p w14:paraId="3272AF31">
      <w:pPr>
        <w:pStyle w:val="20"/>
        <w:ind w:left="0" w:leftChars="0" w:firstLine="0" w:firstLineChars="0"/>
      </w:pPr>
    </w:p>
    <w:p w14:paraId="7F921DD7">
      <w:pPr>
        <w:pStyle w:val="20"/>
        <w:ind w:left="0" w:leftChars="0" w:firstLine="0" w:firstLineChars="0"/>
      </w:pPr>
    </w:p>
    <w:p w14:paraId="13EAAD48">
      <w:pPr>
        <w:pStyle w:val="20"/>
        <w:ind w:left="0" w:leftChars="0" w:firstLine="0" w:firstLineChars="0"/>
      </w:pPr>
    </w:p>
    <w:p w14:paraId="4538D5CA">
      <w:pPr>
        <w:pStyle w:val="20"/>
        <w:ind w:left="0" w:leftChars="0" w:firstLine="0" w:firstLineChars="0"/>
      </w:pPr>
    </w:p>
    <w:p w14:paraId="42B7B716">
      <w:pPr>
        <w:pStyle w:val="20"/>
        <w:ind w:left="0" w:leftChars="0" w:firstLine="0" w:firstLineChars="0"/>
      </w:pPr>
    </w:p>
    <w:p w14:paraId="5F7BD535">
      <w:pPr>
        <w:pStyle w:val="20"/>
        <w:ind w:left="0" w:leftChars="0" w:firstLine="0" w:firstLineChars="0"/>
      </w:pPr>
    </w:p>
    <w:p w14:paraId="235C3CD2">
      <w:pPr>
        <w:pStyle w:val="20"/>
        <w:ind w:left="0" w:leftChars="0" w:firstLine="0" w:firstLineChars="0"/>
      </w:pPr>
    </w:p>
    <w:p w14:paraId="14D4DBEF">
      <w:pPr>
        <w:pStyle w:val="20"/>
        <w:ind w:left="0" w:leftChars="0" w:firstLine="0" w:firstLineChars="0"/>
      </w:pPr>
    </w:p>
    <w:p w14:paraId="57DAE2D5">
      <w:pPr>
        <w:pStyle w:val="20"/>
        <w:ind w:left="0" w:leftChars="0" w:firstLine="0" w:firstLineChars="0"/>
      </w:pPr>
    </w:p>
    <w:p w14:paraId="65DE1648">
      <w:pPr>
        <w:pStyle w:val="20"/>
        <w:ind w:left="0" w:leftChars="0" w:firstLine="0" w:firstLineChars="0"/>
      </w:pPr>
    </w:p>
    <w:p w14:paraId="154140EC">
      <w:pPr>
        <w:pStyle w:val="20"/>
        <w:ind w:left="0" w:leftChars="0" w:firstLine="0" w:firstLineChars="0"/>
      </w:pPr>
    </w:p>
    <w:p w14:paraId="5BB290DF">
      <w:pPr>
        <w:pStyle w:val="20"/>
        <w:ind w:left="0" w:leftChars="0" w:firstLine="0" w:firstLineChars="0"/>
      </w:pPr>
    </w:p>
    <w:p w14:paraId="3536439A">
      <w:pPr>
        <w:pStyle w:val="20"/>
        <w:ind w:left="0" w:leftChars="0" w:firstLine="0" w:firstLineChars="0"/>
      </w:pPr>
    </w:p>
    <w:p w14:paraId="567901B2">
      <w:pPr>
        <w:pStyle w:val="20"/>
        <w:ind w:left="0" w:leftChars="0" w:firstLine="0" w:firstLineChars="0"/>
      </w:pPr>
    </w:p>
    <w:p w14:paraId="272C3593">
      <w:pPr>
        <w:pStyle w:val="20"/>
        <w:ind w:left="0" w:leftChars="0" w:firstLine="0" w:firstLineChars="0"/>
      </w:pPr>
    </w:p>
    <w:p w14:paraId="21D8815A">
      <w:pPr>
        <w:pStyle w:val="20"/>
        <w:ind w:left="0" w:leftChars="0" w:firstLine="0" w:firstLineChars="0"/>
      </w:pPr>
    </w:p>
    <w:p w14:paraId="55C1B0DB">
      <w:pPr>
        <w:pStyle w:val="20"/>
        <w:ind w:left="0" w:leftChars="0" w:firstLine="0" w:firstLineChars="0"/>
      </w:pPr>
    </w:p>
    <w:p w14:paraId="30801AB8">
      <w:pPr>
        <w:pStyle w:val="20"/>
        <w:ind w:left="0" w:leftChars="0" w:firstLine="0" w:firstLineChars="0"/>
      </w:pPr>
    </w:p>
    <w:p w14:paraId="4394F881">
      <w:pPr>
        <w:pStyle w:val="20"/>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6"/>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5"/>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shd w:val="clear" w:color="auto" w:fill="auto"/>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序号1.1不响应扣5分，其他序号不响应1项扣0.26分。</w:t>
            </w:r>
          </w:p>
        </w:tc>
      </w:tr>
      <w:tr w14:paraId="13CD0BC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2"/>
        <w:numPr>
          <w:ilvl w:val="0"/>
          <w:numId w:val="0"/>
        </w:numPr>
        <w:rPr>
          <w:rFonts w:ascii="宋体" w:hAnsi="宋体" w:eastAsia="宋体" w:cs="宋体"/>
          <w:sz w:val="24"/>
          <w:szCs w:val="24"/>
        </w:rPr>
      </w:pPr>
    </w:p>
    <w:p w14:paraId="61C4D39C">
      <w:pPr>
        <w:pStyle w:val="2"/>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21"/>
        <w:rPr>
          <w:rFonts w:hint="eastAsia" w:ascii="仿宋_GB2312" w:eastAsia="仿宋_GB2312"/>
          <w:bCs/>
          <w:lang w:eastAsia="zh-CN"/>
        </w:rPr>
      </w:pPr>
    </w:p>
    <w:p w14:paraId="0A661974">
      <w:pPr>
        <w:pStyle w:val="21"/>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43BBAF91">
      <w:pPr>
        <w:spacing w:line="360" w:lineRule="auto"/>
        <w:jc w:val="both"/>
        <w:rPr>
          <w:rFonts w:hint="eastAsia" w:asciiTheme="majorEastAsia" w:hAnsiTheme="majorEastAsia" w:eastAsiaTheme="majorEastAsia" w:cstheme="majorEastAsia"/>
          <w:b/>
          <w:bCs/>
          <w:sz w:val="44"/>
          <w:szCs w:val="44"/>
          <w:lang w:eastAsia="zh-CN"/>
        </w:rPr>
      </w:pPr>
    </w:p>
    <w:p w14:paraId="7D598BF4">
      <w:pPr>
        <w:spacing w:line="360" w:lineRule="auto"/>
        <w:jc w:val="center"/>
        <w:rPr>
          <w:rFonts w:hint="eastAsia" w:asciiTheme="majorEastAsia" w:hAnsiTheme="majorEastAsia" w:eastAsiaTheme="majorEastAsia" w:cstheme="majorEastAsia"/>
          <w:b/>
          <w:bCs/>
          <w:sz w:val="44"/>
          <w:szCs w:val="44"/>
          <w:lang w:eastAsia="zh-CN"/>
        </w:rPr>
      </w:pPr>
      <w:r>
        <w:rPr>
          <w:rFonts w:hint="eastAsia" w:asciiTheme="majorEastAsia" w:hAnsiTheme="majorEastAsia" w:eastAsiaTheme="majorEastAsia" w:cstheme="majorEastAsia"/>
          <w:b/>
          <w:bCs/>
          <w:sz w:val="44"/>
          <w:szCs w:val="44"/>
          <w:lang w:eastAsia="zh-CN"/>
        </w:rPr>
        <w:t>评审指引表</w:t>
      </w:r>
    </w:p>
    <w:p w14:paraId="751476BD">
      <w:pPr>
        <w:pStyle w:val="2"/>
        <w:rPr>
          <w:rFonts w:hint="eastAsia"/>
          <w:lang w:eastAsia="zh-CN"/>
        </w:rPr>
      </w:pPr>
    </w:p>
    <w:p w14:paraId="158367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为方便参与该项目的评</w:t>
      </w:r>
      <w:r>
        <w:rPr>
          <w:rFonts w:hint="eastAsia" w:ascii="宋体" w:hAnsi="宋体" w:eastAsia="宋体" w:cs="宋体"/>
          <w:sz w:val="24"/>
          <w:szCs w:val="24"/>
          <w:lang w:eastAsia="zh-CN"/>
        </w:rPr>
        <w:t>审</w:t>
      </w:r>
      <w:r>
        <w:rPr>
          <w:rFonts w:hint="eastAsia" w:ascii="宋体" w:hAnsi="宋体" w:eastAsia="宋体" w:cs="宋体"/>
          <w:sz w:val="24"/>
          <w:szCs w:val="24"/>
        </w:rPr>
        <w:t>专家的</w:t>
      </w:r>
      <w:r>
        <w:rPr>
          <w:rFonts w:hint="eastAsia" w:ascii="宋体" w:hAnsi="宋体" w:eastAsia="宋体" w:cs="宋体"/>
          <w:sz w:val="24"/>
          <w:szCs w:val="24"/>
          <w:lang w:eastAsia="zh-CN"/>
        </w:rPr>
        <w:t>评审</w:t>
      </w:r>
      <w:r>
        <w:rPr>
          <w:rFonts w:hint="eastAsia" w:ascii="宋体" w:hAnsi="宋体" w:eastAsia="宋体" w:cs="宋体"/>
          <w:sz w:val="24"/>
          <w:szCs w:val="24"/>
        </w:rPr>
        <w:t>，快速找到</w:t>
      </w:r>
      <w:r>
        <w:rPr>
          <w:rFonts w:hint="eastAsia" w:ascii="宋体" w:hAnsi="宋体" w:eastAsia="宋体" w:cs="宋体"/>
          <w:sz w:val="24"/>
          <w:szCs w:val="24"/>
          <w:lang w:eastAsia="zh-CN"/>
        </w:rPr>
        <w:t>评审</w:t>
      </w:r>
      <w:r>
        <w:rPr>
          <w:rFonts w:hint="eastAsia" w:ascii="宋体" w:hAnsi="宋体" w:eastAsia="宋体" w:cs="宋体"/>
          <w:sz w:val="24"/>
          <w:szCs w:val="24"/>
        </w:rPr>
        <w:t>事项与该项目</w:t>
      </w:r>
      <w:r>
        <w:rPr>
          <w:rFonts w:hint="eastAsia" w:ascii="宋体" w:hAnsi="宋体" w:eastAsia="宋体" w:cs="宋体"/>
          <w:sz w:val="24"/>
          <w:szCs w:val="24"/>
          <w:lang w:eastAsia="zh-CN"/>
        </w:rPr>
        <w:t>投标文件</w:t>
      </w:r>
      <w:r>
        <w:rPr>
          <w:rFonts w:hint="eastAsia" w:ascii="宋体" w:hAnsi="宋体" w:eastAsia="宋体" w:cs="宋体"/>
          <w:sz w:val="24"/>
          <w:szCs w:val="24"/>
        </w:rPr>
        <w:t>所对应的位置，请</w:t>
      </w:r>
      <w:r>
        <w:rPr>
          <w:rFonts w:hint="eastAsia" w:ascii="宋体" w:hAnsi="宋体" w:eastAsia="宋体" w:cs="宋体"/>
          <w:sz w:val="24"/>
          <w:szCs w:val="24"/>
          <w:lang w:eastAsia="zh-CN"/>
        </w:rPr>
        <w:t>参与</w:t>
      </w:r>
      <w:r>
        <w:rPr>
          <w:rFonts w:hint="eastAsia" w:ascii="宋体" w:hAnsi="宋体" w:eastAsia="宋体" w:cs="宋体"/>
          <w:sz w:val="24"/>
          <w:szCs w:val="24"/>
        </w:rPr>
        <w:t>人参照下表格式，编制本项目</w:t>
      </w:r>
      <w:r>
        <w:rPr>
          <w:rFonts w:hint="eastAsia" w:ascii="宋体" w:hAnsi="宋体" w:eastAsia="宋体" w:cs="宋体"/>
          <w:sz w:val="24"/>
          <w:szCs w:val="24"/>
          <w:lang w:eastAsia="zh-CN"/>
        </w:rPr>
        <w:t>评审</w:t>
      </w:r>
      <w:r>
        <w:rPr>
          <w:rFonts w:hint="eastAsia" w:ascii="宋体" w:hAnsi="宋体" w:eastAsia="宋体" w:cs="宋体"/>
          <w:sz w:val="24"/>
          <w:szCs w:val="24"/>
        </w:rPr>
        <w:t>指引表。</w:t>
      </w:r>
    </w:p>
    <w:p w14:paraId="74F3AAA8">
      <w:pPr>
        <w:pStyle w:val="6"/>
        <w:spacing w:line="360" w:lineRule="auto"/>
        <w:ind w:firstLine="0"/>
        <w:rPr>
          <w:rFonts w:hint="eastAsia" w:ascii="宋体" w:hAnsi="宋体" w:eastAsia="宋体" w:cs="宋体"/>
          <w:sz w:val="24"/>
          <w:szCs w:val="24"/>
        </w:rPr>
      </w:pPr>
      <w:r>
        <w:rPr>
          <w:rFonts w:hint="eastAsia" w:ascii="宋体" w:hAnsi="宋体" w:eastAsia="宋体" w:cs="宋体"/>
          <w:sz w:val="24"/>
          <w:szCs w:val="24"/>
        </w:rPr>
        <w:t>项目名称：</w:t>
      </w:r>
    </w:p>
    <w:p w14:paraId="17419F6B">
      <w:pPr>
        <w:pStyle w:val="6"/>
        <w:spacing w:line="360" w:lineRule="auto"/>
        <w:ind w:firstLine="0"/>
        <w:rPr>
          <w:rFonts w:hint="eastAsia" w:ascii="宋体" w:hAnsi="宋体" w:eastAsia="宋体" w:cs="宋体"/>
          <w:sz w:val="24"/>
          <w:szCs w:val="24"/>
        </w:rPr>
      </w:pPr>
      <w:r>
        <w:rPr>
          <w:rFonts w:hint="eastAsia" w:ascii="宋体" w:hAnsi="宋体" w:eastAsia="宋体" w:cs="宋体"/>
          <w:sz w:val="24"/>
          <w:szCs w:val="24"/>
        </w:rPr>
        <w:t>项目编号：</w:t>
      </w:r>
    </w:p>
    <w:p w14:paraId="5E4153B2">
      <w:pPr>
        <w:pStyle w:val="6"/>
        <w:spacing w:line="360" w:lineRule="auto"/>
        <w:ind w:firstLine="0"/>
        <w:rPr>
          <w:rFonts w:hint="eastAsia" w:ascii="宋体" w:hAnsi="宋体" w:eastAsia="宋体" w:cs="宋体"/>
          <w:sz w:val="21"/>
          <w:szCs w:val="21"/>
        </w:rPr>
      </w:pPr>
    </w:p>
    <w:tbl>
      <w:tblPr>
        <w:tblStyle w:val="15"/>
        <w:tblW w:w="91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555"/>
        <w:gridCol w:w="1365"/>
        <w:gridCol w:w="1395"/>
        <w:gridCol w:w="1440"/>
      </w:tblGrid>
      <w:tr w14:paraId="0D87C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02" w:type="dxa"/>
            <w:gridSpan w:val="5"/>
            <w:vAlign w:val="center"/>
          </w:tcPr>
          <w:p w14:paraId="74457716">
            <w:pPr>
              <w:adjustRightInd/>
              <w:snapToGrid/>
              <w:spacing w:line="240" w:lineRule="auto"/>
              <w:ind w:firstLine="3855" w:firstLineChars="1600"/>
              <w:rPr>
                <w:rFonts w:hint="eastAsia" w:asciiTheme="minorEastAsia" w:hAnsiTheme="minorEastAsia" w:eastAsiaTheme="minorEastAsia" w:cstheme="minorEastAsia"/>
                <w:color w:val="0000FF"/>
                <w:sz w:val="24"/>
                <w:szCs w:val="24"/>
              </w:rPr>
            </w:pPr>
            <w:r>
              <w:rPr>
                <w:rFonts w:hint="eastAsia" w:asciiTheme="minorEastAsia" w:hAnsiTheme="minorEastAsia" w:eastAsiaTheme="minorEastAsia" w:cstheme="minorEastAsia"/>
                <w:b/>
                <w:color w:val="0000FF"/>
                <w:sz w:val="24"/>
                <w:szCs w:val="24"/>
                <w:lang w:eastAsia="zh-CN"/>
              </w:rPr>
              <w:t>综合评分</w:t>
            </w:r>
            <w:r>
              <w:rPr>
                <w:rFonts w:hint="eastAsia" w:asciiTheme="minorEastAsia" w:hAnsiTheme="minorEastAsia" w:eastAsiaTheme="minorEastAsia" w:cstheme="minorEastAsia"/>
                <w:b/>
                <w:color w:val="0000FF"/>
                <w:sz w:val="24"/>
                <w:szCs w:val="24"/>
              </w:rPr>
              <w:t>指引</w:t>
            </w:r>
          </w:p>
        </w:tc>
      </w:tr>
      <w:tr w14:paraId="39D1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7" w:type="dxa"/>
            <w:vAlign w:val="center"/>
          </w:tcPr>
          <w:p w14:paraId="225F66BE">
            <w:pPr>
              <w:adjustRightInd/>
              <w:snapToGrid/>
              <w:spacing w:line="240" w:lineRule="auto"/>
              <w:jc w:val="center"/>
              <w:rPr>
                <w:rFonts w:hint="eastAsia" w:asciiTheme="minorEastAsia" w:hAnsiTheme="minorEastAsia" w:eastAsiaTheme="minorEastAsia" w:cstheme="minorEastAsia"/>
                <w:b/>
                <w:color w:val="0000FF"/>
                <w:sz w:val="24"/>
                <w:szCs w:val="24"/>
              </w:rPr>
            </w:pPr>
            <w:r>
              <w:rPr>
                <w:rFonts w:hint="eastAsia" w:asciiTheme="minorEastAsia" w:hAnsiTheme="minorEastAsia" w:eastAsiaTheme="minorEastAsia" w:cstheme="minorEastAsia"/>
                <w:b/>
                <w:color w:val="0000FF"/>
                <w:sz w:val="24"/>
                <w:szCs w:val="24"/>
              </w:rPr>
              <w:t>评</w:t>
            </w:r>
            <w:r>
              <w:rPr>
                <w:rFonts w:hint="eastAsia" w:asciiTheme="minorEastAsia" w:hAnsiTheme="minorEastAsia" w:eastAsiaTheme="minorEastAsia" w:cstheme="minorEastAsia"/>
                <w:b/>
                <w:color w:val="0000FF"/>
                <w:sz w:val="24"/>
                <w:szCs w:val="24"/>
                <w:lang w:eastAsia="zh-CN"/>
              </w:rPr>
              <w:t>分</w:t>
            </w:r>
            <w:r>
              <w:rPr>
                <w:rFonts w:hint="eastAsia" w:asciiTheme="minorEastAsia" w:hAnsiTheme="minorEastAsia" w:eastAsiaTheme="minorEastAsia" w:cstheme="minorEastAsia"/>
                <w:b/>
                <w:color w:val="0000FF"/>
                <w:sz w:val="24"/>
                <w:szCs w:val="24"/>
              </w:rPr>
              <w:t>类别</w:t>
            </w:r>
          </w:p>
        </w:tc>
        <w:tc>
          <w:tcPr>
            <w:tcW w:w="3555" w:type="dxa"/>
            <w:vAlign w:val="center"/>
          </w:tcPr>
          <w:p w14:paraId="684A4E69">
            <w:pPr>
              <w:adjustRightInd/>
              <w:snapToGrid/>
              <w:spacing w:line="240" w:lineRule="auto"/>
              <w:jc w:val="center"/>
              <w:rPr>
                <w:rFonts w:hint="eastAsia" w:asciiTheme="minorEastAsia" w:hAnsiTheme="minorEastAsia" w:eastAsiaTheme="minorEastAsia" w:cstheme="minorEastAsia"/>
                <w:b/>
                <w:color w:val="0000FF"/>
                <w:sz w:val="24"/>
                <w:szCs w:val="24"/>
              </w:rPr>
            </w:pPr>
            <w:r>
              <w:rPr>
                <w:rFonts w:hint="eastAsia" w:asciiTheme="minorEastAsia" w:hAnsiTheme="minorEastAsia" w:eastAsiaTheme="minorEastAsia" w:cstheme="minorEastAsia"/>
                <w:b/>
                <w:color w:val="0000FF"/>
                <w:sz w:val="24"/>
                <w:szCs w:val="24"/>
              </w:rPr>
              <w:t>评</w:t>
            </w:r>
            <w:r>
              <w:rPr>
                <w:rFonts w:hint="eastAsia" w:asciiTheme="minorEastAsia" w:hAnsiTheme="minorEastAsia" w:eastAsiaTheme="minorEastAsia" w:cstheme="minorEastAsia"/>
                <w:b/>
                <w:color w:val="0000FF"/>
                <w:sz w:val="24"/>
                <w:szCs w:val="24"/>
                <w:lang w:eastAsia="zh-CN"/>
              </w:rPr>
              <w:t>审要素</w:t>
            </w:r>
          </w:p>
        </w:tc>
        <w:tc>
          <w:tcPr>
            <w:tcW w:w="1365" w:type="dxa"/>
            <w:vAlign w:val="center"/>
          </w:tcPr>
          <w:p w14:paraId="27D6537E">
            <w:pPr>
              <w:adjustRightInd/>
              <w:snapToGrid/>
              <w:spacing w:line="240" w:lineRule="auto"/>
              <w:jc w:val="center"/>
              <w:rPr>
                <w:rFonts w:hint="eastAsia" w:asciiTheme="minorEastAsia" w:hAnsiTheme="minorEastAsia" w:eastAsiaTheme="minorEastAsia" w:cstheme="minorEastAsia"/>
                <w:b/>
                <w:color w:val="0000FF"/>
                <w:sz w:val="24"/>
                <w:szCs w:val="24"/>
              </w:rPr>
            </w:pPr>
            <w:r>
              <w:rPr>
                <w:rFonts w:hint="eastAsia" w:asciiTheme="minorEastAsia" w:hAnsiTheme="minorEastAsia" w:eastAsiaTheme="minorEastAsia" w:cstheme="minorEastAsia"/>
                <w:b/>
                <w:color w:val="0000FF"/>
                <w:sz w:val="24"/>
                <w:szCs w:val="24"/>
                <w:lang w:eastAsia="zh-CN"/>
              </w:rPr>
              <w:t>基础分值</w:t>
            </w:r>
          </w:p>
        </w:tc>
        <w:tc>
          <w:tcPr>
            <w:tcW w:w="1395" w:type="dxa"/>
            <w:vAlign w:val="center"/>
          </w:tcPr>
          <w:p w14:paraId="01EC30C5">
            <w:pPr>
              <w:adjustRightInd/>
              <w:snapToGrid/>
              <w:spacing w:line="240" w:lineRule="auto"/>
              <w:jc w:val="center"/>
              <w:rPr>
                <w:rFonts w:hint="eastAsia" w:asciiTheme="minorEastAsia" w:hAnsiTheme="minorEastAsia" w:eastAsiaTheme="minorEastAsia" w:cstheme="minorEastAsia"/>
                <w:b/>
                <w:color w:val="0000FF"/>
                <w:sz w:val="24"/>
                <w:szCs w:val="24"/>
              </w:rPr>
            </w:pPr>
            <w:r>
              <w:rPr>
                <w:rFonts w:hint="eastAsia" w:asciiTheme="minorEastAsia" w:hAnsiTheme="minorEastAsia" w:eastAsiaTheme="minorEastAsia" w:cstheme="minorEastAsia"/>
                <w:b/>
                <w:color w:val="0000FF"/>
                <w:sz w:val="24"/>
                <w:szCs w:val="24"/>
              </w:rPr>
              <w:t>对应章节</w:t>
            </w:r>
          </w:p>
        </w:tc>
        <w:tc>
          <w:tcPr>
            <w:tcW w:w="1440" w:type="dxa"/>
            <w:vAlign w:val="center"/>
          </w:tcPr>
          <w:p w14:paraId="4018FCE6">
            <w:pPr>
              <w:adjustRightInd/>
              <w:snapToGrid/>
              <w:spacing w:line="240" w:lineRule="auto"/>
              <w:jc w:val="center"/>
              <w:rPr>
                <w:rFonts w:hint="eastAsia" w:asciiTheme="minorEastAsia" w:hAnsiTheme="minorEastAsia" w:eastAsiaTheme="minorEastAsia" w:cstheme="minorEastAsia"/>
                <w:b/>
                <w:color w:val="0000FF"/>
                <w:sz w:val="24"/>
                <w:szCs w:val="24"/>
              </w:rPr>
            </w:pPr>
            <w:r>
              <w:rPr>
                <w:rFonts w:hint="eastAsia" w:asciiTheme="minorEastAsia" w:hAnsiTheme="minorEastAsia" w:eastAsiaTheme="minorEastAsia" w:cstheme="minorEastAsia"/>
                <w:b/>
                <w:color w:val="0000FF"/>
                <w:sz w:val="24"/>
                <w:szCs w:val="24"/>
              </w:rPr>
              <w:t>起止页码</w:t>
            </w:r>
          </w:p>
        </w:tc>
      </w:tr>
      <w:tr w14:paraId="1069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347" w:type="dxa"/>
            <w:vAlign w:val="center"/>
          </w:tcPr>
          <w:p w14:paraId="31C39A4C">
            <w:pPr>
              <w:adjustRightInd/>
              <w:snapToGrid/>
              <w:spacing w:line="240" w:lineRule="auto"/>
              <w:jc w:val="center"/>
              <w:rPr>
                <w:rFonts w:hint="eastAsia" w:asciiTheme="minorEastAsia" w:hAnsiTheme="minorEastAsia" w:eastAsiaTheme="minorEastAsia" w:cstheme="minorEastAsia"/>
                <w:b/>
                <w:color w:val="0000FF"/>
                <w:sz w:val="24"/>
                <w:szCs w:val="24"/>
                <w:lang w:eastAsia="zh-CN"/>
              </w:rPr>
            </w:pPr>
            <w:r>
              <w:rPr>
                <w:rFonts w:hint="eastAsia" w:asciiTheme="minorEastAsia" w:hAnsiTheme="minorEastAsia" w:eastAsiaTheme="minorEastAsia" w:cstheme="minorEastAsia"/>
                <w:b/>
                <w:color w:val="0000FF"/>
                <w:sz w:val="24"/>
                <w:szCs w:val="24"/>
                <w:lang w:eastAsia="zh-CN"/>
              </w:rPr>
              <w:t>报价部分</w:t>
            </w:r>
          </w:p>
        </w:tc>
        <w:tc>
          <w:tcPr>
            <w:tcW w:w="3555" w:type="dxa"/>
            <w:vAlign w:val="center"/>
          </w:tcPr>
          <w:p w14:paraId="7995F6E9">
            <w:pPr>
              <w:adjustRightInd/>
              <w:snapToGrid/>
              <w:spacing w:line="240" w:lineRule="auto"/>
              <w:jc w:val="center"/>
              <w:rPr>
                <w:rFonts w:hint="default"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价格</w:t>
            </w:r>
          </w:p>
        </w:tc>
        <w:tc>
          <w:tcPr>
            <w:tcW w:w="1365" w:type="dxa"/>
            <w:vAlign w:val="center"/>
          </w:tcPr>
          <w:p w14:paraId="5F13C630">
            <w:pPr>
              <w:adjustRightInd/>
              <w:snapToGrid/>
              <w:spacing w:line="240" w:lineRule="auto"/>
              <w:jc w:val="center"/>
              <w:rPr>
                <w:rFonts w:hint="eastAsia" w:ascii="仿宋_GB2312" w:hAnsi="仿宋_GB2312" w:eastAsia="仿宋_GB2312" w:cs="仿宋_GB2312"/>
                <w:color w:val="0000FF"/>
                <w:sz w:val="24"/>
                <w:szCs w:val="24"/>
                <w:lang w:val="en-US" w:eastAsia="zh-CN"/>
              </w:rPr>
            </w:pPr>
            <w:r>
              <w:rPr>
                <w:rFonts w:hint="eastAsia" w:ascii="仿宋_GB2312" w:hAnsi="仿宋_GB2312" w:eastAsia="仿宋_GB2312" w:cs="仿宋_GB2312"/>
                <w:color w:val="0000FF"/>
                <w:sz w:val="24"/>
                <w:szCs w:val="24"/>
                <w:lang w:val="en-US" w:eastAsia="zh-CN"/>
              </w:rPr>
              <w:t>35分</w:t>
            </w:r>
          </w:p>
        </w:tc>
        <w:tc>
          <w:tcPr>
            <w:tcW w:w="1395" w:type="dxa"/>
            <w:vAlign w:val="center"/>
          </w:tcPr>
          <w:p w14:paraId="1B219D37">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1440" w:type="dxa"/>
            <w:vAlign w:val="center"/>
          </w:tcPr>
          <w:p w14:paraId="70E0A45C">
            <w:pPr>
              <w:adjustRightInd/>
              <w:snapToGrid/>
              <w:spacing w:line="240" w:lineRule="auto"/>
              <w:jc w:val="center"/>
              <w:rPr>
                <w:rFonts w:hint="eastAsia" w:asciiTheme="minorEastAsia" w:hAnsiTheme="minorEastAsia" w:eastAsiaTheme="minorEastAsia" w:cstheme="minorEastAsia"/>
                <w:b/>
                <w:color w:val="0000FF"/>
                <w:sz w:val="24"/>
                <w:szCs w:val="24"/>
              </w:rPr>
            </w:pPr>
          </w:p>
        </w:tc>
      </w:tr>
      <w:tr w14:paraId="44BDD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trPr>
        <w:tc>
          <w:tcPr>
            <w:tcW w:w="1347" w:type="dxa"/>
            <w:vMerge w:val="restart"/>
            <w:vAlign w:val="center"/>
          </w:tcPr>
          <w:p w14:paraId="2AEB4FE8">
            <w:pPr>
              <w:pStyle w:val="2"/>
              <w:jc w:val="center"/>
              <w:rPr>
                <w:rFonts w:hint="eastAsia" w:asciiTheme="minorEastAsia" w:hAnsiTheme="minorEastAsia" w:eastAsiaTheme="minorEastAsia" w:cstheme="minorEastAsia"/>
                <w:color w:val="0000FF"/>
                <w:sz w:val="24"/>
                <w:szCs w:val="24"/>
                <w:lang w:eastAsia="zh-CN"/>
              </w:rPr>
            </w:pPr>
            <w:r>
              <w:rPr>
                <w:rFonts w:hint="eastAsia" w:asciiTheme="minorEastAsia" w:hAnsiTheme="minorEastAsia" w:eastAsiaTheme="minorEastAsia" w:cstheme="minorEastAsia"/>
                <w:b/>
                <w:bCs w:val="0"/>
                <w:color w:val="0000FF"/>
                <w:spacing w:val="0"/>
                <w:kern w:val="2"/>
                <w:sz w:val="24"/>
                <w:szCs w:val="24"/>
                <w:lang w:val="en-US" w:eastAsia="zh-CN" w:bidi="ar-SA"/>
              </w:rPr>
              <w:t>技术要素</w:t>
            </w:r>
          </w:p>
        </w:tc>
        <w:tc>
          <w:tcPr>
            <w:tcW w:w="3555" w:type="dxa"/>
            <w:vAlign w:val="center"/>
          </w:tcPr>
          <w:p w14:paraId="60456FFF">
            <w:pPr>
              <w:adjustRightInd/>
              <w:snapToGrid/>
              <w:spacing w:line="240" w:lineRule="auto"/>
              <w:jc w:val="center"/>
              <w:rPr>
                <w:rFonts w:hint="eastAsia" w:ascii="仿宋_GB2312" w:hAnsi="仿宋_GB2312" w:eastAsia="仿宋_GB2312" w:cs="仿宋_GB2312"/>
                <w:color w:val="0000FF"/>
                <w:kern w:val="0"/>
                <w:sz w:val="24"/>
                <w:szCs w:val="24"/>
                <w:lang w:eastAsia="zh-CN"/>
              </w:rPr>
            </w:pPr>
            <w:r>
              <w:rPr>
                <w:rFonts w:hint="eastAsia" w:ascii="仿宋_GB2312" w:hAnsi="仿宋_GB2312" w:eastAsia="仿宋_GB2312" w:cs="仿宋_GB2312"/>
                <w:i w:val="0"/>
                <w:color w:val="0000FF"/>
                <w:kern w:val="0"/>
                <w:sz w:val="24"/>
                <w:szCs w:val="24"/>
                <w:highlight w:val="none"/>
                <w:u w:val="none"/>
                <w:lang w:val="en-US" w:eastAsia="zh-CN" w:bidi="ar"/>
              </w:rPr>
              <w:t>产品质量</w:t>
            </w:r>
          </w:p>
        </w:tc>
        <w:tc>
          <w:tcPr>
            <w:tcW w:w="1365" w:type="dxa"/>
            <w:vAlign w:val="center"/>
          </w:tcPr>
          <w:p w14:paraId="0F4654EA">
            <w:pPr>
              <w:adjustRightInd/>
              <w:snapToGrid/>
              <w:spacing w:line="240" w:lineRule="auto"/>
              <w:jc w:val="center"/>
              <w:rPr>
                <w:rFonts w:hint="eastAsia"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20分</w:t>
            </w:r>
          </w:p>
        </w:tc>
        <w:tc>
          <w:tcPr>
            <w:tcW w:w="1395" w:type="dxa"/>
            <w:vAlign w:val="center"/>
          </w:tcPr>
          <w:p w14:paraId="1D46CB1F">
            <w:pPr>
              <w:adjustRightInd/>
              <w:snapToGrid/>
              <w:spacing w:line="240" w:lineRule="auto"/>
              <w:jc w:val="center"/>
              <w:rPr>
                <w:rFonts w:hint="eastAsia" w:asciiTheme="minorEastAsia" w:hAnsiTheme="minorEastAsia" w:eastAsiaTheme="minorEastAsia" w:cstheme="minorEastAsia"/>
                <w:color w:val="0000FF"/>
                <w:kern w:val="0"/>
                <w:sz w:val="24"/>
                <w:szCs w:val="24"/>
              </w:rPr>
            </w:pPr>
          </w:p>
        </w:tc>
        <w:tc>
          <w:tcPr>
            <w:tcW w:w="1440" w:type="dxa"/>
            <w:vAlign w:val="center"/>
          </w:tcPr>
          <w:p w14:paraId="7FC5E03E">
            <w:pPr>
              <w:adjustRightInd/>
              <w:snapToGrid/>
              <w:spacing w:line="240" w:lineRule="auto"/>
              <w:jc w:val="center"/>
              <w:rPr>
                <w:rFonts w:hint="eastAsia" w:asciiTheme="minorEastAsia" w:hAnsiTheme="minorEastAsia" w:eastAsiaTheme="minorEastAsia" w:cstheme="minorEastAsia"/>
                <w:color w:val="0000FF"/>
                <w:kern w:val="0"/>
                <w:sz w:val="24"/>
                <w:szCs w:val="24"/>
              </w:rPr>
            </w:pPr>
          </w:p>
        </w:tc>
      </w:tr>
      <w:tr w14:paraId="3EB5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trPr>
        <w:tc>
          <w:tcPr>
            <w:tcW w:w="1347" w:type="dxa"/>
            <w:vMerge w:val="continue"/>
            <w:vAlign w:val="center"/>
          </w:tcPr>
          <w:p w14:paraId="0AA3A5B9">
            <w:pPr>
              <w:pStyle w:val="2"/>
              <w:jc w:val="center"/>
              <w:rPr>
                <w:rFonts w:hint="eastAsia" w:asciiTheme="minorEastAsia" w:hAnsiTheme="minorEastAsia" w:eastAsiaTheme="minorEastAsia" w:cstheme="minorEastAsia"/>
                <w:b/>
                <w:bCs w:val="0"/>
                <w:color w:val="0000FF"/>
                <w:spacing w:val="0"/>
                <w:kern w:val="2"/>
                <w:sz w:val="24"/>
                <w:szCs w:val="24"/>
                <w:lang w:val="en-US" w:eastAsia="zh-CN" w:bidi="ar-SA"/>
              </w:rPr>
            </w:pPr>
          </w:p>
        </w:tc>
        <w:tc>
          <w:tcPr>
            <w:tcW w:w="3555" w:type="dxa"/>
            <w:vAlign w:val="center"/>
          </w:tcPr>
          <w:p w14:paraId="3C7DA0EF">
            <w:pPr>
              <w:adjustRightInd/>
              <w:snapToGrid/>
              <w:spacing w:line="240" w:lineRule="auto"/>
              <w:jc w:val="center"/>
              <w:rPr>
                <w:rFonts w:hint="eastAsia" w:ascii="仿宋_GB2312" w:hAnsi="仿宋_GB2312" w:eastAsia="仿宋_GB2312" w:cs="仿宋_GB2312"/>
                <w:i w:val="0"/>
                <w:color w:val="0000FF"/>
                <w:kern w:val="0"/>
                <w:sz w:val="24"/>
                <w:szCs w:val="24"/>
                <w:highlight w:val="none"/>
                <w:u w:val="none"/>
                <w:lang w:val="en-US" w:eastAsia="zh-CN" w:bidi="ar"/>
              </w:rPr>
            </w:pPr>
            <w:r>
              <w:rPr>
                <w:rFonts w:hint="eastAsia" w:ascii="仿宋_GB2312" w:hAnsi="仿宋_GB2312" w:eastAsia="仿宋_GB2312" w:cs="仿宋_GB2312"/>
                <w:i w:val="0"/>
                <w:color w:val="0000FF"/>
                <w:kern w:val="0"/>
                <w:sz w:val="24"/>
                <w:szCs w:val="24"/>
                <w:highlight w:val="none"/>
                <w:u w:val="none"/>
                <w:lang w:val="en-US" w:eastAsia="zh-CN" w:bidi="ar"/>
              </w:rPr>
              <w:t>样品质量</w:t>
            </w:r>
          </w:p>
        </w:tc>
        <w:tc>
          <w:tcPr>
            <w:tcW w:w="1365" w:type="dxa"/>
            <w:vAlign w:val="center"/>
          </w:tcPr>
          <w:p w14:paraId="2F9E771A">
            <w:pPr>
              <w:adjustRightInd/>
              <w:snapToGrid/>
              <w:spacing w:line="240" w:lineRule="auto"/>
              <w:jc w:val="center"/>
              <w:rPr>
                <w:rFonts w:hint="default"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5分</w:t>
            </w:r>
          </w:p>
        </w:tc>
        <w:tc>
          <w:tcPr>
            <w:tcW w:w="1395" w:type="dxa"/>
            <w:vAlign w:val="center"/>
          </w:tcPr>
          <w:p w14:paraId="03053B9E">
            <w:pPr>
              <w:adjustRightInd/>
              <w:snapToGrid/>
              <w:spacing w:line="240" w:lineRule="auto"/>
              <w:jc w:val="center"/>
              <w:rPr>
                <w:rFonts w:hint="eastAsia" w:asciiTheme="minorEastAsia" w:hAnsiTheme="minorEastAsia" w:eastAsiaTheme="minorEastAsia" w:cstheme="minorEastAsia"/>
                <w:color w:val="0000FF"/>
                <w:kern w:val="0"/>
                <w:sz w:val="24"/>
                <w:szCs w:val="24"/>
              </w:rPr>
            </w:pPr>
          </w:p>
        </w:tc>
        <w:tc>
          <w:tcPr>
            <w:tcW w:w="1440" w:type="dxa"/>
            <w:vAlign w:val="center"/>
          </w:tcPr>
          <w:p w14:paraId="41BC34FC">
            <w:pPr>
              <w:adjustRightInd/>
              <w:snapToGrid/>
              <w:spacing w:line="240" w:lineRule="auto"/>
              <w:jc w:val="center"/>
              <w:rPr>
                <w:rFonts w:hint="eastAsia" w:asciiTheme="minorEastAsia" w:hAnsiTheme="minorEastAsia" w:eastAsiaTheme="minorEastAsia" w:cstheme="minorEastAsia"/>
                <w:color w:val="0000FF"/>
                <w:kern w:val="0"/>
                <w:sz w:val="24"/>
                <w:szCs w:val="24"/>
              </w:rPr>
            </w:pPr>
          </w:p>
        </w:tc>
      </w:tr>
      <w:tr w14:paraId="32E3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47" w:type="dxa"/>
            <w:vMerge w:val="continue"/>
            <w:vAlign w:val="center"/>
          </w:tcPr>
          <w:p w14:paraId="5CC6301A">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3555" w:type="dxa"/>
            <w:vAlign w:val="center"/>
          </w:tcPr>
          <w:p w14:paraId="60796B21">
            <w:pPr>
              <w:adjustRightInd/>
              <w:snapToGrid/>
              <w:spacing w:line="240" w:lineRule="auto"/>
              <w:jc w:val="center"/>
              <w:rPr>
                <w:rFonts w:hint="eastAsia" w:ascii="仿宋_GB2312" w:hAnsi="仿宋_GB2312" w:eastAsia="仿宋_GB2312" w:cs="仿宋_GB2312"/>
                <w:color w:val="0000FF"/>
                <w:kern w:val="0"/>
                <w:sz w:val="24"/>
                <w:szCs w:val="24"/>
                <w:lang w:eastAsia="zh-CN"/>
              </w:rPr>
            </w:pPr>
            <w:r>
              <w:rPr>
                <w:rFonts w:hint="eastAsia" w:ascii="仿宋_GB2312" w:hAnsi="仿宋_GB2312" w:eastAsia="仿宋_GB2312" w:cs="仿宋_GB2312"/>
                <w:i w:val="0"/>
                <w:color w:val="0000FF"/>
                <w:kern w:val="0"/>
                <w:sz w:val="24"/>
                <w:szCs w:val="24"/>
                <w:highlight w:val="none"/>
                <w:u w:val="none"/>
                <w:lang w:val="en-US" w:eastAsia="zh-CN" w:bidi="ar"/>
              </w:rPr>
              <w:t>产品满足程度</w:t>
            </w:r>
          </w:p>
        </w:tc>
        <w:tc>
          <w:tcPr>
            <w:tcW w:w="1365" w:type="dxa"/>
            <w:vAlign w:val="center"/>
          </w:tcPr>
          <w:p w14:paraId="7847F0B0">
            <w:pPr>
              <w:adjustRightInd/>
              <w:snapToGrid/>
              <w:spacing w:line="240" w:lineRule="auto"/>
              <w:jc w:val="center"/>
              <w:rPr>
                <w:rFonts w:hint="eastAsia"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5分</w:t>
            </w:r>
          </w:p>
        </w:tc>
        <w:tc>
          <w:tcPr>
            <w:tcW w:w="1395" w:type="dxa"/>
            <w:vAlign w:val="center"/>
          </w:tcPr>
          <w:p w14:paraId="4EBE2857">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1440" w:type="dxa"/>
            <w:vAlign w:val="center"/>
          </w:tcPr>
          <w:p w14:paraId="0FACD8CA">
            <w:pPr>
              <w:adjustRightInd/>
              <w:snapToGrid/>
              <w:spacing w:line="240" w:lineRule="auto"/>
              <w:jc w:val="center"/>
              <w:rPr>
                <w:rFonts w:hint="eastAsia" w:asciiTheme="minorEastAsia" w:hAnsiTheme="minorEastAsia" w:eastAsiaTheme="minorEastAsia" w:cstheme="minorEastAsia"/>
                <w:b/>
                <w:color w:val="0000FF"/>
                <w:sz w:val="24"/>
                <w:szCs w:val="24"/>
              </w:rPr>
            </w:pPr>
          </w:p>
        </w:tc>
      </w:tr>
      <w:tr w14:paraId="3E837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47" w:type="dxa"/>
            <w:vMerge w:val="restart"/>
            <w:vAlign w:val="center"/>
          </w:tcPr>
          <w:p w14:paraId="4EE5DE5F">
            <w:pPr>
              <w:adjustRightInd/>
              <w:snapToGrid/>
              <w:spacing w:line="240" w:lineRule="auto"/>
              <w:jc w:val="center"/>
              <w:rPr>
                <w:rFonts w:hint="default" w:asciiTheme="minorEastAsia" w:hAnsiTheme="minorEastAsia" w:eastAsiaTheme="minorEastAsia" w:cstheme="minorEastAsia"/>
                <w:b/>
                <w:color w:val="0000FF"/>
                <w:sz w:val="24"/>
                <w:szCs w:val="24"/>
                <w:lang w:val="en-US" w:eastAsia="zh-CN"/>
              </w:rPr>
            </w:pPr>
            <w:r>
              <w:rPr>
                <w:rFonts w:hint="eastAsia" w:asciiTheme="minorEastAsia" w:hAnsiTheme="minorEastAsia" w:eastAsiaTheme="minorEastAsia" w:cstheme="minorEastAsia"/>
                <w:b/>
                <w:color w:val="0000FF"/>
                <w:sz w:val="24"/>
                <w:szCs w:val="24"/>
                <w:lang w:val="en-US" w:eastAsia="zh-CN"/>
              </w:rPr>
              <w:t>商务要素</w:t>
            </w:r>
          </w:p>
        </w:tc>
        <w:tc>
          <w:tcPr>
            <w:tcW w:w="3555" w:type="dxa"/>
            <w:vAlign w:val="center"/>
          </w:tcPr>
          <w:p w14:paraId="37F932D9">
            <w:pPr>
              <w:adjustRightInd/>
              <w:snapToGrid/>
              <w:spacing w:line="240" w:lineRule="auto"/>
              <w:ind w:firstLine="960" w:firstLineChars="400"/>
              <w:jc w:val="both"/>
              <w:rPr>
                <w:rFonts w:hint="eastAsia"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市场占有率</w:t>
            </w:r>
          </w:p>
        </w:tc>
        <w:tc>
          <w:tcPr>
            <w:tcW w:w="1365" w:type="dxa"/>
            <w:vAlign w:val="center"/>
          </w:tcPr>
          <w:p w14:paraId="33949F5E">
            <w:pPr>
              <w:adjustRightInd/>
              <w:snapToGrid/>
              <w:spacing w:line="240" w:lineRule="auto"/>
              <w:jc w:val="center"/>
              <w:rPr>
                <w:rFonts w:hint="eastAsia"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21分</w:t>
            </w:r>
          </w:p>
        </w:tc>
        <w:tc>
          <w:tcPr>
            <w:tcW w:w="1395" w:type="dxa"/>
            <w:vAlign w:val="center"/>
          </w:tcPr>
          <w:p w14:paraId="7C19149E">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1440" w:type="dxa"/>
            <w:vAlign w:val="center"/>
          </w:tcPr>
          <w:p w14:paraId="6C63D0B8">
            <w:pPr>
              <w:adjustRightInd/>
              <w:snapToGrid/>
              <w:spacing w:line="240" w:lineRule="auto"/>
              <w:jc w:val="center"/>
              <w:rPr>
                <w:rFonts w:hint="eastAsia" w:asciiTheme="minorEastAsia" w:hAnsiTheme="minorEastAsia" w:eastAsiaTheme="minorEastAsia" w:cstheme="minorEastAsia"/>
                <w:b/>
                <w:color w:val="0000FF"/>
                <w:sz w:val="24"/>
                <w:szCs w:val="24"/>
              </w:rPr>
            </w:pPr>
          </w:p>
        </w:tc>
      </w:tr>
      <w:tr w14:paraId="01D51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47" w:type="dxa"/>
            <w:vMerge w:val="continue"/>
            <w:vAlign w:val="center"/>
          </w:tcPr>
          <w:p w14:paraId="1A69C219">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3555" w:type="dxa"/>
            <w:vAlign w:val="center"/>
          </w:tcPr>
          <w:p w14:paraId="2922E908">
            <w:pPr>
              <w:adjustRightInd/>
              <w:snapToGrid/>
              <w:spacing w:line="240" w:lineRule="auto"/>
              <w:jc w:val="center"/>
              <w:rPr>
                <w:rFonts w:hint="eastAsia" w:ascii="仿宋_GB2312" w:hAnsi="仿宋_GB2312" w:eastAsia="仿宋_GB2312" w:cs="仿宋_GB2312"/>
                <w:color w:val="0000FF"/>
                <w:kern w:val="0"/>
                <w:sz w:val="24"/>
                <w:szCs w:val="24"/>
                <w:lang w:eastAsia="zh-CN"/>
              </w:rPr>
            </w:pPr>
            <w:r>
              <w:rPr>
                <w:rFonts w:hint="eastAsia" w:ascii="仿宋_GB2312" w:hAnsi="仿宋_GB2312" w:eastAsia="仿宋_GB2312" w:cs="仿宋_GB2312"/>
                <w:color w:val="0000FF"/>
                <w:sz w:val="24"/>
                <w:szCs w:val="24"/>
                <w:lang w:eastAsia="zh-CN"/>
              </w:rPr>
              <w:t>供货保障能力</w:t>
            </w:r>
          </w:p>
        </w:tc>
        <w:tc>
          <w:tcPr>
            <w:tcW w:w="1365" w:type="dxa"/>
            <w:vAlign w:val="center"/>
          </w:tcPr>
          <w:p w14:paraId="43B09BFB">
            <w:pPr>
              <w:adjustRightInd/>
              <w:snapToGrid/>
              <w:spacing w:line="240" w:lineRule="auto"/>
              <w:jc w:val="center"/>
              <w:rPr>
                <w:rFonts w:hint="eastAsia"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4</w:t>
            </w:r>
            <w:r>
              <w:rPr>
                <w:rFonts w:hint="eastAsia" w:ascii="仿宋_GB2312" w:hAnsi="仿宋_GB2312" w:eastAsia="仿宋_GB2312" w:cs="仿宋_GB2312"/>
                <w:color w:val="0000FF"/>
                <w:kern w:val="0"/>
                <w:sz w:val="24"/>
                <w:szCs w:val="24"/>
                <w:lang w:eastAsia="zh-CN"/>
              </w:rPr>
              <w:t>分</w:t>
            </w:r>
          </w:p>
        </w:tc>
        <w:tc>
          <w:tcPr>
            <w:tcW w:w="1395" w:type="dxa"/>
            <w:vAlign w:val="center"/>
          </w:tcPr>
          <w:p w14:paraId="4A9F718C">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1440" w:type="dxa"/>
            <w:vAlign w:val="center"/>
          </w:tcPr>
          <w:p w14:paraId="39F625D4">
            <w:pPr>
              <w:adjustRightInd/>
              <w:snapToGrid/>
              <w:spacing w:line="240" w:lineRule="auto"/>
              <w:jc w:val="center"/>
              <w:rPr>
                <w:rFonts w:hint="eastAsia" w:asciiTheme="minorEastAsia" w:hAnsiTheme="minorEastAsia" w:eastAsiaTheme="minorEastAsia" w:cstheme="minorEastAsia"/>
                <w:b/>
                <w:color w:val="0000FF"/>
                <w:sz w:val="24"/>
                <w:szCs w:val="24"/>
              </w:rPr>
            </w:pPr>
          </w:p>
        </w:tc>
      </w:tr>
      <w:tr w14:paraId="00625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47" w:type="dxa"/>
            <w:vMerge w:val="continue"/>
            <w:vAlign w:val="center"/>
          </w:tcPr>
          <w:p w14:paraId="3ABE675B">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3555" w:type="dxa"/>
            <w:vAlign w:val="center"/>
          </w:tcPr>
          <w:p w14:paraId="6BBCFDEF">
            <w:pPr>
              <w:adjustRightInd/>
              <w:snapToGrid/>
              <w:spacing w:line="240" w:lineRule="auto"/>
              <w:jc w:val="center"/>
              <w:rPr>
                <w:rFonts w:hint="eastAsia" w:ascii="仿宋_GB2312" w:hAnsi="仿宋_GB2312" w:eastAsia="仿宋_GB2312" w:cs="仿宋_GB2312"/>
                <w:color w:val="0000FF"/>
                <w:kern w:val="0"/>
                <w:sz w:val="24"/>
                <w:szCs w:val="24"/>
                <w:lang w:eastAsia="zh-CN"/>
              </w:rPr>
            </w:pPr>
            <w:r>
              <w:rPr>
                <w:rFonts w:hint="eastAsia" w:ascii="仿宋_GB2312" w:hAnsi="仿宋_GB2312" w:eastAsia="仿宋_GB2312" w:cs="仿宋_GB2312"/>
                <w:i w:val="0"/>
                <w:color w:val="0000FF"/>
                <w:sz w:val="24"/>
                <w:szCs w:val="24"/>
                <w:highlight w:val="none"/>
                <w:u w:val="none"/>
                <w:lang w:val="en-US" w:eastAsia="zh-CN"/>
              </w:rPr>
              <w:t xml:space="preserve"> </w:t>
            </w:r>
            <w:r>
              <w:rPr>
                <w:rFonts w:hint="eastAsia" w:ascii="仿宋_GB2312" w:hAnsi="仿宋_GB2312" w:eastAsia="仿宋_GB2312" w:cs="仿宋_GB2312"/>
                <w:i w:val="0"/>
                <w:color w:val="0000FF"/>
                <w:sz w:val="24"/>
                <w:szCs w:val="24"/>
                <w:highlight w:val="none"/>
                <w:u w:val="none"/>
              </w:rPr>
              <w:t>配送/售后服务</w:t>
            </w:r>
          </w:p>
        </w:tc>
        <w:tc>
          <w:tcPr>
            <w:tcW w:w="1365" w:type="dxa"/>
            <w:vAlign w:val="center"/>
          </w:tcPr>
          <w:p w14:paraId="1A8FC728">
            <w:pPr>
              <w:adjustRightInd/>
              <w:snapToGrid/>
              <w:spacing w:line="240" w:lineRule="auto"/>
              <w:jc w:val="center"/>
              <w:rPr>
                <w:rFonts w:hint="eastAsia"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10分</w:t>
            </w:r>
          </w:p>
        </w:tc>
        <w:tc>
          <w:tcPr>
            <w:tcW w:w="1395" w:type="dxa"/>
            <w:vAlign w:val="center"/>
          </w:tcPr>
          <w:p w14:paraId="3945BED1">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1440" w:type="dxa"/>
            <w:vAlign w:val="center"/>
          </w:tcPr>
          <w:p w14:paraId="2352F195">
            <w:pPr>
              <w:adjustRightInd/>
              <w:snapToGrid/>
              <w:spacing w:line="240" w:lineRule="auto"/>
              <w:jc w:val="center"/>
              <w:rPr>
                <w:rFonts w:hint="eastAsia" w:asciiTheme="minorEastAsia" w:hAnsiTheme="minorEastAsia" w:eastAsiaTheme="minorEastAsia" w:cstheme="minorEastAsia"/>
                <w:b/>
                <w:color w:val="0000FF"/>
                <w:sz w:val="24"/>
                <w:szCs w:val="24"/>
              </w:rPr>
            </w:pPr>
          </w:p>
        </w:tc>
      </w:tr>
    </w:tbl>
    <w:p w14:paraId="51C79D2C">
      <w:pPr>
        <w:spacing w:line="360" w:lineRule="auto"/>
        <w:rPr>
          <w:rFonts w:hint="eastAsia" w:ascii="宋体" w:hAnsi="宋体" w:eastAsia="宋体" w:cs="宋体"/>
          <w:sz w:val="21"/>
          <w:szCs w:val="21"/>
        </w:rPr>
      </w:pPr>
    </w:p>
    <w:p w14:paraId="648CEFB0">
      <w:pPr>
        <w:pStyle w:val="2"/>
        <w:rPr>
          <w:rFonts w:hint="eastAsia"/>
        </w:rPr>
      </w:pPr>
    </w:p>
    <w:p w14:paraId="764E1219">
      <w:pPr>
        <w:spacing w:line="360" w:lineRule="auto"/>
        <w:rPr>
          <w:rFonts w:hint="eastAsia" w:ascii="宋体" w:hAnsi="宋体" w:eastAsia="宋体" w:cs="宋体"/>
          <w:sz w:val="21"/>
          <w:szCs w:val="21"/>
        </w:rPr>
      </w:pPr>
      <w:r>
        <w:rPr>
          <w:rFonts w:hint="eastAsia" w:ascii="宋体" w:hAnsi="宋体" w:eastAsia="宋体" w:cs="宋体"/>
          <w:sz w:val="21"/>
          <w:szCs w:val="21"/>
        </w:rPr>
        <w:t>备注：对于</w:t>
      </w:r>
      <w:r>
        <w:rPr>
          <w:rFonts w:hint="eastAsia" w:ascii="宋体" w:hAnsi="宋体" w:eastAsia="宋体" w:cs="宋体"/>
          <w:b/>
          <w:bCs/>
          <w:color w:val="FF0000"/>
          <w:sz w:val="21"/>
          <w:szCs w:val="21"/>
        </w:rPr>
        <w:t>“</w:t>
      </w:r>
      <w:r>
        <w:rPr>
          <w:rFonts w:hint="eastAsia" w:ascii="宋体" w:hAnsi="宋体" w:eastAsia="宋体" w:cs="宋体"/>
          <w:b/>
          <w:color w:val="FF0000"/>
          <w:sz w:val="21"/>
          <w:szCs w:val="21"/>
        </w:rPr>
        <w:t>综合评分指引”</w:t>
      </w:r>
      <w:r>
        <w:rPr>
          <w:rFonts w:hint="eastAsia" w:ascii="宋体" w:hAnsi="宋体" w:eastAsia="宋体" w:cs="宋体"/>
          <w:sz w:val="21"/>
          <w:szCs w:val="21"/>
        </w:rPr>
        <w:t>请投标人按照</w:t>
      </w:r>
      <w:r>
        <w:rPr>
          <w:rFonts w:hint="eastAsia" w:ascii="宋体" w:hAnsi="宋体" w:eastAsia="宋体" w:cs="宋体"/>
          <w:b/>
          <w:sz w:val="21"/>
          <w:szCs w:val="21"/>
        </w:rPr>
        <w:t>评分</w:t>
      </w:r>
      <w:r>
        <w:rPr>
          <w:rFonts w:hint="eastAsia" w:ascii="宋体" w:hAnsi="宋体" w:eastAsia="宋体" w:cs="宋体"/>
          <w:b/>
          <w:sz w:val="21"/>
          <w:szCs w:val="21"/>
          <w:lang w:eastAsia="zh-CN"/>
        </w:rPr>
        <w:t>标准</w:t>
      </w:r>
      <w:r>
        <w:rPr>
          <w:rFonts w:hint="eastAsia" w:ascii="宋体" w:hAnsi="宋体" w:eastAsia="宋体" w:cs="宋体"/>
          <w:sz w:val="21"/>
          <w:szCs w:val="21"/>
        </w:rPr>
        <w:t>的评分要求，根据各评分项目以</w:t>
      </w:r>
      <w:r>
        <w:rPr>
          <w:rFonts w:hint="eastAsia" w:ascii="宋体" w:hAnsi="宋体" w:eastAsia="宋体" w:cs="宋体"/>
          <w:b/>
          <w:sz w:val="21"/>
          <w:szCs w:val="21"/>
        </w:rPr>
        <w:t>自上而下</w:t>
      </w:r>
      <w:r>
        <w:rPr>
          <w:rFonts w:hint="eastAsia" w:ascii="宋体" w:hAnsi="宋体" w:eastAsia="宋体" w:cs="宋体"/>
          <w:sz w:val="21"/>
          <w:szCs w:val="21"/>
        </w:rPr>
        <w:t>的顺序编制</w:t>
      </w:r>
      <w:r>
        <w:rPr>
          <w:rFonts w:hint="eastAsia" w:ascii="宋体" w:hAnsi="宋体" w:eastAsia="宋体" w:cs="宋体"/>
          <w:sz w:val="21"/>
          <w:szCs w:val="21"/>
          <w:lang w:eastAsia="zh-CN"/>
        </w:rPr>
        <w:t>，</w:t>
      </w:r>
      <w:r>
        <w:rPr>
          <w:rFonts w:hint="eastAsia" w:ascii="宋体" w:hAnsi="宋体" w:eastAsia="宋体" w:cs="宋体"/>
          <w:b/>
          <w:bCs/>
          <w:sz w:val="21"/>
          <w:szCs w:val="21"/>
          <w:lang w:eastAsia="zh-CN"/>
        </w:rPr>
        <w:t>“对应章节、起止页码”</w:t>
      </w:r>
      <w:r>
        <w:rPr>
          <w:rFonts w:hint="eastAsia" w:ascii="宋体" w:hAnsi="宋体" w:eastAsia="宋体" w:cs="宋体"/>
          <w:sz w:val="21"/>
          <w:szCs w:val="21"/>
          <w:lang w:eastAsia="zh-CN"/>
        </w:rPr>
        <w:t>对应投标文件相关内容编制。</w:t>
      </w:r>
      <w:r>
        <w:rPr>
          <w:rFonts w:hint="eastAsia" w:ascii="宋体" w:hAnsi="宋体" w:eastAsia="宋体" w:cs="宋体"/>
          <w:sz w:val="21"/>
          <w:szCs w:val="21"/>
        </w:rPr>
        <w:t>因项目次序混乱而影响</w:t>
      </w:r>
      <w:r>
        <w:rPr>
          <w:rFonts w:hint="eastAsia" w:ascii="宋体" w:hAnsi="宋体" w:eastAsia="宋体" w:cs="宋体"/>
          <w:sz w:val="21"/>
          <w:szCs w:val="21"/>
          <w:lang w:eastAsia="zh-CN"/>
        </w:rPr>
        <w:t>评审</w:t>
      </w:r>
      <w:r>
        <w:rPr>
          <w:rFonts w:hint="eastAsia" w:ascii="宋体" w:hAnsi="宋体" w:eastAsia="宋体" w:cs="宋体"/>
          <w:sz w:val="21"/>
          <w:szCs w:val="21"/>
        </w:rPr>
        <w:t>效率及</w:t>
      </w:r>
      <w:r>
        <w:rPr>
          <w:rFonts w:hint="eastAsia" w:ascii="宋体" w:hAnsi="宋体" w:eastAsia="宋体" w:cs="宋体"/>
          <w:sz w:val="21"/>
          <w:szCs w:val="21"/>
          <w:lang w:eastAsia="zh-CN"/>
        </w:rPr>
        <w:t>评审</w:t>
      </w:r>
      <w:r>
        <w:rPr>
          <w:rFonts w:hint="eastAsia" w:ascii="宋体" w:hAnsi="宋体" w:eastAsia="宋体" w:cs="宋体"/>
          <w:sz w:val="21"/>
          <w:szCs w:val="21"/>
        </w:rPr>
        <w:t>结果者，投标人自负其责。</w:t>
      </w:r>
    </w:p>
    <w:p w14:paraId="6C8F07FE">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74D88366">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3C5606E1">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646C8ABD">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42027955">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6FF39500">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6DFADE0A">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71E33E8C">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669A8125">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5B261316">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备注：以下内容无需放谈判文件里</w:t>
      </w:r>
    </w:p>
    <w:p w14:paraId="3539249C">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49AE8BE3">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401E6AB1">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21B4CC41">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（三）投标企业/供应商投标产品的申报价格，原则上不高于龙岗区公立医院目前采购产品的中选价格，且不高于产品2026年度在深圳市最低有效交易价格。</w:t>
      </w:r>
    </w:p>
    <w:p w14:paraId="6E20B954">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p>
    <w:p w14:paraId="698F26D4">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70E67494">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综合评分法：评审专家根据综合报价、技术、履约能力、售后服务等因素进行评分，各参与供应商的总得分为每个评委评分的汇总得分，根据总得分进行排名。</w:t>
      </w:r>
    </w:p>
    <w:p w14:paraId="2BB823B5">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p>
    <w:p w14:paraId="757BB663">
      <w:pPr>
        <w:pStyle w:val="2"/>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61949ADE">
      <w:pPr>
        <w:pStyle w:val="2"/>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24DA83C">
      <w:pPr>
        <w:pStyle w:val="2"/>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1C12FEBC">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0E2E6B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4E214576">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08C549D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6EAEEB7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7F473709">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7B110E2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78FBED88">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6AC73086">
      <w:pPr>
        <w:pStyle w:val="20"/>
        <w:rPr>
          <w:rFonts w:hint="eastAsia"/>
        </w:rPr>
      </w:pPr>
    </w:p>
    <w:tbl>
      <w:tblPr>
        <w:tblStyle w:val="15"/>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8A0E24B">
        <w:tblPrEx>
          <w:shd w:val="clear" w:color="auto" w:fill="auto"/>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2C9E5B68">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4D584023">
        <w:tblPrEx>
          <w:shd w:val="clear" w:color="auto" w:fill="auto"/>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3D5C0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E5DBA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ADB8D9">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0411C8E1">
        <w:tblPrEx>
          <w:shd w:val="clear" w:color="auto" w:fill="auto"/>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E5D126">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9F97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价格部分35分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0E4636">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25554722">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708AC4E2">
        <w:tblPrEx>
          <w:shd w:val="clear" w:color="auto" w:fill="auto"/>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6BCD52">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8625B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D73E41">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65分</w:t>
            </w:r>
          </w:p>
        </w:tc>
      </w:tr>
      <w:tr w14:paraId="2FBCF3E0">
        <w:tblPrEx>
          <w:shd w:val="clear" w:color="auto" w:fill="auto"/>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9EDFAE">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11D9E1">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4981D">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EBDFA6">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9B65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FC236A">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132C961D">
        <w:tblPrEx>
          <w:shd w:val="clear" w:color="auto" w:fill="auto"/>
          <w:tblCellMar>
            <w:top w:w="0" w:type="dxa"/>
            <w:left w:w="0" w:type="dxa"/>
            <w:bottom w:w="0" w:type="dxa"/>
            <w:right w:w="0" w:type="dxa"/>
          </w:tblCellMar>
        </w:tblPrEx>
        <w:trPr>
          <w:trHeight w:val="96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D62A5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CBB8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990B3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58B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r>
              <w:rPr>
                <w:rFonts w:hint="eastAsia" w:ascii="宋体" w:hAnsi="宋体" w:cs="宋体"/>
                <w:i w:val="0"/>
                <w:color w:val="000000"/>
                <w:kern w:val="0"/>
                <w:sz w:val="22"/>
                <w:szCs w:val="22"/>
                <w:u w:val="none"/>
                <w:lang w:val="en-US" w:eastAsia="zh-CN" w:bidi="ar"/>
              </w:rPr>
              <w:t>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3B06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FEA4C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提供CMA资质检验机构签发的检测报告</w:t>
            </w:r>
            <w:r>
              <w:rPr>
                <w:rFonts w:hint="eastAsia" w:ascii="宋体" w:hAnsi="宋体" w:cs="宋体"/>
                <w:i w:val="0"/>
                <w:color w:val="000000"/>
                <w:kern w:val="0"/>
                <w:sz w:val="22"/>
                <w:szCs w:val="22"/>
                <w:u w:val="none"/>
                <w:lang w:val="en-US" w:eastAsia="zh-CN" w:bidi="ar"/>
              </w:rPr>
              <w:t>，一个检验项目得2分，不提供不得分。</w:t>
            </w:r>
          </w:p>
        </w:tc>
      </w:tr>
      <w:tr w14:paraId="05ADCD65">
        <w:tblPrEx>
          <w:shd w:val="clear" w:color="auto" w:fill="auto"/>
          <w:tblCellMar>
            <w:top w:w="0" w:type="dxa"/>
            <w:left w:w="0" w:type="dxa"/>
            <w:bottom w:w="0" w:type="dxa"/>
            <w:right w:w="0" w:type="dxa"/>
          </w:tblCellMar>
        </w:tblPrEx>
        <w:trPr>
          <w:trHeight w:val="96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ECE702">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CBF19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730EE1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2F9A58">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1382BA">
            <w:pPr>
              <w:keepNext w:val="0"/>
              <w:keepLines w:val="0"/>
              <w:widowControl/>
              <w:suppressLineNumbers w:val="0"/>
              <w:ind w:left="0" w:leftChars="0" w:firstLine="0" w:firstLineChars="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样品质量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0E1693">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w:t>
            </w:r>
            <w:r>
              <w:rPr>
                <w:rFonts w:hint="eastAsia" w:ascii="宋体" w:hAnsi="宋体" w:cs="宋体"/>
                <w:i w:val="0"/>
                <w:color w:val="000000"/>
                <w:kern w:val="0"/>
                <w:sz w:val="22"/>
                <w:szCs w:val="22"/>
                <w:u w:val="none"/>
                <w:lang w:val="en-US" w:eastAsia="zh-CN" w:bidi="ar"/>
              </w:rPr>
              <w:t>目测法和鼻嗅法对样品进行打分。</w:t>
            </w:r>
          </w:p>
        </w:tc>
      </w:tr>
      <w:tr w14:paraId="7B77EA68">
        <w:tblPrEx>
          <w:shd w:val="clear" w:color="auto" w:fill="auto"/>
          <w:tblCellMar>
            <w:top w:w="0" w:type="dxa"/>
            <w:left w:w="0" w:type="dxa"/>
            <w:bottom w:w="0" w:type="dxa"/>
            <w:right w:w="0" w:type="dxa"/>
          </w:tblCellMar>
        </w:tblPrEx>
        <w:trPr>
          <w:trHeight w:val="81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39598">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D57B4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847318">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97588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D4F12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ADDE7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1D96A45C">
        <w:tblPrEx>
          <w:shd w:val="clear" w:color="auto" w:fill="auto"/>
          <w:tblCellMar>
            <w:top w:w="0" w:type="dxa"/>
            <w:left w:w="0" w:type="dxa"/>
            <w:bottom w:w="0" w:type="dxa"/>
            <w:right w:w="0" w:type="dxa"/>
          </w:tblCellMar>
        </w:tblPrEx>
        <w:trPr>
          <w:trHeight w:val="122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2998BF">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B6A215C">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3429F1B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B24F89">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1433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953AB4">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谈判文件中提供的三甲医院使用证明，使用证明仅限含采购产品规格型号的价格发票/合同。</w:t>
            </w:r>
            <w:r>
              <w:rPr>
                <w:rFonts w:hint="eastAsia" w:cs="宋体"/>
                <w:i w:val="0"/>
                <w:color w:val="000000"/>
                <w:kern w:val="0"/>
                <w:sz w:val="22"/>
                <w:szCs w:val="22"/>
                <w:u w:val="none"/>
                <w:lang w:val="en-US" w:eastAsia="zh-CN" w:bidi="ar"/>
              </w:rPr>
              <w:br w:type="textWrapping"/>
            </w:r>
            <w:r>
              <w:rPr>
                <w:rFonts w:hint="eastAsia" w:cs="宋体"/>
                <w:i w:val="0"/>
                <w:color w:val="000000"/>
                <w:kern w:val="0"/>
                <w:sz w:val="22"/>
                <w:szCs w:val="22"/>
                <w:u w:val="none"/>
                <w:lang w:val="en-US" w:eastAsia="zh-CN" w:bidi="ar"/>
              </w:rPr>
              <w:t>满分21分，三甲医院1家/3分。</w:t>
            </w:r>
          </w:p>
        </w:tc>
      </w:tr>
      <w:tr w14:paraId="12C7F234">
        <w:tblPrEx>
          <w:tblCellMar>
            <w:top w:w="0" w:type="dxa"/>
            <w:left w:w="0" w:type="dxa"/>
            <w:bottom w:w="0" w:type="dxa"/>
            <w:right w:w="0" w:type="dxa"/>
          </w:tblCellMar>
        </w:tblPrEx>
        <w:trPr>
          <w:trHeight w:val="106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AE98D0">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33E1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4D836A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30B9E4">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DEA277">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32EE64">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29763E25">
        <w:tblPrEx>
          <w:shd w:val="clear" w:color="auto" w:fill="auto"/>
          <w:tblCellMar>
            <w:top w:w="0" w:type="dxa"/>
            <w:left w:w="0" w:type="dxa"/>
            <w:bottom w:w="0" w:type="dxa"/>
            <w:right w:w="0" w:type="dxa"/>
          </w:tblCellMar>
        </w:tblPrEx>
        <w:trPr>
          <w:trHeight w:val="81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D64B91">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F520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D5189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7DC0CD">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6FF3D1">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081B9A">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根据《售后服务响应表》打分，满分10分，按照提供的符合性情况打分。</w:t>
            </w:r>
          </w:p>
        </w:tc>
      </w:tr>
    </w:tbl>
    <w:p w14:paraId="1ABF76BC">
      <w:pPr>
        <w:spacing w:line="276" w:lineRule="auto"/>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eastAsia="zh-CN"/>
        </w:rPr>
        <w:t>备注：评分所称以上</w:t>
      </w:r>
      <w:r>
        <w:rPr>
          <w:rFonts w:hint="eastAsia"/>
          <w:sz w:val="21"/>
          <w:szCs w:val="21"/>
          <w:highlight w:val="none"/>
          <w:lang w:eastAsia="zh-CN"/>
        </w:rPr>
        <w:t>、以内</w:t>
      </w:r>
      <w:r>
        <w:rPr>
          <w:rFonts w:hint="eastAsia" w:ascii="Times New Roman" w:hAnsi="Times New Roman" w:eastAsia="宋体"/>
          <w:sz w:val="21"/>
          <w:szCs w:val="21"/>
          <w:highlight w:val="none"/>
          <w:lang w:eastAsia="zh-CN"/>
        </w:rPr>
        <w:t>包括本数。</w:t>
      </w: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7D0DB88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41FFAA2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p w14:paraId="1A66F9B1">
      <w:pPr>
        <w:keepNext w:val="0"/>
        <w:keepLines w:val="0"/>
        <w:pageBreakBefore w:val="0"/>
        <w:widowControl w:val="0"/>
        <w:numPr>
          <w:ilvl w:val="0"/>
          <w:numId w:val="9"/>
        </w:numPr>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val="en-US" w:eastAsia="zh-CN"/>
        </w:rPr>
      </w:pPr>
      <w:r>
        <w:rPr>
          <w:rFonts w:hint="eastAsia" w:ascii="楷体_GB2312" w:eastAsia="楷体_GB2312"/>
          <w:b/>
          <w:bCs/>
          <w:sz w:val="24"/>
          <w:lang w:val="en-US" w:eastAsia="zh-CN"/>
        </w:rPr>
        <w:t>质疑及投诉</w:t>
      </w:r>
    </w:p>
    <w:p w14:paraId="237F50D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（一）供应商认为采购文件、采购过程、中标或者成交结果使自己的权益受到损害的，可以在知道或者应知其权益受到损害之日起7个工作日或采购活动规定的时间内，以书面形式向采购人提出质疑。</w:t>
      </w:r>
    </w:p>
    <w:p w14:paraId="7FED126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（二）供应商</w:t>
      </w:r>
      <w:r>
        <w:rPr>
          <w:rFonts w:hint="eastAsia" w:ascii="楷体" w:hAnsi="楷体" w:eastAsia="楷体" w:cs="楷体"/>
          <w:kern w:val="0"/>
          <w:sz w:val="24"/>
          <w:szCs w:val="24"/>
          <w:lang w:eastAsia="zh-CN"/>
        </w:rPr>
        <w:t>质疑实行“谁质疑、谁举证”的原则，质疑应有具体的事项及事实根据，不得虚假和恶意质疑。供应商应在质疑期内一次性提出针对同一采购程序环节的质疑。若对项目</w:t>
      </w:r>
      <w:r>
        <w:rPr>
          <w:rFonts w:hint="eastAsia" w:ascii="楷体" w:hAnsi="楷体" w:eastAsia="楷体" w:cs="楷体"/>
          <w:kern w:val="0"/>
          <w:sz w:val="24"/>
          <w:szCs w:val="24"/>
          <w:lang w:val="en-US" w:eastAsia="zh-CN"/>
        </w:rPr>
        <w:t>的某一分包进行质疑，质疑函中应列明具体分包号。</w:t>
      </w:r>
    </w:p>
    <w:p w14:paraId="2076D2F4">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三）供应商质疑应当实名提交书面质疑函。提出质疑的应是直接参与相应采购项目的供应商，以联合体形式参与的，由组成联合体的所有供应商共同提出；供应商提出质疑应当提交质疑函和必要的证明材料(包括证明材料清单、证明文件及获取途径说明等)。质疑函应当包括下列内容：</w:t>
      </w:r>
    </w:p>
    <w:p w14:paraId="0EC9DE9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1、应提供质疑的项目名称和编号、质疑人的单位名称、详细地址、邮政编码、联系人及联系电话等基本情况；</w:t>
      </w:r>
    </w:p>
    <w:p w14:paraId="740E40AF">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2、有质疑的具体事项、请求及理由，并附有关证据材料。对于需要向有关单位取得相关证明或者组织专门机构、人员进行检验、检测或者鉴定的，应由质疑人申请查实认定，并将相关结果提交给采购人，认定结果应具有行业公信力；</w:t>
      </w:r>
    </w:p>
    <w:p w14:paraId="1D0F82B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3、应提交质疑函（质疑文件必须由法定代表人或者经法定代表人授权代表签署）、法定代表人（主要负责人）证明书、法定代表人（主要负责人）授权委托书〔应当载明代理人的姓名或者名称、代理事项、具体权限、期限和相关事项，且由法定代表人（主要负责人）签字或者盖章〕、被授权人身份证复印件（验原件）等，以上材料均须加盖质疑人公章；</w:t>
      </w:r>
    </w:p>
    <w:p w14:paraId="182A6C02">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4、质疑材料中有外文资料的，需提交加盖翻译单位印章或翻译人签字的相应中文译本；供应商为自然人的，应当由本人签字；供应商为法人或者其他组织的，应当由法定代表人、主要负责人，或者其授权代表签字或者盖章，并加盖公章。</w:t>
      </w:r>
    </w:p>
    <w:p w14:paraId="03BFCC91">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（四）质疑函提交方式及联系方式：</w:t>
      </w:r>
    </w:p>
    <w:p w14:paraId="047E90C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在规定的质疑期限内，供应商应将书面的质疑函原件及证明材料现场递交至质疑接收部门。</w:t>
      </w:r>
    </w:p>
    <w:p w14:paraId="1641093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接收质疑的联系方式：</w:t>
      </w:r>
    </w:p>
    <w:p w14:paraId="78E1A87C">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质疑接收部门名称：深圳市龙岗区人民医院设备科</w:t>
      </w:r>
    </w:p>
    <w:p w14:paraId="0CD58C42">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default"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质疑接收部门地址：深圳市龙岗区人民医院消毒供应中心2楼203室</w:t>
      </w:r>
    </w:p>
    <w:p w14:paraId="417956C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default"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质疑接收部门电话：0755-28932833-8816、0755-28989671</w:t>
      </w:r>
    </w:p>
    <w:p w14:paraId="4ACCECA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质疑接收时间：工作日8：00-12:00，14:00-17：00</w:t>
      </w:r>
    </w:p>
    <w:p w14:paraId="428DB31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质疑接收部门邮箱：szslgqrmyysbk1@lg.gov.cn</w:t>
      </w:r>
    </w:p>
    <w:p w14:paraId="04B56064">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（五）质疑办理程序</w:t>
      </w:r>
    </w:p>
    <w:p w14:paraId="50713F21">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1、供应商提交的质疑符合受理条件的，采购人自收到完整质疑材料之日起即为受理，递交质疑的法定代表人（负责人）或者授权代理人须在质疑接收部门</w:t>
      </w:r>
      <w:r>
        <w:rPr>
          <w:rFonts w:hint="eastAsia" w:ascii="楷体" w:hAnsi="楷体" w:eastAsia="楷体" w:cs="楷体"/>
          <w:b/>
          <w:bCs/>
          <w:kern w:val="0"/>
          <w:sz w:val="24"/>
          <w:szCs w:val="24"/>
          <w:lang w:val="en-US" w:eastAsia="zh-CN"/>
        </w:rPr>
        <w:t>签署质疑送达地址确认书</w:t>
      </w:r>
      <w:r>
        <w:rPr>
          <w:rFonts w:hint="eastAsia" w:ascii="楷体" w:hAnsi="楷体" w:eastAsia="楷体" w:cs="楷体"/>
          <w:kern w:val="0"/>
          <w:sz w:val="24"/>
          <w:szCs w:val="24"/>
          <w:lang w:val="en-US" w:eastAsia="zh-CN"/>
        </w:rPr>
        <w:t>。</w:t>
      </w:r>
    </w:p>
    <w:p w14:paraId="7D58F5F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2、供应商提出质疑有下列情形之一的，不予受理：</w:t>
      </w:r>
    </w:p>
    <w:p w14:paraId="045AA858">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（1）质疑人不是直接参与所质疑项目投标供应商的；</w:t>
      </w:r>
    </w:p>
    <w:p w14:paraId="1C4990D8">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（2）已过质疑期间的；</w:t>
      </w:r>
    </w:p>
    <w:p w14:paraId="4FC87CE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（3）口头提出质疑的；</w:t>
      </w:r>
    </w:p>
    <w:p w14:paraId="217FA9A1">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（4）提交的质疑材料不符合本办法规定，经告知重新补充材料后仍然不符合本办文件规定的；</w:t>
      </w:r>
    </w:p>
    <w:p w14:paraId="3536FED7">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（5）其他不予受理的情形。</w:t>
      </w:r>
    </w:p>
    <w:p w14:paraId="38AE8F1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（6）质疑答复时限：</w:t>
      </w:r>
    </w:p>
    <w:p w14:paraId="3E27C14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对于已经受理的质疑，原则上在质疑受理之日起10个工作日内书面答复，答复函可以直接领取、邮寄或其他方式送达。</w:t>
      </w:r>
    </w:p>
    <w:p w14:paraId="2E1FAF05">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3、质疑处理</w:t>
      </w:r>
    </w:p>
    <w:p w14:paraId="0D29175F">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（1）供应商质疑不成立，或者成立但未对中标、成交结果构成影响的，继续开展采购活动。</w:t>
      </w:r>
    </w:p>
    <w:p w14:paraId="4BE3BDD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（2）供应商质疑成立且影响或者可能影响中标、成交结果的，按照下列情况处理：</w:t>
      </w:r>
    </w:p>
    <w:p w14:paraId="10E0EC1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①对采购文件提出的质疑，依法通过澄清或者修改可以继续开展采购活动的，澄清或者修改采购文件后继续开展采购活动；否则应当修改采购文件后重新开展采购活动。</w:t>
      </w:r>
    </w:p>
    <w:p w14:paraId="060A481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②对采购过程、中标或者成交结果提出的质疑，合格供应商符合法定数量时，可以从合格的中标或者成交候选人中另行确定中标、成交供应商的，应当依法另行确定中标、成交供应商。否则应当重新开展采购活动。</w:t>
      </w:r>
    </w:p>
    <w:p w14:paraId="68A4CC64">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（3）在质疑处理过程中，供应商要求撤回质疑的，应当以书面形式向采购人提出。</w:t>
      </w:r>
    </w:p>
    <w:p w14:paraId="35E079F1">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（4）质疑人拒绝配合采购人依法进行调查的，按自动撤回质疑处理。</w:t>
      </w:r>
    </w:p>
    <w:p w14:paraId="2B365942">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4、投诉</w:t>
      </w:r>
    </w:p>
    <w:p w14:paraId="5099DB3D">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default"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质疑供应商对采购人答复不满意，或者采购人未在规定时间内作出答复的，可以在答复期满后15个工作日内向采购人纪检审计办公室书面提起投诉。投诉事项不得超出已质疑事项的范围，但基于质疑答复内容提出的投诉事项除外。</w:t>
      </w:r>
    </w:p>
    <w:p w14:paraId="127239C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p w14:paraId="3464AC0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p w14:paraId="46714291">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p w14:paraId="0A2792AF">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p w14:paraId="7F2403CB">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p w14:paraId="70009034">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0995DDC-5F94-4257-BB7F-749FC3459339}"/>
  </w:font>
  <w:font w:name="Courier New">
    <w:panose1 w:val="02070309020205020404"/>
    <w:charset w:val="01"/>
    <w:family w:val="modern"/>
    <w:pitch w:val="default"/>
    <w:sig w:usb0="E0002EFF" w:usb1="C0007843" w:usb2="00000009" w:usb3="00000000" w:csb0="400001FF" w:csb1="FFFF0000"/>
    <w:embedRegular r:id="rId2" w:fontKey="{0BFCD2B4-ED3A-4099-88C6-8593DDD526B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6AAF13E-FB4D-49CA-A8D8-1DF60717301C}"/>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A2F4536E-2769-4DAE-A6DC-CC5CB4F4A343}"/>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FE899988-B6E4-4251-967D-92259E5EE112}"/>
  </w:font>
  <w:font w:name="方正小标宋简体">
    <w:panose1 w:val="02000000000000000000"/>
    <w:charset w:val="86"/>
    <w:family w:val="script"/>
    <w:pitch w:val="default"/>
    <w:sig w:usb0="00000001" w:usb1="08000000" w:usb2="00000000" w:usb3="00000000" w:csb0="00040000" w:csb1="00000000"/>
    <w:embedRegular r:id="rId6" w:fontKey="{C5919BA5-783B-413B-82A6-96F729668BD0}"/>
  </w:font>
  <w:font w:name="楷体_GB2312">
    <w:panose1 w:val="02010609030101010101"/>
    <w:charset w:val="86"/>
    <w:family w:val="modern"/>
    <w:pitch w:val="default"/>
    <w:sig w:usb0="00000001" w:usb1="080E0000" w:usb2="00000000" w:usb3="00000000" w:csb0="00040000" w:csb1="00000000"/>
    <w:embedRegular r:id="rId7" w:fontKey="{3C5BEA8A-DFD4-4978-9F37-5C08A7894788}"/>
  </w:font>
  <w:font w:name="仿宋">
    <w:panose1 w:val="02010609060101010101"/>
    <w:charset w:val="86"/>
    <w:family w:val="auto"/>
    <w:pitch w:val="default"/>
    <w:sig w:usb0="800002BF" w:usb1="38CF7CFA" w:usb2="00000016" w:usb3="00000000" w:csb0="00040001" w:csb1="00000000"/>
    <w:embedRegular r:id="rId8" w:fontKey="{5F26F877-E781-450C-9115-A58E32FDF2E3}"/>
  </w:font>
  <w:font w:name="楷体">
    <w:panose1 w:val="02010609060101010101"/>
    <w:charset w:val="86"/>
    <w:family w:val="auto"/>
    <w:pitch w:val="default"/>
    <w:sig w:usb0="800002BF" w:usb1="38CF7CFA" w:usb2="00000016" w:usb3="00000000" w:csb0="00040001" w:csb1="00000000"/>
    <w:embedRegular r:id="rId9" w:fontKey="{1CB5AA2F-58AC-4070-913B-10FDBD60F48C}"/>
  </w:font>
  <w:font w:name="新宋体">
    <w:panose1 w:val="02010609030101010101"/>
    <w:charset w:val="86"/>
    <w:family w:val="modern"/>
    <w:pitch w:val="default"/>
    <w:sig w:usb0="00000203" w:usb1="288F0000" w:usb2="00000006" w:usb3="00000000" w:csb0="00040001" w:csb1="00000000"/>
    <w:embedRegular r:id="rId10" w:fontKey="{6C1085D7-3BFF-4B3A-AE59-96EA463AF213}"/>
  </w:font>
  <w:font w:name="方正仿宋_GBK">
    <w:altName w:val="微软雅黑"/>
    <w:panose1 w:val="02000000000000000000"/>
    <w:charset w:val="86"/>
    <w:family w:val="auto"/>
    <w:pitch w:val="default"/>
    <w:sig w:usb0="00000000" w:usb1="00000000" w:usb2="00000000" w:usb3="00000000" w:csb0="00040000" w:csb1="00000000"/>
    <w:embedRegular r:id="rId11" w:fontKey="{AC4A3053-FB98-4B63-AE19-0FD263B5244F}"/>
  </w:font>
  <w:font w:name="微软雅黑">
    <w:panose1 w:val="020B0503020204020204"/>
    <w:charset w:val="86"/>
    <w:family w:val="auto"/>
    <w:pitch w:val="default"/>
    <w:sig w:usb0="80000287" w:usb1="2ACF3C50" w:usb2="00000016" w:usb3="00000000" w:csb0="0004001F" w:csb1="00000000"/>
  </w:font>
  <w:font w:name="WPSEMBED6">
    <w:panose1 w:val="02000000000000000000"/>
    <w:charset w:val="86"/>
    <w:family w:val="auto"/>
    <w:pitch w:val="default"/>
    <w:sig w:usb0="00000001" w:usb1="08000000" w:usb2="00000000" w:usb3="00000000" w:csb0="00040000" w:csb1="00000000"/>
  </w:font>
  <w:font w:name="WPSEMBED7">
    <w:panose1 w:val="02010609030101010101"/>
    <w:charset w:val="86"/>
    <w:family w:val="auto"/>
    <w:pitch w:val="default"/>
    <w:sig w:usb0="00000001" w:usb1="080E0000" w:usb2="00000000" w:usb3="00000000" w:csb0="00040000" w:csb1="00000000"/>
  </w:font>
  <w:font w:name="WPSEMBED4">
    <w:panose1 w:val="02010609030101010101"/>
    <w:charset w:val="86"/>
    <w:family w:val="auto"/>
    <w:pitch w:val="default"/>
    <w:sig w:usb0="00000001" w:usb1="080E0000" w:usb2="00000000" w:usb3="00000000" w:csb0="00040000" w:csb1="00000000"/>
  </w:font>
  <w:font w:name="WPSEMBED5">
    <w:panose1 w:val="02010600040101010101"/>
    <w:charset w:val="86"/>
    <w:family w:val="auto"/>
    <w:pitch w:val="default"/>
    <w:sig w:usb0="00000287" w:usb1="080F0000" w:usb2="00000000" w:usb3="00000000" w:csb0="0004009F" w:csb1="DFD70000"/>
  </w:font>
  <w:font w:name="KSOFD8A28030">
    <w:panose1 w:val="020B0503020204020204"/>
    <w:charset w:val="86"/>
    <w:family w:val="auto"/>
    <w:pitch w:val="default"/>
    <w:sig w:usb0="00000001" w:usb1="00000000" w:usb2="00000000" w:usb3="00000000" w:csb0="00040001" w:csb1="00000000"/>
  </w:font>
  <w:font w:name="KSOFDA5758CF">
    <w:panose1 w:val="020B07030202040202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11"/>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11"/>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11"/>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087EF2E"/>
    <w:multiLevelType w:val="singleLevel"/>
    <w:tmpl w:val="F087EF2E"/>
    <w:lvl w:ilvl="0" w:tentative="0">
      <w:start w:val="1"/>
      <w:numFmt w:val="chineseCounting"/>
      <w:suff w:val="nothing"/>
      <w:lvlText w:val="%1、"/>
      <w:lvlJc w:val="left"/>
      <w:rPr>
        <w:rFonts w:hint="eastAsia"/>
      </w:rPr>
    </w:lvl>
  </w:abstractNum>
  <w:abstractNum w:abstractNumId="2">
    <w:nsid w:val="F21FAA0A"/>
    <w:multiLevelType w:val="singleLevel"/>
    <w:tmpl w:val="F21FAA0A"/>
    <w:lvl w:ilvl="0" w:tentative="0">
      <w:start w:val="2"/>
      <w:numFmt w:val="chineseCounting"/>
      <w:suff w:val="nothing"/>
      <w:lvlText w:val="%1、"/>
      <w:lvlJc w:val="left"/>
      <w:rPr>
        <w:rFonts w:hint="eastAsia"/>
      </w:rPr>
    </w:lvl>
  </w:abstractNum>
  <w:abstractNum w:abstractNumId="3">
    <w:nsid w:val="FB40126C"/>
    <w:multiLevelType w:val="singleLevel"/>
    <w:tmpl w:val="FB40126C"/>
    <w:lvl w:ilvl="0" w:tentative="0">
      <w:start w:val="1"/>
      <w:numFmt w:val="decimal"/>
      <w:suff w:val="nothing"/>
      <w:lvlText w:val="%1、"/>
      <w:lvlJc w:val="left"/>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B007511"/>
    <w:multiLevelType w:val="singleLevel"/>
    <w:tmpl w:val="5B007511"/>
    <w:lvl w:ilvl="0" w:tentative="0">
      <w:start w:val="7"/>
      <w:numFmt w:val="chineseCounting"/>
      <w:suff w:val="nothing"/>
      <w:lvlText w:val="%1、"/>
      <w:lvlJc w:val="left"/>
      <w:rPr>
        <w:rFonts w:hint="eastAsia"/>
      </w:rPr>
    </w:lvl>
  </w:abstractNum>
  <w:abstractNum w:abstractNumId="7">
    <w:nsid w:val="5C3716E2"/>
    <w:multiLevelType w:val="singleLevel"/>
    <w:tmpl w:val="5C3716E2"/>
    <w:lvl w:ilvl="0" w:tentative="0">
      <w:start w:val="1"/>
      <w:numFmt w:val="chineseCounting"/>
      <w:suff w:val="nothing"/>
      <w:lvlText w:val="（%1）"/>
      <w:lvlJc w:val="left"/>
      <w:rPr>
        <w:rFonts w:hint="eastAsia"/>
      </w:rPr>
    </w:lvl>
  </w:abstractNum>
  <w:abstractNum w:abstractNumId="8">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1"/>
  </w:num>
  <w:num w:numId="3">
    <w:abstractNumId w:val="2"/>
  </w:num>
  <w:num w:numId="4">
    <w:abstractNumId w:val="4"/>
  </w:num>
  <w:num w:numId="5">
    <w:abstractNumId w:val="8"/>
  </w:num>
  <w:num w:numId="6">
    <w:abstractNumId w:val="5"/>
  </w:num>
  <w:num w:numId="7">
    <w:abstractNumId w:val="3"/>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24E4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601D9F"/>
    <w:rsid w:val="016471F9"/>
    <w:rsid w:val="01D56747"/>
    <w:rsid w:val="023D723C"/>
    <w:rsid w:val="02DA1D28"/>
    <w:rsid w:val="03214A83"/>
    <w:rsid w:val="035D3297"/>
    <w:rsid w:val="03E67524"/>
    <w:rsid w:val="04015655"/>
    <w:rsid w:val="04281754"/>
    <w:rsid w:val="045A3810"/>
    <w:rsid w:val="045D2C48"/>
    <w:rsid w:val="05203EC4"/>
    <w:rsid w:val="055B0D4A"/>
    <w:rsid w:val="056B7129"/>
    <w:rsid w:val="05827385"/>
    <w:rsid w:val="063447A5"/>
    <w:rsid w:val="0693523B"/>
    <w:rsid w:val="06B50CF4"/>
    <w:rsid w:val="072648EE"/>
    <w:rsid w:val="072D2A7C"/>
    <w:rsid w:val="07437642"/>
    <w:rsid w:val="075C6875"/>
    <w:rsid w:val="078917EC"/>
    <w:rsid w:val="078C7D3A"/>
    <w:rsid w:val="07AB3ACE"/>
    <w:rsid w:val="07AD3339"/>
    <w:rsid w:val="08441280"/>
    <w:rsid w:val="086B47A9"/>
    <w:rsid w:val="08B41A04"/>
    <w:rsid w:val="08F46AA7"/>
    <w:rsid w:val="0A037D88"/>
    <w:rsid w:val="0A7E31A7"/>
    <w:rsid w:val="0A8B25CF"/>
    <w:rsid w:val="0AB8033A"/>
    <w:rsid w:val="0AC70254"/>
    <w:rsid w:val="0AF26B57"/>
    <w:rsid w:val="0B047567"/>
    <w:rsid w:val="0BAB76F6"/>
    <w:rsid w:val="0C3C5DA1"/>
    <w:rsid w:val="0C3D2E4E"/>
    <w:rsid w:val="0C7C1623"/>
    <w:rsid w:val="0CE54FDE"/>
    <w:rsid w:val="0CE6680D"/>
    <w:rsid w:val="0CF30B1F"/>
    <w:rsid w:val="0D214817"/>
    <w:rsid w:val="0D4505E9"/>
    <w:rsid w:val="0DD50BC0"/>
    <w:rsid w:val="0DF7784A"/>
    <w:rsid w:val="0E1D05F5"/>
    <w:rsid w:val="0E256A4A"/>
    <w:rsid w:val="0E463818"/>
    <w:rsid w:val="0EA25B1A"/>
    <w:rsid w:val="0ECD1325"/>
    <w:rsid w:val="0F3A4FF2"/>
    <w:rsid w:val="0F4E69BE"/>
    <w:rsid w:val="0F5A654A"/>
    <w:rsid w:val="0F5B6F13"/>
    <w:rsid w:val="0F992615"/>
    <w:rsid w:val="0FAB4813"/>
    <w:rsid w:val="0FB81088"/>
    <w:rsid w:val="0FED3546"/>
    <w:rsid w:val="10253DF0"/>
    <w:rsid w:val="10B07788"/>
    <w:rsid w:val="10CB38EA"/>
    <w:rsid w:val="10FC0153"/>
    <w:rsid w:val="116C45B5"/>
    <w:rsid w:val="11B60004"/>
    <w:rsid w:val="11B960F1"/>
    <w:rsid w:val="11E669C9"/>
    <w:rsid w:val="11F731AA"/>
    <w:rsid w:val="121D154A"/>
    <w:rsid w:val="12861DAA"/>
    <w:rsid w:val="12A731F1"/>
    <w:rsid w:val="12BB7F8C"/>
    <w:rsid w:val="130E4C51"/>
    <w:rsid w:val="1317662C"/>
    <w:rsid w:val="13A93100"/>
    <w:rsid w:val="13B2266D"/>
    <w:rsid w:val="13C70B48"/>
    <w:rsid w:val="13F07D65"/>
    <w:rsid w:val="143973FA"/>
    <w:rsid w:val="146641E8"/>
    <w:rsid w:val="157C69B0"/>
    <w:rsid w:val="160F540E"/>
    <w:rsid w:val="16636DC7"/>
    <w:rsid w:val="1686567A"/>
    <w:rsid w:val="17125C99"/>
    <w:rsid w:val="171F58F1"/>
    <w:rsid w:val="17566335"/>
    <w:rsid w:val="18340100"/>
    <w:rsid w:val="18AB5F80"/>
    <w:rsid w:val="193D2635"/>
    <w:rsid w:val="196472D8"/>
    <w:rsid w:val="19DC2DEE"/>
    <w:rsid w:val="19F66919"/>
    <w:rsid w:val="1A4D2EB3"/>
    <w:rsid w:val="1A4E6FC3"/>
    <w:rsid w:val="1A6C6097"/>
    <w:rsid w:val="1A7D7923"/>
    <w:rsid w:val="1B9034CB"/>
    <w:rsid w:val="1BED0EA5"/>
    <w:rsid w:val="1BF144C6"/>
    <w:rsid w:val="1C685784"/>
    <w:rsid w:val="1CC84BA2"/>
    <w:rsid w:val="1D4579DF"/>
    <w:rsid w:val="1DC42910"/>
    <w:rsid w:val="1E2E3EF1"/>
    <w:rsid w:val="1EA04592"/>
    <w:rsid w:val="1EB37A6C"/>
    <w:rsid w:val="1ED878EA"/>
    <w:rsid w:val="1EE35C19"/>
    <w:rsid w:val="1EE465E2"/>
    <w:rsid w:val="1F57599B"/>
    <w:rsid w:val="1F6A4D93"/>
    <w:rsid w:val="1F7E2174"/>
    <w:rsid w:val="20660C7E"/>
    <w:rsid w:val="20D16947"/>
    <w:rsid w:val="21263259"/>
    <w:rsid w:val="21831E7A"/>
    <w:rsid w:val="21E9658C"/>
    <w:rsid w:val="22096094"/>
    <w:rsid w:val="22ED6055"/>
    <w:rsid w:val="23737814"/>
    <w:rsid w:val="241724A7"/>
    <w:rsid w:val="241D40AA"/>
    <w:rsid w:val="244F261E"/>
    <w:rsid w:val="245476BF"/>
    <w:rsid w:val="247471EA"/>
    <w:rsid w:val="254A297F"/>
    <w:rsid w:val="25C552D7"/>
    <w:rsid w:val="266B3EA1"/>
    <w:rsid w:val="268C6486"/>
    <w:rsid w:val="26AF008C"/>
    <w:rsid w:val="273830D5"/>
    <w:rsid w:val="27E050B2"/>
    <w:rsid w:val="28120E48"/>
    <w:rsid w:val="28522F1A"/>
    <w:rsid w:val="28653758"/>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E92C76"/>
    <w:rsid w:val="2CF179D4"/>
    <w:rsid w:val="2D020A29"/>
    <w:rsid w:val="2DAB0CE2"/>
    <w:rsid w:val="2DDC40C9"/>
    <w:rsid w:val="2E022495"/>
    <w:rsid w:val="2E05689C"/>
    <w:rsid w:val="2EAE52E7"/>
    <w:rsid w:val="2F0B1FF6"/>
    <w:rsid w:val="2F6B42D3"/>
    <w:rsid w:val="2F7D5483"/>
    <w:rsid w:val="2FC260AC"/>
    <w:rsid w:val="30424043"/>
    <w:rsid w:val="30864A45"/>
    <w:rsid w:val="30884E2E"/>
    <w:rsid w:val="30A25898"/>
    <w:rsid w:val="30E3500C"/>
    <w:rsid w:val="314633F7"/>
    <w:rsid w:val="31597D8F"/>
    <w:rsid w:val="3172418C"/>
    <w:rsid w:val="317C672F"/>
    <w:rsid w:val="317D2253"/>
    <w:rsid w:val="31951352"/>
    <w:rsid w:val="31FD5E3D"/>
    <w:rsid w:val="31FE2663"/>
    <w:rsid w:val="326275DB"/>
    <w:rsid w:val="328B0F2B"/>
    <w:rsid w:val="33CC1C56"/>
    <w:rsid w:val="33E91F8B"/>
    <w:rsid w:val="341C4241"/>
    <w:rsid w:val="3424252D"/>
    <w:rsid w:val="34324308"/>
    <w:rsid w:val="345503B1"/>
    <w:rsid w:val="345A279A"/>
    <w:rsid w:val="34D97D06"/>
    <w:rsid w:val="35466992"/>
    <w:rsid w:val="35E67D97"/>
    <w:rsid w:val="360E323F"/>
    <w:rsid w:val="36365C97"/>
    <w:rsid w:val="36AD5606"/>
    <w:rsid w:val="36B5176A"/>
    <w:rsid w:val="382B3CE3"/>
    <w:rsid w:val="387B5A3F"/>
    <w:rsid w:val="389357E0"/>
    <w:rsid w:val="39BF73B4"/>
    <w:rsid w:val="39D907C1"/>
    <w:rsid w:val="39EC6D7C"/>
    <w:rsid w:val="3A4E5EEB"/>
    <w:rsid w:val="3A4F679A"/>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F5742E"/>
    <w:rsid w:val="3E3C7F0B"/>
    <w:rsid w:val="3F177A97"/>
    <w:rsid w:val="3F2819C2"/>
    <w:rsid w:val="3F4307FB"/>
    <w:rsid w:val="3F7E37E6"/>
    <w:rsid w:val="4154670D"/>
    <w:rsid w:val="41630C8F"/>
    <w:rsid w:val="41B00E76"/>
    <w:rsid w:val="41BA7AB7"/>
    <w:rsid w:val="42AB4A7C"/>
    <w:rsid w:val="432E4D3F"/>
    <w:rsid w:val="438B0DF7"/>
    <w:rsid w:val="43A56C2A"/>
    <w:rsid w:val="43AD5550"/>
    <w:rsid w:val="43DC4B8F"/>
    <w:rsid w:val="43F22F97"/>
    <w:rsid w:val="44052530"/>
    <w:rsid w:val="441E6A40"/>
    <w:rsid w:val="445F686B"/>
    <w:rsid w:val="4467447A"/>
    <w:rsid w:val="44AA286A"/>
    <w:rsid w:val="44EE7FD3"/>
    <w:rsid w:val="44F30F08"/>
    <w:rsid w:val="45736342"/>
    <w:rsid w:val="46185CB6"/>
    <w:rsid w:val="465B3C4E"/>
    <w:rsid w:val="47575185"/>
    <w:rsid w:val="47F2204A"/>
    <w:rsid w:val="49076765"/>
    <w:rsid w:val="492863D3"/>
    <w:rsid w:val="497854A1"/>
    <w:rsid w:val="4983064E"/>
    <w:rsid w:val="49914058"/>
    <w:rsid w:val="49BD66B2"/>
    <w:rsid w:val="49C47570"/>
    <w:rsid w:val="49C94200"/>
    <w:rsid w:val="4A2C2D6F"/>
    <w:rsid w:val="4A3004F6"/>
    <w:rsid w:val="4ABC0E6A"/>
    <w:rsid w:val="4ABD148A"/>
    <w:rsid w:val="4AC50527"/>
    <w:rsid w:val="4AEC08BA"/>
    <w:rsid w:val="4AFF6048"/>
    <w:rsid w:val="4B0435FA"/>
    <w:rsid w:val="4B281BA7"/>
    <w:rsid w:val="4B453396"/>
    <w:rsid w:val="4B6161BC"/>
    <w:rsid w:val="4C0A4C58"/>
    <w:rsid w:val="4C1A34C1"/>
    <w:rsid w:val="4C48041C"/>
    <w:rsid w:val="4C890613"/>
    <w:rsid w:val="4C9D1798"/>
    <w:rsid w:val="4CD2031C"/>
    <w:rsid w:val="4D2114D2"/>
    <w:rsid w:val="4E132439"/>
    <w:rsid w:val="4E3D0BC1"/>
    <w:rsid w:val="4EAF7C7E"/>
    <w:rsid w:val="4EE55515"/>
    <w:rsid w:val="4F3456C7"/>
    <w:rsid w:val="4F48237E"/>
    <w:rsid w:val="4F6D17FB"/>
    <w:rsid w:val="4FC46A39"/>
    <w:rsid w:val="4FFC461A"/>
    <w:rsid w:val="50022248"/>
    <w:rsid w:val="50172112"/>
    <w:rsid w:val="504D7009"/>
    <w:rsid w:val="506A2DC4"/>
    <w:rsid w:val="509803EE"/>
    <w:rsid w:val="50AB04D1"/>
    <w:rsid w:val="51044DFF"/>
    <w:rsid w:val="516A08CA"/>
    <w:rsid w:val="518B1BFB"/>
    <w:rsid w:val="518D7608"/>
    <w:rsid w:val="519F2F98"/>
    <w:rsid w:val="51A44449"/>
    <w:rsid w:val="51AA0223"/>
    <w:rsid w:val="51AF08A9"/>
    <w:rsid w:val="525A5AE6"/>
    <w:rsid w:val="527846CC"/>
    <w:rsid w:val="527D3468"/>
    <w:rsid w:val="53AF6534"/>
    <w:rsid w:val="53C07A8D"/>
    <w:rsid w:val="54352BB5"/>
    <w:rsid w:val="546C48B9"/>
    <w:rsid w:val="548073DE"/>
    <w:rsid w:val="54B44351"/>
    <w:rsid w:val="555B64D8"/>
    <w:rsid w:val="55B554A1"/>
    <w:rsid w:val="55DA7187"/>
    <w:rsid w:val="55E83910"/>
    <w:rsid w:val="56225BB1"/>
    <w:rsid w:val="569778DE"/>
    <w:rsid w:val="56F8305B"/>
    <w:rsid w:val="570B18ED"/>
    <w:rsid w:val="573C5EAB"/>
    <w:rsid w:val="578162C2"/>
    <w:rsid w:val="582A09EB"/>
    <w:rsid w:val="585119A0"/>
    <w:rsid w:val="585A6C1C"/>
    <w:rsid w:val="58A008E6"/>
    <w:rsid w:val="59183190"/>
    <w:rsid w:val="591B54F6"/>
    <w:rsid w:val="59740EE4"/>
    <w:rsid w:val="59C25EFA"/>
    <w:rsid w:val="5A141B56"/>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CD187E"/>
    <w:rsid w:val="601A4207"/>
    <w:rsid w:val="60896752"/>
    <w:rsid w:val="60BA2738"/>
    <w:rsid w:val="613F1A6F"/>
    <w:rsid w:val="6146117E"/>
    <w:rsid w:val="617A3E75"/>
    <w:rsid w:val="62222F83"/>
    <w:rsid w:val="622349B4"/>
    <w:rsid w:val="62585B83"/>
    <w:rsid w:val="62587DC2"/>
    <w:rsid w:val="62C81DDF"/>
    <w:rsid w:val="62E55633"/>
    <w:rsid w:val="63162100"/>
    <w:rsid w:val="63DD4CBB"/>
    <w:rsid w:val="64072FE9"/>
    <w:rsid w:val="644F75D4"/>
    <w:rsid w:val="6487290B"/>
    <w:rsid w:val="65880F04"/>
    <w:rsid w:val="65BB001D"/>
    <w:rsid w:val="65FF6D0C"/>
    <w:rsid w:val="662D0352"/>
    <w:rsid w:val="669A01C4"/>
    <w:rsid w:val="66D63764"/>
    <w:rsid w:val="66DD6107"/>
    <w:rsid w:val="678213EA"/>
    <w:rsid w:val="6790224F"/>
    <w:rsid w:val="679830B8"/>
    <w:rsid w:val="68A66603"/>
    <w:rsid w:val="68D20106"/>
    <w:rsid w:val="692574FC"/>
    <w:rsid w:val="69E37385"/>
    <w:rsid w:val="6A030638"/>
    <w:rsid w:val="6A6E211E"/>
    <w:rsid w:val="6A9A17FD"/>
    <w:rsid w:val="6A9E388D"/>
    <w:rsid w:val="6AB46DA8"/>
    <w:rsid w:val="6ACF5692"/>
    <w:rsid w:val="6B195755"/>
    <w:rsid w:val="6B6366CB"/>
    <w:rsid w:val="6B8921A3"/>
    <w:rsid w:val="6C3D112F"/>
    <w:rsid w:val="6C494E84"/>
    <w:rsid w:val="6C843645"/>
    <w:rsid w:val="6C8866C0"/>
    <w:rsid w:val="6C912DB1"/>
    <w:rsid w:val="6C93511E"/>
    <w:rsid w:val="6CEF24DF"/>
    <w:rsid w:val="6D190F47"/>
    <w:rsid w:val="6DB86FC0"/>
    <w:rsid w:val="6DD06306"/>
    <w:rsid w:val="6DDB21B6"/>
    <w:rsid w:val="6E42069F"/>
    <w:rsid w:val="6E95615F"/>
    <w:rsid w:val="6EBF142E"/>
    <w:rsid w:val="6F5350B5"/>
    <w:rsid w:val="6FB06926"/>
    <w:rsid w:val="70277A46"/>
    <w:rsid w:val="70453998"/>
    <w:rsid w:val="70602A0B"/>
    <w:rsid w:val="7085295E"/>
    <w:rsid w:val="70CC4A0A"/>
    <w:rsid w:val="71A5098C"/>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9E664A"/>
    <w:rsid w:val="76AB2528"/>
    <w:rsid w:val="76D06637"/>
    <w:rsid w:val="770F2826"/>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320E12"/>
    <w:rsid w:val="7A6115E2"/>
    <w:rsid w:val="7AA64C33"/>
    <w:rsid w:val="7AE35816"/>
    <w:rsid w:val="7B4E0340"/>
    <w:rsid w:val="7B4E05AB"/>
    <w:rsid w:val="7B774727"/>
    <w:rsid w:val="7BBF455D"/>
    <w:rsid w:val="7CC540FB"/>
    <w:rsid w:val="7D1032E2"/>
    <w:rsid w:val="7D837199"/>
    <w:rsid w:val="7D9821B4"/>
    <w:rsid w:val="7DC1346F"/>
    <w:rsid w:val="7E70237A"/>
    <w:rsid w:val="7E711776"/>
    <w:rsid w:val="7E885398"/>
    <w:rsid w:val="7EC178D1"/>
    <w:rsid w:val="7ED80951"/>
    <w:rsid w:val="7EFD0104"/>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customStyle="1" w:styleId="2">
    <w:name w:val="表格文字"/>
    <w:basedOn w:val="3"/>
    <w:autoRedefine/>
    <w:qFormat/>
    <w:uiPriority w:val="0"/>
    <w:pPr>
      <w:spacing w:before="25" w:after="25" w:line="240" w:lineRule="auto"/>
      <w:ind w:firstLine="0"/>
      <w:jc w:val="left"/>
    </w:pPr>
    <w:rPr>
      <w:bCs/>
      <w:spacing w:val="10"/>
      <w:kern w:val="0"/>
      <w:sz w:val="24"/>
    </w:rPr>
  </w:style>
  <w:style w:type="paragraph" w:customStyle="1" w:styleId="3">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paragraph" w:styleId="6">
    <w:name w:val="Normal Indent"/>
    <w:basedOn w:val="1"/>
    <w:autoRedefine/>
    <w:qFormat/>
    <w:uiPriority w:val="0"/>
    <w:pPr>
      <w:ind w:firstLine="420"/>
    </w:pPr>
    <w:rPr>
      <w:szCs w:val="20"/>
    </w:rPr>
  </w:style>
  <w:style w:type="paragraph" w:styleId="7">
    <w:name w:val="index 6"/>
    <w:basedOn w:val="1"/>
    <w:next w:val="1"/>
    <w:autoRedefine/>
    <w:qFormat/>
    <w:uiPriority w:val="0"/>
    <w:pPr>
      <w:tabs>
        <w:tab w:val="left" w:pos="426"/>
      </w:tabs>
      <w:ind w:left="2100"/>
    </w:pPr>
  </w:style>
  <w:style w:type="paragraph" w:styleId="8">
    <w:name w:val="Body Text"/>
    <w:basedOn w:val="1"/>
    <w:next w:val="9"/>
    <w:autoRedefine/>
    <w:qFormat/>
    <w:uiPriority w:val="0"/>
    <w:pPr>
      <w:tabs>
        <w:tab w:val="left" w:pos="426"/>
      </w:tabs>
      <w:spacing w:line="360" w:lineRule="auto"/>
    </w:pPr>
    <w:rPr>
      <w:b/>
      <w:bCs/>
      <w:sz w:val="24"/>
    </w:rPr>
  </w:style>
  <w:style w:type="paragraph" w:styleId="9">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10">
    <w:name w:val="Plain Text"/>
    <w:basedOn w:val="1"/>
    <w:link w:val="25"/>
    <w:autoRedefine/>
    <w:qFormat/>
    <w:uiPriority w:val="0"/>
    <w:rPr>
      <w:rFonts w:ascii="宋体" w:hAnsi="Courier New" w:eastAsiaTheme="minorEastAsia" w:cstheme="minorBidi"/>
      <w:szCs w:val="20"/>
    </w:rPr>
  </w:style>
  <w:style w:type="paragraph" w:styleId="11">
    <w:name w:val="footer"/>
    <w:basedOn w:val="1"/>
    <w:link w:val="24"/>
    <w:autoRedefine/>
    <w:unhideWhenUsed/>
    <w:qFormat/>
    <w:uiPriority w:val="99"/>
    <w:pPr>
      <w:tabs>
        <w:tab w:val="center" w:pos="4153"/>
        <w:tab w:val="right" w:pos="8306"/>
      </w:tabs>
      <w:snapToGrid w:val="0"/>
      <w:jc w:val="left"/>
    </w:pPr>
    <w:rPr>
      <w:sz w:val="18"/>
      <w:szCs w:val="18"/>
    </w:rPr>
  </w:style>
  <w:style w:type="paragraph" w:styleId="12">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semiHidden/>
    <w:qFormat/>
    <w:uiPriority w:val="0"/>
    <w:pPr>
      <w:spacing w:before="120" w:after="120"/>
      <w:jc w:val="left"/>
    </w:pPr>
    <w:rPr>
      <w:b/>
      <w:bCs/>
      <w:caps/>
    </w:rPr>
  </w:style>
  <w:style w:type="paragraph" w:styleId="14">
    <w:name w:val="Body Text 2"/>
    <w:basedOn w:val="1"/>
    <w:autoRedefine/>
    <w:unhideWhenUsed/>
    <w:qFormat/>
    <w:uiPriority w:val="99"/>
    <w:pPr>
      <w:spacing w:after="120" w:line="480" w:lineRule="auto"/>
    </w:p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autoRedefine/>
    <w:qFormat/>
    <w:uiPriority w:val="0"/>
    <w:rPr>
      <w:b/>
    </w:rPr>
  </w:style>
  <w:style w:type="character" w:styleId="19">
    <w:name w:val="Hyperlink"/>
    <w:basedOn w:val="17"/>
    <w:autoRedefine/>
    <w:qFormat/>
    <w:uiPriority w:val="0"/>
    <w:rPr>
      <w:color w:val="0000FF"/>
      <w:u w:val="single"/>
    </w:rPr>
  </w:style>
  <w:style w:type="paragraph" w:customStyle="1" w:styleId="20">
    <w:name w:val="_Style 1"/>
    <w:basedOn w:val="1"/>
    <w:autoRedefine/>
    <w:qFormat/>
    <w:uiPriority w:val="99"/>
    <w:pPr>
      <w:ind w:firstLine="420" w:firstLineChars="200"/>
    </w:pPr>
  </w:style>
  <w:style w:type="paragraph" w:customStyle="1" w:styleId="21">
    <w:name w:val="纯文本1"/>
    <w:basedOn w:val="1"/>
    <w:autoRedefine/>
    <w:qFormat/>
    <w:uiPriority w:val="0"/>
    <w:rPr>
      <w:rFonts w:ascii="宋体" w:hAnsi="Courier New"/>
      <w:szCs w:val="20"/>
    </w:rPr>
  </w:style>
  <w:style w:type="paragraph" w:customStyle="1" w:styleId="22">
    <w:name w:val="Default"/>
    <w:next w:val="7"/>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character" w:customStyle="1" w:styleId="23">
    <w:name w:val="页眉 Char"/>
    <w:basedOn w:val="17"/>
    <w:link w:val="12"/>
    <w:autoRedefine/>
    <w:qFormat/>
    <w:uiPriority w:val="99"/>
    <w:rPr>
      <w:sz w:val="18"/>
      <w:szCs w:val="18"/>
    </w:rPr>
  </w:style>
  <w:style w:type="character" w:customStyle="1" w:styleId="24">
    <w:name w:val="页脚 Char"/>
    <w:basedOn w:val="17"/>
    <w:link w:val="11"/>
    <w:autoRedefine/>
    <w:qFormat/>
    <w:uiPriority w:val="99"/>
    <w:rPr>
      <w:sz w:val="18"/>
      <w:szCs w:val="18"/>
    </w:rPr>
  </w:style>
  <w:style w:type="character" w:customStyle="1" w:styleId="25">
    <w:name w:val="纯文本 Char"/>
    <w:basedOn w:val="17"/>
    <w:link w:val="10"/>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7"/>
    <w:link w:val="5"/>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7"/>
    <w:autoRedefine/>
    <w:qFormat/>
    <w:uiPriority w:val="0"/>
    <w:rPr>
      <w:rFonts w:hint="eastAsia" w:ascii="宋体" w:hAnsi="宋体" w:eastAsia="宋体" w:cs="宋体"/>
      <w:color w:val="000000"/>
      <w:sz w:val="22"/>
      <w:szCs w:val="22"/>
      <w:u w:val="none"/>
    </w:rPr>
  </w:style>
  <w:style w:type="character" w:customStyle="1" w:styleId="31">
    <w:name w:val="font31"/>
    <w:basedOn w:val="17"/>
    <w:autoRedefine/>
    <w:qFormat/>
    <w:uiPriority w:val="0"/>
    <w:rPr>
      <w:rFonts w:hint="eastAsia" w:ascii="宋体" w:hAnsi="宋体" w:eastAsia="宋体" w:cs="宋体"/>
      <w:color w:val="FF0000"/>
      <w:sz w:val="22"/>
      <w:szCs w:val="22"/>
      <w:u w:val="none"/>
    </w:rPr>
  </w:style>
  <w:style w:type="character" w:customStyle="1" w:styleId="32">
    <w:name w:val="font21"/>
    <w:basedOn w:val="17"/>
    <w:autoRedefine/>
    <w:qFormat/>
    <w:uiPriority w:val="0"/>
    <w:rPr>
      <w:rFonts w:hint="eastAsia" w:ascii="宋体" w:hAnsi="宋体" w:eastAsia="宋体" w:cs="宋体"/>
      <w:color w:val="000000"/>
      <w:sz w:val="20"/>
      <w:szCs w:val="20"/>
      <w:u w:val="none"/>
    </w:rPr>
  </w:style>
  <w:style w:type="character" w:customStyle="1" w:styleId="33">
    <w:name w:val="font01"/>
    <w:basedOn w:val="17"/>
    <w:autoRedefine/>
    <w:qFormat/>
    <w:uiPriority w:val="0"/>
    <w:rPr>
      <w:rFonts w:hint="default" w:ascii="Times New Roman" w:hAnsi="Times New Roman" w:cs="Times New Roman"/>
      <w:color w:val="000000"/>
      <w:sz w:val="20"/>
      <w:szCs w:val="20"/>
      <w:u w:val="none"/>
    </w:rPr>
  </w:style>
  <w:style w:type="character" w:customStyle="1" w:styleId="34">
    <w:name w:val="font81"/>
    <w:basedOn w:val="17"/>
    <w:autoRedefine/>
    <w:qFormat/>
    <w:uiPriority w:val="0"/>
    <w:rPr>
      <w:rFonts w:ascii="Calibri" w:hAnsi="Calibri" w:cs="Calibri"/>
      <w:color w:val="000000"/>
      <w:sz w:val="20"/>
      <w:szCs w:val="20"/>
      <w:u w:val="none"/>
    </w:rPr>
  </w:style>
  <w:style w:type="character" w:customStyle="1" w:styleId="35">
    <w:name w:val="font71"/>
    <w:basedOn w:val="17"/>
    <w:autoRedefine/>
    <w:qFormat/>
    <w:uiPriority w:val="0"/>
    <w:rPr>
      <w:rFonts w:ascii="Calibri" w:hAnsi="Calibri" w:cs="Calibri"/>
      <w:color w:val="000000"/>
      <w:sz w:val="20"/>
      <w:szCs w:val="20"/>
      <w:u w:val="none"/>
    </w:rPr>
  </w:style>
  <w:style w:type="character" w:customStyle="1" w:styleId="36">
    <w:name w:val="font91"/>
    <w:basedOn w:val="17"/>
    <w:autoRedefine/>
    <w:qFormat/>
    <w:uiPriority w:val="0"/>
    <w:rPr>
      <w:rFonts w:ascii="Calibri" w:hAnsi="Calibri" w:cs="Calibri"/>
      <w:color w:val="000000"/>
      <w:sz w:val="20"/>
      <w:szCs w:val="20"/>
      <w:u w:val="none"/>
    </w:rPr>
  </w:style>
  <w:style w:type="character" w:customStyle="1" w:styleId="37">
    <w:name w:val="font61"/>
    <w:basedOn w:val="17"/>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37</Pages>
  <Words>5457</Words>
  <Characters>6295</Characters>
  <Lines>64</Lines>
  <Paragraphs>18</Paragraphs>
  <TotalTime>4</TotalTime>
  <ScaleCrop>false</ScaleCrop>
  <LinksUpToDate>false</LinksUpToDate>
  <CharactersWithSpaces>6714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鑫</cp:lastModifiedBy>
  <cp:lastPrinted>2024-09-11T02:35:00Z</cp:lastPrinted>
  <dcterms:modified xsi:type="dcterms:W3CDTF">2026-05-27T00:45:37Z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