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65E8E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sz w:val="44"/>
          <w:szCs w:val="44"/>
          <w:lang w:val="en-US" w:eastAsia="zh-CN"/>
        </w:rPr>
      </w:pPr>
      <w:r>
        <w:rPr>
          <w:rFonts w:hint="eastAsia" w:ascii="宋体" w:hAnsi="宋体" w:eastAsia="宋体" w:cs="宋体"/>
          <w:b w:val="0"/>
          <w:bCs/>
          <w:sz w:val="44"/>
          <w:szCs w:val="44"/>
          <w:lang w:val="en-US" w:eastAsia="zh-CN"/>
        </w:rPr>
        <w:t>商务车辆维修保养</w:t>
      </w:r>
      <w:bookmarkStart w:id="2" w:name="_GoBack"/>
      <w:bookmarkEnd w:id="2"/>
      <w:r>
        <w:rPr>
          <w:rFonts w:hint="eastAsia" w:ascii="宋体" w:hAnsi="宋体" w:eastAsia="宋体" w:cs="宋体"/>
          <w:b w:val="0"/>
          <w:bCs/>
          <w:sz w:val="44"/>
          <w:szCs w:val="44"/>
          <w:lang w:val="en-US" w:eastAsia="zh-CN"/>
        </w:rPr>
        <w:t>服务项目</w:t>
      </w:r>
    </w:p>
    <w:p w14:paraId="2DA8BB60">
      <w:pPr>
        <w:ind w:firstLine="640" w:firstLineChars="200"/>
        <w:rPr>
          <w:rFonts w:hint="eastAsia" w:ascii="仿宋_GB2312" w:hAnsi="仿宋_GB2312" w:eastAsia="仿宋_GB2312" w:cs="仿宋_GB2312"/>
          <w:sz w:val="32"/>
          <w:szCs w:val="32"/>
        </w:rPr>
      </w:pPr>
    </w:p>
    <w:p w14:paraId="124F6C14">
      <w:pPr>
        <w:ind w:firstLine="640" w:firstLineChars="200"/>
        <w:rPr>
          <w:rFonts w:hint="default" w:ascii="仿宋_GB2312" w:hAnsi="仿宋_GB2312" w:eastAsia="仿宋_GB2312" w:cs="仿宋_GB2312"/>
          <w:b/>
          <w:sz w:val="32"/>
          <w:szCs w:val="32"/>
          <w:lang w:val="en-US"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b/>
          <w:sz w:val="32"/>
          <w:szCs w:val="32"/>
          <w:lang w:val="en-US" w:eastAsia="zh-CN"/>
        </w:rPr>
        <w:t>一</w:t>
      </w:r>
      <w:r>
        <w:rPr>
          <w:rFonts w:hint="eastAsia" w:ascii="仿宋_GB2312" w:hAnsi="仿宋_GB2312" w:eastAsia="仿宋_GB2312" w:cs="仿宋_GB2312"/>
          <w:b/>
          <w:sz w:val="32"/>
          <w:szCs w:val="32"/>
        </w:rPr>
        <w:t>、</w:t>
      </w:r>
      <w:r>
        <w:rPr>
          <w:rFonts w:hint="eastAsia" w:ascii="仿宋_GB2312" w:hAnsi="仿宋_GB2312" w:eastAsia="仿宋_GB2312" w:cs="仿宋_GB2312"/>
          <w:b/>
          <w:sz w:val="32"/>
          <w:szCs w:val="32"/>
          <w:lang w:val="en-US" w:eastAsia="zh-CN"/>
        </w:rPr>
        <w:t>报价要求</w:t>
      </w:r>
    </w:p>
    <w:p w14:paraId="09155663">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1.支付上限：9万元。</w:t>
      </w:r>
    </w:p>
    <w:p w14:paraId="4B68FD3F">
      <w:pPr>
        <w:widowControl/>
        <w:spacing w:line="360" w:lineRule="auto"/>
        <w:ind w:firstLine="643" w:firstLineChars="200"/>
        <w:rPr>
          <w:rFonts w:hint="eastAsia" w:ascii="仿宋_GB2312" w:hAnsi="仿宋_GB2312" w:eastAsia="仿宋_GB2312" w:cs="仿宋_GB2312"/>
          <w:b/>
          <w:sz w:val="32"/>
          <w:szCs w:val="32"/>
          <w:lang w:val="en-US" w:eastAsia="zh-CN"/>
        </w:rPr>
      </w:pPr>
      <w:r>
        <w:rPr>
          <w:rFonts w:hint="eastAsia" w:ascii="仿宋_GB2312" w:hAnsi="仿宋_GB2312" w:eastAsia="仿宋_GB2312" w:cs="仿宋_GB2312"/>
          <w:b/>
          <w:sz w:val="32"/>
          <w:szCs w:val="32"/>
          <w:lang w:val="en-US" w:eastAsia="zh-CN"/>
        </w:rPr>
        <w:t>二、项目基本概况</w:t>
      </w:r>
    </w:p>
    <w:p w14:paraId="145A4095">
      <w:pPr>
        <w:pStyle w:val="8"/>
        <w:keepNext w:val="0"/>
        <w:keepLines w:val="0"/>
        <w:pageBreakBefore w:val="0"/>
        <w:widowControl w:val="0"/>
        <w:numPr>
          <w:ilvl w:val="0"/>
          <w:numId w:val="0"/>
        </w:numPr>
        <w:tabs>
          <w:tab w:val="left" w:pos="540"/>
        </w:tabs>
        <w:kinsoku/>
        <w:wordWrap/>
        <w:overflowPunct/>
        <w:topLinePunct w:val="0"/>
        <w:autoSpaceDE/>
        <w:autoSpaceDN/>
        <w:bidi w:val="0"/>
        <w:adjustRightInd w:val="0"/>
        <w:snapToGrid w:val="0"/>
        <w:spacing w:line="360" w:lineRule="auto"/>
        <w:ind w:leftChars="0" w:firstLine="640" w:firstLineChars="200"/>
        <w:textAlignment w:val="auto"/>
        <w:rPr>
          <w:rFonts w:hint="default" w:ascii="仿宋_GB2312" w:hAnsi="仿宋_GB2312" w:eastAsia="仿宋_GB2312" w:cs="仿宋_GB2312"/>
          <w:bCs/>
          <w:color w:val="auto"/>
          <w:sz w:val="32"/>
          <w:szCs w:val="32"/>
          <w:highlight w:val="none"/>
          <w:lang w:val="en-US" w:eastAsia="zh-CN"/>
        </w:rPr>
      </w:pPr>
      <w:r>
        <w:rPr>
          <w:rFonts w:hint="eastAsia" w:ascii="仿宋_GB2312" w:hAnsi="仿宋_GB2312" w:eastAsia="仿宋_GB2312" w:cs="仿宋_GB2312"/>
          <w:bCs/>
          <w:color w:val="auto"/>
          <w:sz w:val="32"/>
          <w:szCs w:val="32"/>
          <w:highlight w:val="none"/>
        </w:rPr>
        <w:t>为确保医院车辆行车安全，特采购本项目。</w:t>
      </w:r>
    </w:p>
    <w:p w14:paraId="7F94086B">
      <w:pPr>
        <w:ind w:firstLine="643" w:firstLineChars="200"/>
        <w:rPr>
          <w:rFonts w:hint="default" w:ascii="仿宋_GB2312" w:hAnsi="仿宋_GB2312" w:eastAsia="仿宋_GB2312" w:cs="仿宋_GB2312"/>
          <w:b/>
          <w:sz w:val="32"/>
          <w:szCs w:val="32"/>
          <w:lang w:val="en-US" w:eastAsia="zh-CN"/>
        </w:rPr>
      </w:pPr>
      <w:bookmarkStart w:id="0" w:name="_Toc11426271"/>
      <w:r>
        <w:rPr>
          <w:rFonts w:hint="eastAsia" w:ascii="仿宋_GB2312" w:hAnsi="仿宋_GB2312" w:eastAsia="仿宋_GB2312" w:cs="仿宋_GB2312"/>
          <w:b/>
          <w:sz w:val="32"/>
          <w:szCs w:val="32"/>
          <w:lang w:val="en-US" w:eastAsia="zh-CN"/>
        </w:rPr>
        <w:t>三、采购需求</w:t>
      </w:r>
    </w:p>
    <w:p w14:paraId="309ADD49">
      <w:pPr>
        <w:ind w:firstLine="640" w:firstLineChars="200"/>
        <w:rPr>
          <w:rFonts w:hint="eastAsia" w:ascii="仿宋_GB2312" w:hAnsi="仿宋_GB2312" w:eastAsia="仿宋_GB2312" w:cs="仿宋_GB2312"/>
          <w:b w:val="0"/>
          <w:bCs/>
          <w:color w:val="auto"/>
          <w:kern w:val="2"/>
          <w:sz w:val="32"/>
          <w:szCs w:val="32"/>
          <w:highlight w:val="none"/>
          <w:lang w:val="en-US" w:eastAsia="zh-CN" w:bidi="ar-SA"/>
        </w:rPr>
      </w:pPr>
      <w:r>
        <w:rPr>
          <w:rFonts w:hint="eastAsia" w:ascii="仿宋_GB2312" w:hAnsi="仿宋_GB2312" w:eastAsia="仿宋_GB2312" w:cs="仿宋_GB2312"/>
          <w:b w:val="0"/>
          <w:bCs/>
          <w:color w:val="auto"/>
          <w:kern w:val="2"/>
          <w:sz w:val="32"/>
          <w:szCs w:val="32"/>
          <w:highlight w:val="none"/>
          <w:lang w:val="en-US" w:eastAsia="zh-CN" w:bidi="ar-SA"/>
        </w:rPr>
        <w:t>1.投标人应保证按深圳物价局汽车维修工时定额收费标准、维修，文明生产、诚实守信、合法经营。</w:t>
      </w:r>
    </w:p>
    <w:p w14:paraId="52185864">
      <w:pPr>
        <w:ind w:firstLine="640" w:firstLineChars="200"/>
        <w:rPr>
          <w:rFonts w:hint="eastAsia" w:ascii="仿宋_GB2312" w:hAnsi="仿宋_GB2312" w:eastAsia="仿宋_GB2312" w:cs="仿宋_GB2312"/>
          <w:b w:val="0"/>
          <w:bCs/>
          <w:color w:val="auto"/>
          <w:kern w:val="2"/>
          <w:sz w:val="32"/>
          <w:szCs w:val="32"/>
          <w:highlight w:val="none"/>
          <w:lang w:val="en-US" w:eastAsia="zh-CN" w:bidi="ar-SA"/>
        </w:rPr>
      </w:pPr>
      <w:r>
        <w:rPr>
          <w:rFonts w:hint="eastAsia" w:ascii="仿宋_GB2312" w:hAnsi="仿宋_GB2312" w:eastAsia="仿宋_GB2312" w:cs="仿宋_GB2312"/>
          <w:b w:val="0"/>
          <w:bCs/>
          <w:color w:val="auto"/>
          <w:kern w:val="2"/>
          <w:sz w:val="32"/>
          <w:szCs w:val="32"/>
          <w:highlight w:val="none"/>
          <w:lang w:val="en-US" w:eastAsia="zh-CN" w:bidi="ar-SA"/>
        </w:rPr>
        <w:t>2.投标人应设立应急电话，实行24小时专人值班。</w:t>
      </w:r>
    </w:p>
    <w:p w14:paraId="7C5CBBAA">
      <w:pPr>
        <w:ind w:firstLine="640" w:firstLineChars="200"/>
        <w:rPr>
          <w:rFonts w:hint="eastAsia" w:ascii="仿宋_GB2312" w:hAnsi="仿宋_GB2312" w:eastAsia="仿宋_GB2312" w:cs="仿宋_GB2312"/>
          <w:b w:val="0"/>
          <w:bCs/>
          <w:color w:val="auto"/>
          <w:kern w:val="2"/>
          <w:sz w:val="32"/>
          <w:szCs w:val="32"/>
          <w:highlight w:val="none"/>
          <w:lang w:val="en-US" w:eastAsia="zh-CN" w:bidi="ar-SA"/>
        </w:rPr>
      </w:pPr>
      <w:r>
        <w:rPr>
          <w:rFonts w:hint="eastAsia" w:ascii="仿宋_GB2312" w:hAnsi="仿宋_GB2312" w:eastAsia="仿宋_GB2312" w:cs="仿宋_GB2312"/>
          <w:b w:val="0"/>
          <w:bCs/>
          <w:color w:val="auto"/>
          <w:kern w:val="2"/>
          <w:sz w:val="32"/>
          <w:szCs w:val="32"/>
          <w:highlight w:val="none"/>
          <w:lang w:val="en-US" w:eastAsia="zh-CN" w:bidi="ar-SA"/>
        </w:rPr>
        <w:t>3.投标人应保证外出救援服务项目在采购人规定的时间内到达现场：即龙岗中心城内30分钟内到达，龙岗中心城外60分钟内到达，深圳市区90分钟内到达，并免收外出救援费，协助办理车辆事故处理，结案及保险索赔。</w:t>
      </w:r>
    </w:p>
    <w:p w14:paraId="6FBA40C2">
      <w:pPr>
        <w:ind w:firstLine="640" w:firstLineChars="200"/>
        <w:rPr>
          <w:rFonts w:hint="eastAsia" w:ascii="仿宋_GB2312" w:hAnsi="仿宋_GB2312" w:eastAsia="仿宋_GB2312" w:cs="仿宋_GB2312"/>
          <w:b w:val="0"/>
          <w:bCs/>
          <w:color w:val="auto"/>
          <w:kern w:val="2"/>
          <w:sz w:val="32"/>
          <w:szCs w:val="32"/>
          <w:highlight w:val="none"/>
          <w:lang w:val="en-US" w:eastAsia="zh-CN" w:bidi="ar-SA"/>
        </w:rPr>
      </w:pPr>
      <w:r>
        <w:rPr>
          <w:rFonts w:hint="eastAsia" w:ascii="仿宋_GB2312" w:hAnsi="仿宋_GB2312" w:eastAsia="仿宋_GB2312" w:cs="仿宋_GB2312"/>
          <w:b w:val="0"/>
          <w:bCs/>
          <w:color w:val="auto"/>
          <w:kern w:val="2"/>
          <w:sz w:val="32"/>
          <w:szCs w:val="32"/>
          <w:highlight w:val="none"/>
          <w:lang w:val="en-US" w:eastAsia="zh-CN" w:bidi="ar-SA"/>
        </w:rPr>
        <w:t>4.投标人免费提供深圳区域违章停车的违章处理，或最大程度减少以上情况所造成的损失或费用，避免一些不必要的经济损失。</w:t>
      </w:r>
    </w:p>
    <w:p w14:paraId="6ECFA0E7">
      <w:pPr>
        <w:ind w:firstLine="640" w:firstLineChars="200"/>
        <w:rPr>
          <w:rFonts w:hint="eastAsia" w:ascii="仿宋_GB2312" w:hAnsi="仿宋_GB2312" w:eastAsia="仿宋_GB2312" w:cs="仿宋_GB2312"/>
          <w:b w:val="0"/>
          <w:bCs/>
          <w:color w:val="auto"/>
          <w:kern w:val="2"/>
          <w:sz w:val="32"/>
          <w:szCs w:val="32"/>
          <w:highlight w:val="none"/>
          <w:lang w:val="en-US" w:eastAsia="zh-CN" w:bidi="ar-SA"/>
        </w:rPr>
      </w:pPr>
      <w:r>
        <w:rPr>
          <w:rFonts w:hint="eastAsia" w:ascii="仿宋_GB2312" w:hAnsi="仿宋_GB2312" w:eastAsia="仿宋_GB2312" w:cs="仿宋_GB2312"/>
          <w:b w:val="0"/>
          <w:bCs/>
          <w:color w:val="auto"/>
          <w:kern w:val="2"/>
          <w:sz w:val="32"/>
          <w:szCs w:val="32"/>
          <w:highlight w:val="none"/>
          <w:lang w:val="en-US" w:eastAsia="zh-CN" w:bidi="ar-SA"/>
        </w:rPr>
        <w:t>5.投标人应提供24小时免费拖车、修车服务（深圳区域、全天候），提供免费上门接送车服务，提供免费车辆洗车、吸尘服务。</w:t>
      </w:r>
    </w:p>
    <w:p w14:paraId="62175B0A">
      <w:pPr>
        <w:ind w:firstLine="640" w:firstLineChars="200"/>
        <w:rPr>
          <w:rFonts w:hint="eastAsia" w:ascii="仿宋_GB2312" w:hAnsi="仿宋_GB2312" w:eastAsia="仿宋_GB2312" w:cs="仿宋_GB2312"/>
          <w:b w:val="0"/>
          <w:bCs/>
          <w:color w:val="auto"/>
          <w:kern w:val="2"/>
          <w:sz w:val="32"/>
          <w:szCs w:val="32"/>
          <w:highlight w:val="none"/>
          <w:lang w:val="en-US" w:eastAsia="zh-CN" w:bidi="ar-SA"/>
        </w:rPr>
      </w:pPr>
      <w:r>
        <w:rPr>
          <w:rFonts w:hint="eastAsia" w:ascii="仿宋_GB2312" w:hAnsi="仿宋_GB2312" w:eastAsia="仿宋_GB2312" w:cs="仿宋_GB2312"/>
          <w:b w:val="0"/>
          <w:bCs/>
          <w:color w:val="auto"/>
          <w:kern w:val="2"/>
          <w:sz w:val="32"/>
          <w:szCs w:val="32"/>
          <w:highlight w:val="none"/>
          <w:lang w:val="en-US" w:eastAsia="zh-CN" w:bidi="ar-SA"/>
        </w:rPr>
        <w:t>6.投标人应建立车辆详细维修档案，并做到一车一档，为提供日常免费保养技术咨询和驾驶人员技术培训服务。</w:t>
      </w:r>
    </w:p>
    <w:p w14:paraId="7FA3528D">
      <w:pPr>
        <w:ind w:firstLine="640" w:firstLineChars="200"/>
        <w:rPr>
          <w:rFonts w:hint="eastAsia" w:ascii="仿宋_GB2312" w:hAnsi="仿宋_GB2312" w:eastAsia="仿宋_GB2312" w:cs="仿宋_GB2312"/>
          <w:b w:val="0"/>
          <w:bCs/>
          <w:color w:val="auto"/>
          <w:kern w:val="2"/>
          <w:sz w:val="32"/>
          <w:szCs w:val="32"/>
          <w:highlight w:val="none"/>
          <w:lang w:val="en-US" w:eastAsia="zh-CN" w:bidi="ar-SA"/>
        </w:rPr>
      </w:pPr>
      <w:r>
        <w:rPr>
          <w:rFonts w:hint="eastAsia" w:ascii="仿宋_GB2312" w:hAnsi="仿宋_GB2312" w:eastAsia="仿宋_GB2312" w:cs="仿宋_GB2312"/>
          <w:b w:val="0"/>
          <w:bCs/>
          <w:color w:val="auto"/>
          <w:kern w:val="2"/>
          <w:sz w:val="32"/>
          <w:szCs w:val="32"/>
          <w:highlight w:val="none"/>
          <w:lang w:val="en-US" w:eastAsia="zh-CN" w:bidi="ar-SA"/>
        </w:rPr>
        <w:t>7.投标人必须保证维修质量，质量保修期不低于国家标准。发动机大修：保修20000公里或6个月；发动机中修：保修10000公里或3个月；二级维修：保修5000公里或1个月；一级维修：保修2000公里或10天；小修：保修1500公里或5天。</w:t>
      </w:r>
    </w:p>
    <w:p w14:paraId="543B72B8">
      <w:pPr>
        <w:ind w:firstLine="640" w:firstLineChars="200"/>
        <w:rPr>
          <w:rFonts w:hint="eastAsia" w:ascii="仿宋_GB2312" w:hAnsi="仿宋_GB2312" w:eastAsia="仿宋_GB2312" w:cs="仿宋_GB2312"/>
          <w:b w:val="0"/>
          <w:bCs/>
          <w:color w:val="auto"/>
          <w:kern w:val="2"/>
          <w:sz w:val="32"/>
          <w:szCs w:val="32"/>
          <w:highlight w:val="none"/>
          <w:lang w:val="en-US" w:eastAsia="zh-CN" w:bidi="ar-SA"/>
        </w:rPr>
      </w:pPr>
      <w:r>
        <w:rPr>
          <w:rFonts w:hint="eastAsia" w:ascii="仿宋_GB2312" w:hAnsi="仿宋_GB2312" w:eastAsia="仿宋_GB2312" w:cs="仿宋_GB2312"/>
          <w:b w:val="0"/>
          <w:bCs/>
          <w:color w:val="auto"/>
          <w:kern w:val="2"/>
          <w:sz w:val="32"/>
          <w:szCs w:val="32"/>
          <w:highlight w:val="none"/>
          <w:lang w:val="en-US" w:eastAsia="zh-CN" w:bidi="ar-SA"/>
        </w:rPr>
        <w:t>8.投标人必须保证采购人送修车辆优先维修，普通性维修项目12小时内完成，紧急维修项目在6小时内完成维修。</w:t>
      </w:r>
    </w:p>
    <w:p w14:paraId="1C243746">
      <w:pPr>
        <w:ind w:firstLine="640" w:firstLineChars="200"/>
        <w:rPr>
          <w:rFonts w:hint="eastAsia" w:ascii="仿宋_GB2312" w:hAnsi="仿宋_GB2312" w:eastAsia="仿宋_GB2312" w:cs="仿宋_GB2312"/>
          <w:b w:val="0"/>
          <w:bCs/>
          <w:color w:val="auto"/>
          <w:kern w:val="2"/>
          <w:sz w:val="32"/>
          <w:szCs w:val="32"/>
          <w:highlight w:val="none"/>
          <w:lang w:val="en-US" w:eastAsia="zh-CN" w:bidi="ar-SA"/>
        </w:rPr>
      </w:pPr>
      <w:r>
        <w:rPr>
          <w:rFonts w:hint="eastAsia" w:ascii="仿宋_GB2312" w:hAnsi="仿宋_GB2312" w:eastAsia="仿宋_GB2312" w:cs="仿宋_GB2312"/>
          <w:b w:val="0"/>
          <w:bCs/>
          <w:color w:val="auto"/>
          <w:kern w:val="2"/>
          <w:sz w:val="32"/>
          <w:szCs w:val="32"/>
          <w:highlight w:val="none"/>
          <w:lang w:val="en-US" w:eastAsia="zh-CN" w:bidi="ar-SA"/>
        </w:rPr>
        <w:t>9.投标人必须规范进货渠道，增加配件储存。寻求价格与质量比最好的配件供应商提供配件，确保配件质量。</w:t>
      </w:r>
    </w:p>
    <w:p w14:paraId="06C7DF8C">
      <w:pPr>
        <w:ind w:firstLine="643" w:firstLineChars="200"/>
        <w:rPr>
          <w:rFonts w:hint="eastAsia" w:ascii="仿宋_GB2312" w:hAnsi="仿宋_GB2312" w:eastAsia="仿宋_GB2312" w:cs="仿宋_GB2312"/>
          <w:b/>
          <w:sz w:val="32"/>
          <w:szCs w:val="32"/>
          <w:lang w:val="en-US" w:eastAsia="zh-CN"/>
        </w:rPr>
      </w:pPr>
      <w:r>
        <w:rPr>
          <w:rFonts w:hint="eastAsia" w:ascii="仿宋_GB2312" w:hAnsi="仿宋_GB2312" w:eastAsia="仿宋_GB2312" w:cs="仿宋_GB2312"/>
          <w:b/>
          <w:sz w:val="32"/>
          <w:szCs w:val="32"/>
          <w:lang w:val="en-US" w:eastAsia="zh-CN"/>
        </w:rPr>
        <w:t>四、深圳市龙岗区妇幼保健院在用特种车辆明细表</w:t>
      </w:r>
    </w:p>
    <w:tbl>
      <w:tblPr>
        <w:tblStyle w:val="14"/>
        <w:tblW w:w="91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825"/>
        <w:gridCol w:w="1500"/>
        <w:gridCol w:w="1440"/>
        <w:gridCol w:w="2305"/>
        <w:gridCol w:w="1710"/>
        <w:gridCol w:w="1320"/>
      </w:tblGrid>
      <w:tr w14:paraId="469FC0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97889D">
            <w:pPr>
              <w:keepNext w:val="0"/>
              <w:keepLines w:val="0"/>
              <w:widowControl/>
              <w:suppressLineNumbers w:val="0"/>
              <w:jc w:val="center"/>
              <w:textAlignment w:val="center"/>
              <w:rPr>
                <w:rFonts w:hint="eastAsia" w:ascii="仿宋_GB2312" w:hAnsi="仿宋_GB2312" w:eastAsia="仿宋_GB2312" w:cs="仿宋_GB2312"/>
                <w:b/>
                <w:bCs/>
                <w:i w:val="0"/>
                <w:color w:val="000000"/>
                <w:sz w:val="28"/>
                <w:szCs w:val="28"/>
                <w:u w:val="none"/>
              </w:rPr>
            </w:pPr>
            <w:r>
              <w:rPr>
                <w:rFonts w:hint="eastAsia" w:ascii="仿宋_GB2312" w:hAnsi="仿宋_GB2312" w:eastAsia="仿宋_GB2312" w:cs="仿宋_GB2312"/>
                <w:b/>
                <w:bCs/>
                <w:i w:val="0"/>
                <w:color w:val="000000"/>
                <w:kern w:val="0"/>
                <w:sz w:val="28"/>
                <w:szCs w:val="28"/>
                <w:u w:val="none"/>
                <w:lang w:val="en-US" w:eastAsia="zh-CN" w:bidi="ar"/>
              </w:rPr>
              <w:t>序号</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F96328">
            <w:pPr>
              <w:keepNext w:val="0"/>
              <w:keepLines w:val="0"/>
              <w:widowControl/>
              <w:suppressLineNumbers w:val="0"/>
              <w:jc w:val="center"/>
              <w:textAlignment w:val="center"/>
              <w:rPr>
                <w:rFonts w:hint="eastAsia" w:ascii="仿宋_GB2312" w:hAnsi="仿宋_GB2312" w:eastAsia="仿宋_GB2312" w:cs="仿宋_GB2312"/>
                <w:b/>
                <w:bCs/>
                <w:i w:val="0"/>
                <w:color w:val="000000"/>
                <w:sz w:val="28"/>
                <w:szCs w:val="28"/>
                <w:u w:val="none"/>
              </w:rPr>
            </w:pPr>
            <w:r>
              <w:rPr>
                <w:rFonts w:hint="eastAsia" w:ascii="仿宋_GB2312" w:hAnsi="仿宋_GB2312" w:eastAsia="仿宋_GB2312" w:cs="仿宋_GB2312"/>
                <w:b/>
                <w:bCs/>
                <w:i w:val="0"/>
                <w:color w:val="000000"/>
                <w:kern w:val="0"/>
                <w:sz w:val="28"/>
                <w:szCs w:val="28"/>
                <w:u w:val="none"/>
                <w:lang w:val="en-US" w:eastAsia="zh-CN" w:bidi="ar"/>
              </w:rPr>
              <w:t>车牌号</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468327">
            <w:pPr>
              <w:keepNext w:val="0"/>
              <w:keepLines w:val="0"/>
              <w:widowControl/>
              <w:suppressLineNumbers w:val="0"/>
              <w:jc w:val="center"/>
              <w:textAlignment w:val="center"/>
              <w:rPr>
                <w:rFonts w:hint="eastAsia" w:ascii="仿宋_GB2312" w:hAnsi="仿宋_GB2312" w:eastAsia="仿宋_GB2312" w:cs="仿宋_GB2312"/>
                <w:b/>
                <w:bCs/>
                <w:i w:val="0"/>
                <w:color w:val="000000"/>
                <w:sz w:val="28"/>
                <w:szCs w:val="28"/>
                <w:u w:val="none"/>
              </w:rPr>
            </w:pPr>
            <w:r>
              <w:rPr>
                <w:rFonts w:hint="eastAsia" w:ascii="仿宋_GB2312" w:hAnsi="仿宋_GB2312" w:eastAsia="仿宋_GB2312" w:cs="仿宋_GB2312"/>
                <w:b/>
                <w:bCs/>
                <w:i w:val="0"/>
                <w:color w:val="000000"/>
                <w:kern w:val="0"/>
                <w:sz w:val="28"/>
                <w:szCs w:val="28"/>
                <w:u w:val="none"/>
                <w:lang w:val="en-US" w:eastAsia="zh-CN" w:bidi="ar"/>
              </w:rPr>
              <w:t>车辆用途</w:t>
            </w:r>
          </w:p>
        </w:tc>
        <w:tc>
          <w:tcPr>
            <w:tcW w:w="2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6B75C4">
            <w:pPr>
              <w:keepNext w:val="0"/>
              <w:keepLines w:val="0"/>
              <w:widowControl/>
              <w:suppressLineNumbers w:val="0"/>
              <w:jc w:val="center"/>
              <w:textAlignment w:val="center"/>
              <w:rPr>
                <w:rFonts w:hint="eastAsia" w:ascii="仿宋_GB2312" w:hAnsi="仿宋_GB2312" w:eastAsia="仿宋_GB2312" w:cs="仿宋_GB2312"/>
                <w:b/>
                <w:bCs/>
                <w:i w:val="0"/>
                <w:color w:val="000000"/>
                <w:sz w:val="28"/>
                <w:szCs w:val="28"/>
                <w:u w:val="none"/>
              </w:rPr>
            </w:pPr>
            <w:r>
              <w:rPr>
                <w:rFonts w:hint="eastAsia" w:ascii="仿宋_GB2312" w:hAnsi="仿宋_GB2312" w:eastAsia="仿宋_GB2312" w:cs="仿宋_GB2312"/>
                <w:b/>
                <w:bCs/>
                <w:i w:val="0"/>
                <w:color w:val="000000"/>
                <w:kern w:val="0"/>
                <w:sz w:val="28"/>
                <w:szCs w:val="28"/>
                <w:u w:val="none"/>
                <w:lang w:val="en-US" w:eastAsia="zh-CN" w:bidi="ar"/>
              </w:rPr>
              <w:t>品牌型号</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05288C">
            <w:pPr>
              <w:keepNext w:val="0"/>
              <w:keepLines w:val="0"/>
              <w:widowControl/>
              <w:suppressLineNumbers w:val="0"/>
              <w:jc w:val="center"/>
              <w:textAlignment w:val="center"/>
              <w:rPr>
                <w:rFonts w:hint="eastAsia" w:ascii="仿宋_GB2312" w:hAnsi="仿宋_GB2312" w:eastAsia="仿宋_GB2312" w:cs="仿宋_GB2312"/>
                <w:b/>
                <w:bCs/>
                <w:i w:val="0"/>
                <w:color w:val="000000"/>
                <w:sz w:val="28"/>
                <w:szCs w:val="28"/>
                <w:u w:val="none"/>
              </w:rPr>
            </w:pPr>
            <w:r>
              <w:rPr>
                <w:rFonts w:hint="eastAsia" w:ascii="仿宋_GB2312" w:hAnsi="仿宋_GB2312" w:eastAsia="仿宋_GB2312" w:cs="仿宋_GB2312"/>
                <w:b/>
                <w:bCs/>
                <w:i w:val="0"/>
                <w:color w:val="000000"/>
                <w:kern w:val="0"/>
                <w:sz w:val="28"/>
                <w:szCs w:val="28"/>
                <w:u w:val="none"/>
                <w:lang w:val="en-US" w:eastAsia="zh-CN" w:bidi="ar"/>
              </w:rPr>
              <w:t>车辆类型</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CB0A29">
            <w:pPr>
              <w:keepNext w:val="0"/>
              <w:keepLines w:val="0"/>
              <w:widowControl/>
              <w:suppressLineNumbers w:val="0"/>
              <w:jc w:val="center"/>
              <w:textAlignment w:val="center"/>
              <w:rPr>
                <w:rFonts w:hint="eastAsia" w:ascii="仿宋_GB2312" w:hAnsi="仿宋_GB2312" w:eastAsia="仿宋_GB2312" w:cs="仿宋_GB2312"/>
                <w:b/>
                <w:bCs/>
                <w:i w:val="0"/>
                <w:color w:val="000000"/>
                <w:sz w:val="28"/>
                <w:szCs w:val="28"/>
                <w:u w:val="none"/>
              </w:rPr>
            </w:pPr>
            <w:r>
              <w:rPr>
                <w:rFonts w:hint="eastAsia" w:ascii="仿宋_GB2312" w:hAnsi="仿宋_GB2312" w:eastAsia="仿宋_GB2312" w:cs="仿宋_GB2312"/>
                <w:b/>
                <w:bCs/>
                <w:i w:val="0"/>
                <w:color w:val="000000"/>
                <w:kern w:val="0"/>
                <w:sz w:val="28"/>
                <w:szCs w:val="28"/>
                <w:u w:val="none"/>
                <w:lang w:val="en-US" w:eastAsia="zh-CN" w:bidi="ar"/>
              </w:rPr>
              <w:t>座位数</w:t>
            </w:r>
          </w:p>
        </w:tc>
      </w:tr>
      <w:tr w14:paraId="723A98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74CBD8">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7F95D4">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lang w:val="en-US"/>
              </w:rPr>
            </w:pPr>
            <w:r>
              <w:rPr>
                <w:rFonts w:hint="eastAsia" w:ascii="仿宋_GB2312" w:hAnsi="仿宋_GB2312" w:eastAsia="仿宋_GB2312" w:cs="仿宋_GB2312"/>
                <w:i w:val="0"/>
                <w:color w:val="000000"/>
                <w:kern w:val="0"/>
                <w:sz w:val="28"/>
                <w:szCs w:val="28"/>
                <w:u w:val="none"/>
                <w:lang w:val="en-US" w:eastAsia="zh-CN" w:bidi="ar"/>
              </w:rPr>
              <w:t>粤BJ637K</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F71A8E">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业务用车</w:t>
            </w:r>
          </w:p>
        </w:tc>
        <w:tc>
          <w:tcPr>
            <w:tcW w:w="2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D6CF83">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lang w:val="en-US" w:eastAsia="zh-CN"/>
              </w:rPr>
            </w:pPr>
            <w:r>
              <w:rPr>
                <w:rFonts w:hint="eastAsia" w:ascii="仿宋_GB2312" w:hAnsi="仿宋_GB2312" w:eastAsia="仿宋_GB2312" w:cs="仿宋_GB2312"/>
                <w:i w:val="0"/>
                <w:color w:val="000000"/>
                <w:kern w:val="0"/>
                <w:sz w:val="28"/>
                <w:szCs w:val="28"/>
                <w:u w:val="none"/>
                <w:lang w:val="en-US" w:eastAsia="zh-CN" w:bidi="ar"/>
              </w:rPr>
              <w:t>本田HG6481BAA</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16F490">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小型普通客车</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69E63D">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7</w:t>
            </w:r>
          </w:p>
        </w:tc>
      </w:tr>
      <w:tr w14:paraId="7B0262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9209F3">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2</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15EE77">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粤B20K09</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E896FA">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业务用车</w:t>
            </w:r>
          </w:p>
        </w:tc>
        <w:tc>
          <w:tcPr>
            <w:tcW w:w="2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322620">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丰田GTM7200GB</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412DE5">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小型普通客车</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8A23EF">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5</w:t>
            </w:r>
          </w:p>
        </w:tc>
      </w:tr>
      <w:tr w14:paraId="1CF9EA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E256C9">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3</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B2A77E">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粤BF316B</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4CF2AE">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业务用车</w:t>
            </w:r>
          </w:p>
        </w:tc>
        <w:tc>
          <w:tcPr>
            <w:tcW w:w="2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0E3F25">
            <w:pPr>
              <w:keepNext w:val="0"/>
              <w:keepLines w:val="0"/>
              <w:widowControl/>
              <w:suppressLineNumbers w:val="0"/>
              <w:spacing w:line="320" w:lineRule="exac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丰田GTM7200GB-NAV1</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9F5388">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小型普通客车</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F3C823">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5</w:t>
            </w:r>
          </w:p>
        </w:tc>
      </w:tr>
      <w:tr w14:paraId="54BE2C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4FDB08">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4</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49E6BA">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粤BDX919</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A23A8D">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业务用车</w:t>
            </w:r>
          </w:p>
        </w:tc>
        <w:tc>
          <w:tcPr>
            <w:tcW w:w="2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BCE5B3">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别克SGM6527AT</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AD5BCE">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小型普通客车</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9074C8">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7</w:t>
            </w:r>
          </w:p>
        </w:tc>
      </w:tr>
    </w:tbl>
    <w:p w14:paraId="4D95A252">
      <w:pPr>
        <w:ind w:firstLine="643" w:firstLineChars="200"/>
        <w:rPr>
          <w:rFonts w:hint="eastAsia" w:ascii="仿宋_GB2312" w:hAnsi="仿宋_GB2312" w:eastAsia="仿宋_GB2312" w:cs="仿宋_GB2312"/>
          <w:b/>
          <w:sz w:val="32"/>
          <w:szCs w:val="32"/>
          <w:lang w:val="en-US" w:eastAsia="zh-CN"/>
        </w:rPr>
      </w:pPr>
      <w:r>
        <w:rPr>
          <w:rFonts w:hint="eastAsia" w:ascii="仿宋_GB2312" w:hAnsi="仿宋_GB2312" w:eastAsia="仿宋_GB2312" w:cs="仿宋_GB2312"/>
          <w:b/>
          <w:sz w:val="32"/>
          <w:szCs w:val="32"/>
          <w:lang w:val="en-US" w:eastAsia="zh-CN"/>
        </w:rPr>
        <w:t xml:space="preserve">五、日常维保及常用配件报价表 </w:t>
      </w:r>
    </w:p>
    <w:p w14:paraId="11FD9162">
      <w:pPr>
        <w:ind w:firstLine="640" w:firstLineChars="200"/>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要求零配件必须有商品合格证，详见附件2-1 深圳市龙岗区妇幼保健院特种车辆维保服务项目报价表。</w:t>
      </w:r>
    </w:p>
    <w:p w14:paraId="1D3155B5">
      <w:pPr>
        <w:ind w:firstLine="640" w:firstLineChars="200"/>
        <w:rPr>
          <w:rFonts w:hint="eastAsia" w:ascii="仿宋_GB2312" w:hAnsi="仿宋_GB2312" w:eastAsia="仿宋_GB2312" w:cs="仿宋_GB2312"/>
          <w:b/>
          <w:sz w:val="32"/>
          <w:szCs w:val="32"/>
          <w:lang w:val="en-US" w:eastAsia="zh-CN"/>
        </w:rPr>
      </w:pP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sz w:val="32"/>
          <w:szCs w:val="32"/>
          <w:lang w:val="en-US" w:eastAsia="zh-CN"/>
        </w:rPr>
        <w:t>六、项目商务要求</w:t>
      </w:r>
    </w:p>
    <w:bookmarkEnd w:id="0"/>
    <w:p w14:paraId="0EDB88A1">
      <w:pPr>
        <w:keepNext w:val="0"/>
        <w:keepLines w:val="0"/>
        <w:pageBreakBefore w:val="0"/>
        <w:widowControl/>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（一）</w:t>
      </w:r>
      <w:r>
        <w:rPr>
          <w:rFonts w:hint="eastAsia" w:ascii="仿宋_GB2312" w:hAnsi="仿宋_GB2312" w:eastAsia="仿宋_GB2312" w:cs="仿宋_GB2312"/>
          <w:b/>
          <w:bCs/>
          <w:sz w:val="32"/>
          <w:szCs w:val="32"/>
          <w:lang w:eastAsia="zh-CN"/>
        </w:rPr>
        <w:t>服务期限：</w:t>
      </w:r>
      <w:r>
        <w:rPr>
          <w:rFonts w:hint="eastAsia" w:ascii="仿宋_GB2312" w:hAnsi="仿宋_GB2312" w:eastAsia="仿宋_GB2312" w:cs="仿宋_GB2312"/>
          <w:sz w:val="32"/>
          <w:szCs w:val="32"/>
          <w:lang w:val="en-US" w:eastAsia="zh-CN"/>
        </w:rPr>
        <w:t>本项目服务期一年。一年合同期满后，经履约考核良好及以上的可按原合同条款下一年度合同，每次续签期限为一年，最多可续签两次。</w:t>
      </w:r>
    </w:p>
    <w:p w14:paraId="3D341797">
      <w:pPr>
        <w:keepNext w:val="0"/>
        <w:keepLines w:val="0"/>
        <w:pageBreakBefore w:val="0"/>
        <w:widowControl/>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（二）报价要求</w:t>
      </w:r>
    </w:p>
    <w:p w14:paraId="2AD4F82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报价方式：人民币报价，本次招标采用总承包方式，因此投标人的报价应包括所投项目的维修、保养、年审等服务项目所有费用、所有服务人员的工勤费用（包括工资、福利、交通、食宿、保险、工伤、通讯、常驻现场的费用等）、相关税费直至合同期结束的所有费用。</w:t>
      </w:r>
    </w:p>
    <w:p w14:paraId="76DDEEFF">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投标人应根据本企业的成本自行决定报价。专家认为投标人的报价明显低于其他通过符合性审查投标人的报价，有可能影响服务质量或不能诚信履约的，将会要求该投标人在评标现场合理的时间内提供书面说明，必要时提交相关证明材料。投标人不能证明其报价合理性的，专家应将其作为无效投标处理。</w:t>
      </w:r>
    </w:p>
    <w:p w14:paraId="440ECA5C">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3.价格分计算依据：以附件2-1</w:t>
      </w:r>
      <w:r>
        <w:rPr>
          <w:rFonts w:hint="eastAsia" w:ascii="仿宋_GB2312" w:hAnsi="仿宋_GB2312" w:eastAsia="仿宋_GB2312" w:cs="仿宋_GB2312"/>
          <w:b w:val="0"/>
          <w:bCs/>
          <w:sz w:val="32"/>
          <w:szCs w:val="32"/>
          <w:lang w:val="en-US" w:eastAsia="zh-CN"/>
        </w:rPr>
        <w:t>深圳市龙岗区妇幼保健院特种车辆维保服务项目报价表</w:t>
      </w:r>
      <w:r>
        <w:rPr>
          <w:rFonts w:hint="eastAsia" w:ascii="仿宋_GB2312" w:hAnsi="仿宋_GB2312" w:eastAsia="仿宋_GB2312" w:cs="仿宋_GB2312"/>
          <w:sz w:val="32"/>
          <w:szCs w:val="32"/>
          <w:highlight w:val="none"/>
          <w:lang w:val="en-US" w:eastAsia="zh-CN"/>
        </w:rPr>
        <w:t>中全部表格的单项报价汇总作为价格分计算依据，开标一览表处，填写该汇总价。</w:t>
      </w:r>
      <w:r>
        <w:rPr>
          <w:rFonts w:hint="eastAsia" w:ascii="仿宋_GB2312" w:hAnsi="仿宋_GB2312" w:eastAsia="仿宋_GB2312" w:cs="仿宋_GB2312"/>
          <w:b/>
          <w:bCs/>
          <w:sz w:val="32"/>
          <w:szCs w:val="32"/>
          <w:highlight w:val="none"/>
          <w:lang w:val="en-US" w:eastAsia="zh-CN"/>
        </w:rPr>
        <w:t>投标时，需同步提供一份电子版Excel，否则做无效投标处理</w:t>
      </w:r>
      <w:r>
        <w:rPr>
          <w:rFonts w:hint="eastAsia" w:ascii="仿宋_GB2312" w:hAnsi="仿宋_GB2312" w:eastAsia="仿宋_GB2312" w:cs="仿宋_GB2312"/>
          <w:sz w:val="32"/>
          <w:szCs w:val="32"/>
          <w:highlight w:val="none"/>
          <w:lang w:val="en-US" w:eastAsia="zh-CN"/>
        </w:rPr>
        <w:t>。</w:t>
      </w:r>
    </w:p>
    <w:p w14:paraId="7EFA5F92">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643"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（三）付款及结算方式</w:t>
      </w:r>
      <w:r>
        <w:rPr>
          <w:rFonts w:hint="eastAsia" w:ascii="仿宋_GB2312" w:hAnsi="仿宋_GB2312" w:eastAsia="仿宋_GB2312" w:cs="仿宋_GB2312"/>
          <w:sz w:val="32"/>
          <w:szCs w:val="32"/>
          <w:highlight w:val="none"/>
          <w:lang w:val="en-US" w:eastAsia="zh-CN"/>
        </w:rPr>
        <w:t>：采用先服务后付款方式，根据每月实际发生的车辆维保服务费用，中标人开具合法发票，采购人在15日历日内付款。</w:t>
      </w:r>
    </w:p>
    <w:p w14:paraId="6941C14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643"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（四）验收：</w:t>
      </w:r>
      <w:r>
        <w:rPr>
          <w:rFonts w:hint="eastAsia" w:ascii="仿宋_GB2312" w:hAnsi="仿宋_GB2312" w:eastAsia="仿宋_GB2312" w:cs="仿宋_GB2312"/>
          <w:sz w:val="32"/>
          <w:szCs w:val="32"/>
          <w:highlight w:val="none"/>
          <w:lang w:val="en-US" w:eastAsia="zh-CN"/>
        </w:rPr>
        <w:t>由车队验收小组成员共同签收合同履约情况表。同一车辆同一部位在两周内出现相同故障重复维修的，应免费提供维修，如在三个月内出现三次相同情况，按照当季度的维修费用处以5%的罚款。</w:t>
      </w:r>
    </w:p>
    <w:p w14:paraId="6622FDB2">
      <w:pPr>
        <w:ind w:firstLine="643" w:firstLineChars="200"/>
        <w:rPr>
          <w:rFonts w:hint="eastAsia" w:ascii="仿宋_GB2312" w:hAnsi="仿宋_GB2312" w:eastAsia="仿宋_GB2312" w:cs="仿宋_GB2312"/>
          <w:b/>
          <w:sz w:val="32"/>
          <w:szCs w:val="32"/>
          <w:lang w:val="en-US" w:eastAsia="zh-CN"/>
        </w:rPr>
      </w:pPr>
      <w:r>
        <w:rPr>
          <w:rFonts w:hint="eastAsia" w:ascii="仿宋_GB2312" w:hAnsi="仿宋_GB2312" w:eastAsia="仿宋_GB2312" w:cs="仿宋_GB2312"/>
          <w:b/>
          <w:sz w:val="32"/>
          <w:szCs w:val="32"/>
          <w:lang w:val="en-US" w:eastAsia="zh-CN"/>
        </w:rPr>
        <w:t>七、其他要求</w:t>
      </w:r>
    </w:p>
    <w:p w14:paraId="535E10B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640" w:firstLineChars="200"/>
        <w:textAlignment w:val="auto"/>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在合同履行期间，如出现因违法经营受到刑事处罚或者责令停产停业、吊销许可证或者执照、较大数额罚款等行政处罚，导致不满足《中华人民共和国政府采购法》第二十二条供应商要求的，一经查证属实，采购人有权单方解除协议（合同），且无需承担任何违约责任。</w:t>
      </w:r>
    </w:p>
    <w:p w14:paraId="008548E9">
      <w:pPr>
        <w:rPr>
          <w:b/>
          <w:bCs/>
          <w:sz w:val="28"/>
          <w:szCs w:val="28"/>
        </w:rPr>
      </w:pPr>
      <w:r>
        <w:rPr>
          <w:rFonts w:hint="eastAsia"/>
          <w:b/>
          <w:bCs/>
          <w:sz w:val="28"/>
          <w:szCs w:val="28"/>
        </w:rPr>
        <w:br w:type="page"/>
      </w:r>
    </w:p>
    <w:p w14:paraId="466BFA26">
      <w:pPr>
        <w:ind w:firstLine="643" w:firstLineChars="200"/>
        <w:rPr>
          <w:rFonts w:hint="eastAsia" w:ascii="仿宋_GB2312" w:hAnsi="仿宋_GB2312" w:eastAsia="仿宋_GB2312" w:cs="仿宋_GB2312"/>
          <w:b/>
          <w:sz w:val="32"/>
          <w:szCs w:val="32"/>
          <w:lang w:val="en-US" w:eastAsia="zh-CN"/>
        </w:rPr>
      </w:pPr>
      <w:bookmarkStart w:id="1" w:name="_Toc13230"/>
      <w:r>
        <w:rPr>
          <w:rFonts w:hint="eastAsia" w:ascii="仿宋_GB2312" w:hAnsi="仿宋_GB2312" w:eastAsia="仿宋_GB2312" w:cs="仿宋_GB2312"/>
          <w:b/>
          <w:sz w:val="32"/>
          <w:szCs w:val="32"/>
          <w:lang w:val="en-US" w:eastAsia="zh-CN"/>
        </w:rPr>
        <w:t>七、综合评分表</w:t>
      </w:r>
      <w:bookmarkEnd w:id="1"/>
      <w:r>
        <w:rPr>
          <w:rFonts w:hint="eastAsia" w:ascii="仿宋_GB2312" w:hAnsi="仿宋_GB2312" w:eastAsia="仿宋_GB2312" w:cs="仿宋_GB2312"/>
          <w:b/>
          <w:sz w:val="32"/>
          <w:szCs w:val="32"/>
          <w:highlight w:val="red"/>
          <w:lang w:val="en-US" w:eastAsia="zh-CN"/>
        </w:rPr>
        <w:t>（综合评审低于60分视为投标无效）</w:t>
      </w:r>
    </w:p>
    <w:tbl>
      <w:tblPr>
        <w:tblStyle w:val="14"/>
        <w:tblW w:w="907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680"/>
        <w:gridCol w:w="692"/>
        <w:gridCol w:w="10"/>
        <w:gridCol w:w="2"/>
        <w:gridCol w:w="1671"/>
        <w:gridCol w:w="1089"/>
        <w:gridCol w:w="4928"/>
      </w:tblGrid>
      <w:tr w14:paraId="439D161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7FAD4DAE">
            <w:pPr>
              <w:keepNext w:val="0"/>
              <w:keepLines w:val="0"/>
              <w:pageBreakBefore w:val="0"/>
              <w:kinsoku/>
              <w:overflowPunct/>
              <w:topLinePunct w:val="0"/>
              <w:bidi w:val="0"/>
              <w:spacing w:line="400" w:lineRule="atLeast"/>
              <w:rPr>
                <w:rFonts w:hint="eastAsia" w:ascii="宋体" w:cs="宋体"/>
                <w:snapToGrid w:val="0"/>
                <w:kern w:val="0"/>
              </w:rPr>
            </w:pPr>
            <w:r>
              <w:rPr>
                <w:rFonts w:hint="eastAsia" w:ascii="宋体" w:cs="宋体"/>
                <w:snapToGrid w:val="0"/>
                <w:kern w:val="0"/>
              </w:rPr>
              <w:t>序号</w:t>
            </w:r>
          </w:p>
        </w:tc>
        <w:tc>
          <w:tcPr>
            <w:tcW w:w="3464" w:type="dxa"/>
            <w:gridSpan w:val="5"/>
            <w:tcBorders>
              <w:top w:val="single" w:color="000000" w:sz="8" w:space="0"/>
              <w:left w:val="single" w:color="000000" w:sz="8" w:space="0"/>
              <w:bottom w:val="single" w:color="000000" w:sz="8" w:space="0"/>
              <w:right w:val="single" w:color="000000" w:sz="8" w:space="0"/>
            </w:tcBorders>
            <w:shd w:val="clear" w:color="auto" w:fill="E6EFFA"/>
            <w:vAlign w:val="center"/>
          </w:tcPr>
          <w:p w14:paraId="1F473F5A">
            <w:pPr>
              <w:keepNext w:val="0"/>
              <w:keepLines w:val="0"/>
              <w:pageBreakBefore w:val="0"/>
              <w:kinsoku/>
              <w:overflowPunct/>
              <w:topLinePunct w:val="0"/>
              <w:bidi w:val="0"/>
              <w:spacing w:line="400" w:lineRule="atLeast"/>
              <w:rPr>
                <w:rFonts w:hint="eastAsia" w:ascii="宋体" w:cs="宋体"/>
                <w:snapToGrid w:val="0"/>
                <w:kern w:val="0"/>
              </w:rPr>
            </w:pPr>
            <w:r>
              <w:rPr>
                <w:rFonts w:hint="eastAsia" w:ascii="宋体" w:cs="宋体"/>
                <w:snapToGrid w:val="0"/>
                <w:kern w:val="0"/>
              </w:rPr>
              <w:t>评分项</w:t>
            </w:r>
          </w:p>
        </w:tc>
        <w:tc>
          <w:tcPr>
            <w:tcW w:w="4928"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65F32EA0">
            <w:pPr>
              <w:keepNext w:val="0"/>
              <w:keepLines w:val="0"/>
              <w:pageBreakBefore w:val="0"/>
              <w:kinsoku/>
              <w:overflowPunct/>
              <w:topLinePunct w:val="0"/>
              <w:bidi w:val="0"/>
              <w:spacing w:line="400" w:lineRule="atLeast"/>
              <w:rPr>
                <w:rFonts w:hint="eastAsia" w:ascii="宋体" w:cs="宋体"/>
                <w:snapToGrid w:val="0"/>
                <w:kern w:val="0"/>
              </w:rPr>
            </w:pPr>
            <w:r>
              <w:rPr>
                <w:rFonts w:hint="eastAsia" w:ascii="宋体" w:cs="宋体"/>
                <w:snapToGrid w:val="0"/>
                <w:kern w:val="0"/>
              </w:rPr>
              <w:t>权重(%)</w:t>
            </w:r>
          </w:p>
        </w:tc>
      </w:tr>
      <w:tr w14:paraId="0FFEF2C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restart"/>
            <w:tcBorders>
              <w:top w:val="single" w:color="000000" w:sz="8" w:space="0"/>
              <w:left w:val="single" w:color="000000" w:sz="8" w:space="0"/>
              <w:right w:val="single" w:color="000000" w:sz="8" w:space="0"/>
            </w:tcBorders>
            <w:vAlign w:val="top"/>
          </w:tcPr>
          <w:p w14:paraId="1A38BC86">
            <w:pPr>
              <w:keepNext w:val="0"/>
              <w:keepLines w:val="0"/>
              <w:pageBreakBefore w:val="0"/>
              <w:kinsoku/>
              <w:overflowPunct/>
              <w:topLinePunct w:val="0"/>
              <w:bidi w:val="0"/>
              <w:spacing w:line="400" w:lineRule="atLeast"/>
              <w:rPr>
                <w:rFonts w:hint="eastAsia" w:ascii="宋体" w:cs="宋体"/>
                <w:snapToGrid w:val="0"/>
                <w:kern w:val="0"/>
              </w:rPr>
            </w:pPr>
            <w:r>
              <w:rPr>
                <w:rFonts w:hint="eastAsia" w:ascii="宋体" w:cs="宋体"/>
                <w:snapToGrid w:val="0"/>
                <w:kern w:val="0"/>
              </w:rPr>
              <w:t>1</w:t>
            </w:r>
          </w:p>
        </w:tc>
        <w:tc>
          <w:tcPr>
            <w:tcW w:w="3464" w:type="dxa"/>
            <w:gridSpan w:val="5"/>
            <w:tcBorders>
              <w:top w:val="single" w:color="000000" w:sz="8" w:space="0"/>
              <w:left w:val="single" w:color="000000" w:sz="8" w:space="0"/>
              <w:bottom w:val="single" w:color="000000" w:sz="8" w:space="0"/>
              <w:right w:val="single" w:color="000000" w:sz="8" w:space="0"/>
            </w:tcBorders>
            <w:vAlign w:val="top"/>
          </w:tcPr>
          <w:p w14:paraId="28FF2DB4">
            <w:pPr>
              <w:keepNext w:val="0"/>
              <w:keepLines w:val="0"/>
              <w:pageBreakBefore w:val="0"/>
              <w:kinsoku/>
              <w:overflowPunct/>
              <w:topLinePunct w:val="0"/>
              <w:bidi w:val="0"/>
              <w:spacing w:line="400" w:lineRule="atLeast"/>
              <w:rPr>
                <w:rFonts w:hint="eastAsia" w:ascii="宋体" w:cs="宋体"/>
                <w:snapToGrid w:val="0"/>
                <w:kern w:val="0"/>
                <w:lang w:eastAsia="zh-CN"/>
              </w:rPr>
            </w:pPr>
            <w:r>
              <w:rPr>
                <w:rFonts w:hint="eastAsia" w:ascii="宋体" w:cs="宋体"/>
                <w:snapToGrid w:val="0"/>
                <w:kern w:val="0"/>
              </w:rPr>
              <w:t>价格</w:t>
            </w:r>
          </w:p>
        </w:tc>
        <w:tc>
          <w:tcPr>
            <w:tcW w:w="4928" w:type="dxa"/>
            <w:tcBorders>
              <w:top w:val="single" w:color="000000" w:sz="8" w:space="0"/>
              <w:left w:val="single" w:color="000000" w:sz="8" w:space="0"/>
              <w:bottom w:val="single" w:color="000000" w:sz="8" w:space="0"/>
              <w:right w:val="single" w:color="000000" w:sz="8" w:space="0"/>
            </w:tcBorders>
            <w:vAlign w:val="top"/>
          </w:tcPr>
          <w:p w14:paraId="173B800D">
            <w:pPr>
              <w:keepNext w:val="0"/>
              <w:keepLines w:val="0"/>
              <w:pageBreakBefore w:val="0"/>
              <w:kinsoku/>
              <w:overflowPunct/>
              <w:topLinePunct w:val="0"/>
              <w:bidi w:val="0"/>
              <w:spacing w:line="400" w:lineRule="atLeast"/>
              <w:rPr>
                <w:rFonts w:hint="default" w:ascii="宋体" w:cs="宋体"/>
                <w:snapToGrid w:val="0"/>
                <w:kern w:val="0"/>
                <w:lang w:val="en-US"/>
              </w:rPr>
            </w:pPr>
            <w:r>
              <w:rPr>
                <w:rFonts w:hint="eastAsia" w:ascii="宋体" w:cs="宋体"/>
                <w:snapToGrid w:val="0"/>
                <w:kern w:val="0"/>
                <w:lang w:val="en-US" w:eastAsia="zh-CN"/>
              </w:rPr>
              <w:t>20</w:t>
            </w:r>
          </w:p>
        </w:tc>
      </w:tr>
      <w:tr w14:paraId="5F2BE05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left w:val="single" w:color="000000" w:sz="8" w:space="0"/>
              <w:right w:val="single" w:color="000000" w:sz="8" w:space="0"/>
            </w:tcBorders>
            <w:vAlign w:val="top"/>
          </w:tcPr>
          <w:p w14:paraId="1E52D6C2">
            <w:pPr>
              <w:keepNext w:val="0"/>
              <w:keepLines w:val="0"/>
              <w:pageBreakBefore w:val="0"/>
              <w:kinsoku/>
              <w:overflowPunct/>
              <w:topLinePunct w:val="0"/>
              <w:bidi w:val="0"/>
              <w:spacing w:line="400" w:lineRule="atLeast"/>
              <w:rPr>
                <w:rFonts w:hint="eastAsia" w:ascii="宋体" w:cs="宋体"/>
                <w:snapToGrid w:val="0"/>
                <w:kern w:val="0"/>
              </w:rPr>
            </w:pPr>
          </w:p>
        </w:tc>
        <w:tc>
          <w:tcPr>
            <w:tcW w:w="8392" w:type="dxa"/>
            <w:gridSpan w:val="6"/>
            <w:tcBorders>
              <w:top w:val="single" w:color="000000" w:sz="8" w:space="0"/>
              <w:left w:val="single" w:color="000000" w:sz="8" w:space="0"/>
              <w:bottom w:val="single" w:color="000000" w:sz="8" w:space="0"/>
              <w:right w:val="single" w:color="000000" w:sz="8" w:space="0"/>
            </w:tcBorders>
            <w:vAlign w:val="top"/>
          </w:tcPr>
          <w:p w14:paraId="15730A86">
            <w:pPr>
              <w:keepNext w:val="0"/>
              <w:keepLines w:val="0"/>
              <w:pageBreakBefore w:val="0"/>
              <w:kinsoku/>
              <w:wordWrap/>
              <w:overflowPunct/>
              <w:topLinePunct w:val="0"/>
              <w:autoSpaceDE w:val="0"/>
              <w:autoSpaceDN w:val="0"/>
              <w:bidi w:val="0"/>
              <w:adjustRightInd w:val="0"/>
              <w:snapToGrid w:val="0"/>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价格分应当采用低价优先法计算，即满足招标文件要求且投标价格最低的投标报价为评标基准价，其价格分为满分。其他投标人的价格分统一按照下列公式计算：</w:t>
            </w:r>
          </w:p>
          <w:p w14:paraId="0FFE08A5">
            <w:pPr>
              <w:keepNext w:val="0"/>
              <w:keepLines w:val="0"/>
              <w:pageBreakBefore w:val="0"/>
              <w:widowControl/>
              <w:kinsoku/>
              <w:wordWrap/>
              <w:overflowPunct/>
              <w:topLinePunct w:val="0"/>
              <w:bidi w:val="0"/>
              <w:adjustRightInd w:val="0"/>
              <w:snapToGrid w:val="0"/>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投标报价得分=(评标基准价／投标报价)×100×权重</w:t>
            </w:r>
          </w:p>
          <w:p w14:paraId="109D4D55">
            <w:pPr>
              <w:keepNext w:val="0"/>
              <w:keepLines w:val="0"/>
              <w:pageBreakBefore w:val="0"/>
              <w:widowControl/>
              <w:kinsoku/>
              <w:wordWrap/>
              <w:overflowPunct/>
              <w:topLinePunct w:val="0"/>
              <w:bidi w:val="0"/>
              <w:adjustRightInd w:val="0"/>
              <w:snapToGrid w:val="0"/>
              <w:spacing w:line="240" w:lineRule="auto"/>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备注：</w:t>
            </w:r>
          </w:p>
          <w:p w14:paraId="150B2C38">
            <w:pPr>
              <w:keepNext w:val="0"/>
              <w:keepLines w:val="0"/>
              <w:pageBreakBefore w:val="0"/>
              <w:widowControl/>
              <w:kinsoku/>
              <w:wordWrap/>
              <w:overflowPunct/>
              <w:topLinePunct w:val="0"/>
              <w:bidi w:val="0"/>
              <w:adjustRightInd w:val="0"/>
              <w:snapToGrid w:val="0"/>
              <w:spacing w:line="240" w:lineRule="auto"/>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1、投标报价得分四舍五入后，小数点后保留两位有效数。</w:t>
            </w:r>
          </w:p>
          <w:p w14:paraId="4F15C223">
            <w:pPr>
              <w:keepNext w:val="0"/>
              <w:keepLines w:val="0"/>
              <w:pageBreakBefore w:val="0"/>
              <w:kinsoku/>
              <w:overflowPunct/>
              <w:topLinePunct w:val="0"/>
              <w:bidi w:val="0"/>
              <w:spacing w:line="400" w:lineRule="atLeast"/>
              <w:rPr>
                <w:rFonts w:hint="eastAsia" w:ascii="宋体" w:cs="宋体"/>
                <w:snapToGrid w:val="0"/>
                <w:kern w:val="0"/>
              </w:rPr>
            </w:pPr>
            <w:r>
              <w:rPr>
                <w:rFonts w:hint="eastAsia" w:ascii="宋体" w:hAnsi="宋体" w:eastAsia="宋体" w:cs="宋体"/>
                <w:bCs/>
                <w:color w:val="auto"/>
                <w:sz w:val="21"/>
                <w:szCs w:val="21"/>
                <w:highlight w:val="none"/>
              </w:rPr>
              <w:t>2、因落实政府采购政策进行价格调整的，以调整后的价格计算评标基准价</w:t>
            </w:r>
            <w:r>
              <w:rPr>
                <w:rStyle w:val="16"/>
                <w:rFonts w:hint="eastAsia" w:ascii="宋体" w:hAnsi="宋体" w:eastAsia="宋体" w:cs="宋体"/>
                <w:color w:val="auto"/>
                <w:sz w:val="21"/>
                <w:szCs w:val="21"/>
                <w:highlight w:val="none"/>
              </w:rPr>
              <w:t>和投标报价,详见《价格扣除》。</w:t>
            </w:r>
          </w:p>
        </w:tc>
      </w:tr>
      <w:tr w14:paraId="0360BC5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restart"/>
            <w:tcBorders>
              <w:top w:val="single" w:color="000000" w:sz="8" w:space="0"/>
              <w:left w:val="single" w:color="000000" w:sz="8" w:space="0"/>
              <w:right w:val="single" w:color="000000" w:sz="8" w:space="0"/>
            </w:tcBorders>
            <w:vAlign w:val="center"/>
          </w:tcPr>
          <w:p w14:paraId="6F8F4CCB">
            <w:pPr>
              <w:keepNext w:val="0"/>
              <w:keepLines w:val="0"/>
              <w:pageBreakBefore w:val="0"/>
              <w:kinsoku/>
              <w:overflowPunct/>
              <w:topLinePunct w:val="0"/>
              <w:bidi w:val="0"/>
              <w:spacing w:line="400" w:lineRule="atLeast"/>
              <w:rPr>
                <w:rFonts w:hint="eastAsia" w:ascii="宋体" w:cs="宋体"/>
                <w:snapToGrid w:val="0"/>
                <w:kern w:val="0"/>
              </w:rPr>
            </w:pPr>
            <w:r>
              <w:rPr>
                <w:rFonts w:hint="eastAsia" w:ascii="宋体" w:cs="宋体"/>
                <w:snapToGrid w:val="0"/>
                <w:kern w:val="0"/>
              </w:rPr>
              <w:t>2</w:t>
            </w:r>
          </w:p>
        </w:tc>
        <w:tc>
          <w:tcPr>
            <w:tcW w:w="3464" w:type="dxa"/>
            <w:gridSpan w:val="5"/>
            <w:tcBorders>
              <w:top w:val="single" w:color="000000" w:sz="8" w:space="0"/>
              <w:left w:val="single" w:color="000000" w:sz="8" w:space="0"/>
              <w:bottom w:val="single" w:color="000000" w:sz="8" w:space="0"/>
              <w:right w:val="single" w:color="000000" w:sz="8" w:space="0"/>
            </w:tcBorders>
            <w:vAlign w:val="top"/>
          </w:tcPr>
          <w:p w14:paraId="3D84D41E">
            <w:pPr>
              <w:keepNext w:val="0"/>
              <w:keepLines w:val="0"/>
              <w:pageBreakBefore w:val="0"/>
              <w:kinsoku/>
              <w:overflowPunct/>
              <w:topLinePunct w:val="0"/>
              <w:bidi w:val="0"/>
              <w:spacing w:line="400" w:lineRule="atLeast"/>
              <w:rPr>
                <w:rFonts w:hint="eastAsia" w:ascii="宋体" w:cs="宋体"/>
                <w:snapToGrid w:val="0"/>
                <w:kern w:val="0"/>
              </w:rPr>
            </w:pPr>
            <w:r>
              <w:rPr>
                <w:rFonts w:hint="eastAsia" w:ascii="宋体" w:cs="宋体"/>
                <w:snapToGrid w:val="0"/>
                <w:kern w:val="0"/>
              </w:rPr>
              <w:t>技术部分</w:t>
            </w:r>
          </w:p>
        </w:tc>
        <w:tc>
          <w:tcPr>
            <w:tcW w:w="4928" w:type="dxa"/>
            <w:tcBorders>
              <w:top w:val="single" w:color="000000" w:sz="8" w:space="0"/>
              <w:left w:val="single" w:color="000000" w:sz="8" w:space="0"/>
              <w:bottom w:val="single" w:color="000000" w:sz="8" w:space="0"/>
              <w:right w:val="single" w:color="000000" w:sz="8" w:space="0"/>
            </w:tcBorders>
            <w:vAlign w:val="top"/>
          </w:tcPr>
          <w:p w14:paraId="0EC408E5">
            <w:pPr>
              <w:keepNext w:val="0"/>
              <w:keepLines w:val="0"/>
              <w:pageBreakBefore w:val="0"/>
              <w:kinsoku/>
              <w:overflowPunct/>
              <w:topLinePunct w:val="0"/>
              <w:bidi w:val="0"/>
              <w:spacing w:line="400" w:lineRule="atLeast"/>
              <w:rPr>
                <w:rFonts w:hint="default" w:ascii="宋体" w:cs="宋体"/>
                <w:snapToGrid w:val="0"/>
                <w:kern w:val="0"/>
                <w:lang w:val="en-US"/>
              </w:rPr>
            </w:pPr>
            <w:r>
              <w:rPr>
                <w:rFonts w:hint="eastAsia" w:ascii="宋体" w:cs="宋体"/>
                <w:snapToGrid w:val="0"/>
                <w:kern w:val="0"/>
                <w:lang w:val="en-US" w:eastAsia="zh-CN"/>
              </w:rPr>
              <w:t>65</w:t>
            </w:r>
          </w:p>
        </w:tc>
      </w:tr>
      <w:tr w14:paraId="057DC74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562" w:hRule="atLeast"/>
          <w:jc w:val="center"/>
        </w:trPr>
        <w:tc>
          <w:tcPr>
            <w:tcW w:w="680" w:type="dxa"/>
            <w:vMerge w:val="continue"/>
            <w:tcBorders>
              <w:left w:val="single" w:color="000000" w:sz="8" w:space="0"/>
              <w:right w:val="single" w:color="000000" w:sz="8" w:space="0"/>
            </w:tcBorders>
            <w:vAlign w:val="top"/>
          </w:tcPr>
          <w:p w14:paraId="105616FE">
            <w:pPr>
              <w:keepNext w:val="0"/>
              <w:keepLines w:val="0"/>
              <w:pageBreakBefore w:val="0"/>
              <w:kinsoku/>
              <w:overflowPunct/>
              <w:topLinePunct w:val="0"/>
              <w:bidi w:val="0"/>
              <w:spacing w:line="400" w:lineRule="atLeast"/>
              <w:rPr>
                <w:rFonts w:hint="eastAsia" w:ascii="宋体" w:cs="宋体"/>
                <w:snapToGrid w:val="0"/>
                <w:kern w:val="0"/>
                <w:lang w:val="en-US" w:eastAsia="zh-CN"/>
              </w:rPr>
            </w:pPr>
          </w:p>
        </w:tc>
        <w:tc>
          <w:tcPr>
            <w:tcW w:w="692" w:type="dxa"/>
            <w:tcBorders>
              <w:top w:val="single" w:color="000000" w:sz="8" w:space="0"/>
              <w:left w:val="single" w:color="000000" w:sz="8" w:space="0"/>
              <w:bottom w:val="single" w:color="000000" w:sz="8" w:space="0"/>
              <w:right w:val="single" w:color="000000" w:sz="8" w:space="0"/>
            </w:tcBorders>
            <w:vAlign w:val="center"/>
          </w:tcPr>
          <w:p w14:paraId="653A09E9">
            <w:pPr>
              <w:keepNext w:val="0"/>
              <w:keepLines w:val="0"/>
              <w:pageBreakBefore w:val="0"/>
              <w:kinsoku/>
              <w:overflowPunct/>
              <w:topLinePunct w:val="0"/>
              <w:bidi w:val="0"/>
              <w:spacing w:line="400" w:lineRule="atLeast"/>
              <w:rPr>
                <w:rFonts w:hint="eastAsia" w:ascii="宋体" w:cs="宋体"/>
                <w:snapToGrid w:val="0"/>
                <w:kern w:val="0"/>
                <w:lang w:eastAsia="zh-CN"/>
              </w:rPr>
            </w:pPr>
            <w:r>
              <w:rPr>
                <w:rFonts w:hint="eastAsia" w:ascii="宋体" w:cs="宋体"/>
                <w:snapToGrid w:val="0"/>
                <w:kern w:val="0"/>
              </w:rPr>
              <w:t>序号</w:t>
            </w:r>
          </w:p>
        </w:tc>
        <w:tc>
          <w:tcPr>
            <w:tcW w:w="1683" w:type="dxa"/>
            <w:gridSpan w:val="3"/>
            <w:tcBorders>
              <w:top w:val="single" w:color="000000" w:sz="8" w:space="0"/>
              <w:left w:val="single" w:color="000000" w:sz="8" w:space="0"/>
              <w:bottom w:val="single" w:color="000000" w:sz="8" w:space="0"/>
              <w:right w:val="single" w:color="000000" w:sz="8" w:space="0"/>
            </w:tcBorders>
            <w:vAlign w:val="center"/>
          </w:tcPr>
          <w:p w14:paraId="3DB62A0C">
            <w:pPr>
              <w:keepNext w:val="0"/>
              <w:keepLines w:val="0"/>
              <w:pageBreakBefore w:val="0"/>
              <w:kinsoku/>
              <w:overflowPunct/>
              <w:topLinePunct w:val="0"/>
              <w:bidi w:val="0"/>
              <w:spacing w:line="400" w:lineRule="atLeast"/>
              <w:rPr>
                <w:rFonts w:hint="eastAsia" w:ascii="宋体" w:cs="宋体"/>
                <w:snapToGrid w:val="0"/>
                <w:kern w:val="0"/>
              </w:rPr>
            </w:pPr>
            <w:r>
              <w:rPr>
                <w:rFonts w:hint="eastAsia" w:ascii="宋体" w:cs="宋体"/>
                <w:snapToGrid w:val="0"/>
                <w:kern w:val="0"/>
              </w:rPr>
              <w:t>评分因素</w:t>
            </w:r>
          </w:p>
        </w:tc>
        <w:tc>
          <w:tcPr>
            <w:tcW w:w="1089" w:type="dxa"/>
            <w:tcBorders>
              <w:top w:val="single" w:color="000000" w:sz="8" w:space="0"/>
              <w:left w:val="single" w:color="000000" w:sz="8" w:space="0"/>
              <w:bottom w:val="single" w:color="000000" w:sz="8" w:space="0"/>
              <w:right w:val="single" w:color="000000" w:sz="8" w:space="0"/>
            </w:tcBorders>
            <w:vAlign w:val="center"/>
          </w:tcPr>
          <w:p w14:paraId="31CB28AE">
            <w:pPr>
              <w:keepNext w:val="0"/>
              <w:keepLines w:val="0"/>
              <w:pageBreakBefore w:val="0"/>
              <w:kinsoku/>
              <w:overflowPunct/>
              <w:topLinePunct w:val="0"/>
              <w:bidi w:val="0"/>
              <w:spacing w:line="400" w:lineRule="atLeast"/>
              <w:rPr>
                <w:rFonts w:hint="eastAsia" w:ascii="宋体" w:cs="宋体"/>
                <w:snapToGrid w:val="0"/>
                <w:kern w:val="0"/>
              </w:rPr>
            </w:pPr>
            <w:r>
              <w:rPr>
                <w:rFonts w:hint="eastAsia" w:ascii="宋体" w:cs="宋体"/>
                <w:snapToGrid w:val="0"/>
                <w:kern w:val="0"/>
              </w:rPr>
              <w:t>权重(%)</w:t>
            </w:r>
          </w:p>
        </w:tc>
        <w:tc>
          <w:tcPr>
            <w:tcW w:w="4928" w:type="dxa"/>
            <w:tcBorders>
              <w:top w:val="single" w:color="000000" w:sz="8" w:space="0"/>
              <w:left w:val="single" w:color="000000" w:sz="8" w:space="0"/>
              <w:bottom w:val="single" w:color="000000" w:sz="8" w:space="0"/>
              <w:right w:val="single" w:color="000000" w:sz="8" w:space="0"/>
            </w:tcBorders>
            <w:vAlign w:val="center"/>
          </w:tcPr>
          <w:p w14:paraId="1A25BF3E">
            <w:pPr>
              <w:keepNext w:val="0"/>
              <w:keepLines w:val="0"/>
              <w:pageBreakBefore w:val="0"/>
              <w:kinsoku/>
              <w:overflowPunct/>
              <w:topLinePunct w:val="0"/>
              <w:bidi w:val="0"/>
              <w:spacing w:line="400" w:lineRule="atLeast"/>
              <w:rPr>
                <w:rFonts w:hint="eastAsia" w:ascii="宋体" w:cs="宋体"/>
                <w:snapToGrid w:val="0"/>
                <w:kern w:val="0"/>
                <w:lang w:val="en-US" w:eastAsia="zh-CN"/>
              </w:rPr>
            </w:pPr>
            <w:r>
              <w:rPr>
                <w:rFonts w:hint="eastAsia" w:ascii="宋体" w:cs="宋体"/>
                <w:snapToGrid w:val="0"/>
                <w:kern w:val="0"/>
              </w:rPr>
              <w:t>评分准则</w:t>
            </w:r>
          </w:p>
        </w:tc>
      </w:tr>
      <w:tr w14:paraId="49285E7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left w:val="single" w:color="000000" w:sz="8" w:space="0"/>
              <w:right w:val="single" w:color="000000" w:sz="8" w:space="0"/>
            </w:tcBorders>
            <w:vAlign w:val="top"/>
          </w:tcPr>
          <w:p w14:paraId="3E45A703">
            <w:pPr>
              <w:keepNext w:val="0"/>
              <w:keepLines w:val="0"/>
              <w:pageBreakBefore w:val="0"/>
              <w:kinsoku/>
              <w:overflowPunct/>
              <w:topLinePunct w:val="0"/>
              <w:bidi w:val="0"/>
              <w:spacing w:line="400" w:lineRule="atLeast"/>
              <w:rPr>
                <w:rFonts w:hint="eastAsia" w:ascii="宋体" w:cs="宋体"/>
                <w:snapToGrid w:val="0"/>
                <w:kern w:val="0"/>
              </w:rPr>
            </w:pPr>
          </w:p>
        </w:tc>
        <w:tc>
          <w:tcPr>
            <w:tcW w:w="702" w:type="dxa"/>
            <w:gridSpan w:val="2"/>
            <w:tcBorders>
              <w:top w:val="single" w:color="000000" w:sz="8" w:space="0"/>
              <w:left w:val="single" w:color="000000" w:sz="8" w:space="0"/>
              <w:bottom w:val="single" w:color="000000" w:sz="8" w:space="0"/>
              <w:right w:val="single" w:color="000000" w:sz="8" w:space="0"/>
            </w:tcBorders>
            <w:vAlign w:val="center"/>
          </w:tcPr>
          <w:p w14:paraId="13CC4F30">
            <w:pPr>
              <w:keepNext w:val="0"/>
              <w:keepLines w:val="0"/>
              <w:pageBreakBefore w:val="0"/>
              <w:kinsoku/>
              <w:overflowPunct/>
              <w:topLinePunct w:val="0"/>
              <w:bidi w:val="0"/>
              <w:spacing w:line="400" w:lineRule="atLeast"/>
              <w:rPr>
                <w:rFonts w:hint="eastAsia" w:ascii="宋体" w:cs="宋体"/>
                <w:snapToGrid w:val="0"/>
                <w:kern w:val="0"/>
                <w:lang w:val="en-US" w:eastAsia="zh-CN"/>
              </w:rPr>
            </w:pPr>
            <w:r>
              <w:rPr>
                <w:rFonts w:hint="eastAsia" w:ascii="宋体" w:cs="宋体"/>
                <w:snapToGrid w:val="0"/>
                <w:kern w:val="0"/>
                <w:lang w:val="en-US" w:eastAsia="zh-CN"/>
              </w:rPr>
              <w:t>2.1</w:t>
            </w:r>
          </w:p>
        </w:tc>
        <w:tc>
          <w:tcPr>
            <w:tcW w:w="1673" w:type="dxa"/>
            <w:gridSpan w:val="2"/>
            <w:tcBorders>
              <w:top w:val="single" w:color="000000" w:sz="8" w:space="0"/>
              <w:left w:val="single" w:color="000000" w:sz="8" w:space="0"/>
              <w:bottom w:val="single" w:color="000000" w:sz="8" w:space="0"/>
              <w:right w:val="single" w:color="000000" w:sz="8" w:space="0"/>
            </w:tcBorders>
            <w:vAlign w:val="center"/>
          </w:tcPr>
          <w:p w14:paraId="75577F27">
            <w:pPr>
              <w:keepNext w:val="0"/>
              <w:keepLines w:val="0"/>
              <w:pageBreakBefore w:val="0"/>
              <w:kinsoku/>
              <w:overflowPunct/>
              <w:topLinePunct w:val="0"/>
              <w:bidi w:val="0"/>
              <w:spacing w:line="400" w:lineRule="atLeast"/>
              <w:rPr>
                <w:rFonts w:hint="eastAsia" w:ascii="宋体" w:cs="宋体"/>
                <w:snapToGrid w:val="0"/>
                <w:kern w:val="0"/>
              </w:rPr>
            </w:pPr>
            <w:r>
              <w:rPr>
                <w:rFonts w:hint="eastAsia" w:ascii="仿宋" w:hAnsi="仿宋" w:eastAsia="仿宋" w:cs="仿宋"/>
                <w:color w:val="auto"/>
                <w:sz w:val="24"/>
                <w:szCs w:val="24"/>
                <w:highlight w:val="none"/>
              </w:rPr>
              <w:t>车辆维保方案</w:t>
            </w:r>
          </w:p>
        </w:tc>
        <w:tc>
          <w:tcPr>
            <w:tcW w:w="1089" w:type="dxa"/>
            <w:tcBorders>
              <w:top w:val="single" w:color="000000" w:sz="8" w:space="0"/>
              <w:left w:val="single" w:color="000000" w:sz="8" w:space="0"/>
              <w:bottom w:val="single" w:color="000000" w:sz="8" w:space="0"/>
              <w:right w:val="single" w:color="000000" w:sz="8" w:space="0"/>
            </w:tcBorders>
            <w:vAlign w:val="center"/>
          </w:tcPr>
          <w:p w14:paraId="2D63D220">
            <w:pPr>
              <w:keepNext w:val="0"/>
              <w:keepLines w:val="0"/>
              <w:pageBreakBefore w:val="0"/>
              <w:kinsoku/>
              <w:overflowPunct/>
              <w:topLinePunct w:val="0"/>
              <w:bidi w:val="0"/>
              <w:spacing w:line="400" w:lineRule="atLeast"/>
              <w:rPr>
                <w:rFonts w:hint="default" w:ascii="宋体" w:cs="宋体" w:eastAsiaTheme="minorEastAsia"/>
                <w:snapToGrid w:val="0"/>
                <w:kern w:val="0"/>
                <w:lang w:val="en-US" w:eastAsia="zh-CN"/>
              </w:rPr>
            </w:pPr>
            <w:r>
              <w:rPr>
                <w:rFonts w:hint="eastAsia" w:ascii="宋体" w:cs="宋体"/>
                <w:snapToGrid w:val="0"/>
                <w:kern w:val="0"/>
                <w:lang w:val="en-US" w:eastAsia="zh-CN"/>
              </w:rPr>
              <w:t>15</w:t>
            </w:r>
          </w:p>
        </w:tc>
        <w:tc>
          <w:tcPr>
            <w:tcW w:w="4928" w:type="dxa"/>
            <w:tcBorders>
              <w:top w:val="single" w:color="000000" w:sz="8" w:space="0"/>
              <w:left w:val="single" w:color="000000" w:sz="8" w:space="0"/>
              <w:bottom w:val="single" w:color="000000" w:sz="8" w:space="0"/>
              <w:right w:val="single" w:color="000000" w:sz="8" w:space="0"/>
            </w:tcBorders>
            <w:vAlign w:val="center"/>
          </w:tcPr>
          <w:p w14:paraId="6D44427E">
            <w:pPr>
              <w:widowControl/>
              <w:ind w:firstLine="0" w:firstLineChars="0"/>
              <w:jc w:val="left"/>
              <w:rPr>
                <w:rFonts w:hint="eastAsia" w:ascii="仿宋" w:hAnsi="仿宋" w:eastAsia="仿宋" w:cs="仿宋"/>
                <w:color w:val="auto"/>
                <w:sz w:val="24"/>
              </w:rPr>
            </w:pPr>
            <w:r>
              <w:rPr>
                <w:rFonts w:hint="eastAsia" w:ascii="仿宋" w:hAnsi="仿宋" w:eastAsia="仿宋" w:cs="仿宋"/>
                <w:color w:val="auto"/>
                <w:sz w:val="24"/>
                <w:lang w:eastAsia="zh-CN"/>
              </w:rPr>
              <w:t>（一）评分</w:t>
            </w:r>
            <w:r>
              <w:rPr>
                <w:rFonts w:hint="eastAsia" w:ascii="仿宋" w:hAnsi="仿宋" w:eastAsia="仿宋" w:cs="仿宋"/>
                <w:color w:val="auto"/>
                <w:sz w:val="24"/>
              </w:rPr>
              <w:t>内容：</w:t>
            </w:r>
          </w:p>
          <w:p w14:paraId="3EE035DF">
            <w:pPr>
              <w:widowControl/>
              <w:ind w:firstLine="0" w:firstLineChars="0"/>
              <w:jc w:val="left"/>
              <w:rPr>
                <w:rFonts w:hint="eastAsia" w:ascii="仿宋" w:hAnsi="仿宋" w:eastAsia="仿宋" w:cs="仿宋"/>
                <w:color w:val="auto"/>
                <w:sz w:val="24"/>
                <w:lang w:eastAsia="zh-CN"/>
              </w:rPr>
            </w:pPr>
            <w:r>
              <w:rPr>
                <w:rFonts w:hint="eastAsia" w:ascii="仿宋" w:hAnsi="仿宋" w:eastAsia="仿宋" w:cs="仿宋"/>
                <w:color w:val="auto"/>
                <w:sz w:val="24"/>
              </w:rPr>
              <w:t>投标人说明对车辆的保养方案</w:t>
            </w:r>
            <w:r>
              <w:rPr>
                <w:rFonts w:hint="eastAsia" w:ascii="仿宋" w:hAnsi="仿宋" w:eastAsia="仿宋" w:cs="仿宋"/>
                <w:color w:val="auto"/>
                <w:sz w:val="24"/>
                <w:lang w:eastAsia="zh-CN"/>
              </w:rPr>
              <w:t>，包括但不限于以下几点：</w:t>
            </w:r>
          </w:p>
          <w:p w14:paraId="5941017A">
            <w:pPr>
              <w:widowControl/>
              <w:ind w:firstLine="0" w:firstLineChars="0"/>
              <w:jc w:val="left"/>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1、明确的配件维修流程；</w:t>
            </w:r>
          </w:p>
          <w:p w14:paraId="47D39A85">
            <w:pPr>
              <w:widowControl/>
              <w:numPr>
                <w:ilvl w:val="-1"/>
                <w:numId w:val="0"/>
              </w:numPr>
              <w:ind w:firstLine="0" w:firstLineChars="0"/>
              <w:jc w:val="left"/>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2、明确的车辆保养流程；</w:t>
            </w:r>
          </w:p>
          <w:p w14:paraId="0DBFDBB5">
            <w:pPr>
              <w:widowControl/>
              <w:numPr>
                <w:ilvl w:val="-1"/>
                <w:numId w:val="0"/>
              </w:numPr>
              <w:ind w:firstLine="0" w:firstLineChars="0"/>
              <w:jc w:val="left"/>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3、对于突发的应急维修的响应方案（包含响应时间、维修流程等）</w:t>
            </w:r>
          </w:p>
          <w:p w14:paraId="67991074">
            <w:pPr>
              <w:widowControl/>
              <w:numPr>
                <w:ilvl w:val="-1"/>
                <w:numId w:val="0"/>
              </w:numPr>
              <w:ind w:firstLine="0" w:firstLineChars="0"/>
              <w:jc w:val="left"/>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4、对于供应商原因造成医院损失的补救方案；</w:t>
            </w:r>
          </w:p>
          <w:p w14:paraId="2B9FBD47">
            <w:pPr>
              <w:widowControl/>
              <w:numPr>
                <w:ilvl w:val="-1"/>
                <w:numId w:val="0"/>
              </w:numPr>
              <w:ind w:firstLine="0" w:firstLineChars="0"/>
              <w:jc w:val="left"/>
              <w:rPr>
                <w:rFonts w:hint="eastAsia" w:ascii="仿宋" w:hAnsi="仿宋" w:eastAsia="仿宋" w:cs="仿宋"/>
                <w:color w:val="auto"/>
                <w:sz w:val="24"/>
                <w:lang w:eastAsia="zh-CN"/>
              </w:rPr>
            </w:pPr>
            <w:r>
              <w:rPr>
                <w:rFonts w:hint="eastAsia" w:ascii="仿宋" w:hAnsi="仿宋" w:eastAsia="仿宋" w:cs="仿宋"/>
                <w:color w:val="auto"/>
                <w:sz w:val="24"/>
                <w:lang w:eastAsia="zh-CN"/>
              </w:rPr>
              <w:t>（二）评分依据：</w:t>
            </w:r>
          </w:p>
          <w:p w14:paraId="1380CFA1">
            <w:pPr>
              <w:widowControl/>
              <w:ind w:firstLine="0" w:firstLineChars="0"/>
              <w:jc w:val="left"/>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1、上述内容每提供一项得2分，其他情况不得分，最高得8分。</w:t>
            </w:r>
          </w:p>
          <w:p w14:paraId="4A50D133">
            <w:pPr>
              <w:widowControl/>
              <w:ind w:firstLine="0" w:firstLineChars="0"/>
              <w:jc w:val="left"/>
              <w:rPr>
                <w:rFonts w:hint="eastAsia" w:ascii="仿宋" w:hAnsi="仿宋" w:eastAsia="仿宋" w:cs="仿宋"/>
                <w:color w:val="auto"/>
                <w:sz w:val="24"/>
                <w:lang w:eastAsia="zh-CN"/>
              </w:rPr>
            </w:pPr>
            <w:r>
              <w:rPr>
                <w:rFonts w:hint="eastAsia" w:ascii="仿宋" w:hAnsi="仿宋" w:eastAsia="仿宋" w:cs="仿宋"/>
                <w:color w:val="auto"/>
                <w:sz w:val="24"/>
                <w:lang w:val="en-US" w:eastAsia="zh-CN"/>
              </w:rPr>
              <w:t>2、</w:t>
            </w:r>
            <w:r>
              <w:rPr>
                <w:rFonts w:hint="eastAsia" w:ascii="仿宋" w:hAnsi="仿宋" w:eastAsia="仿宋" w:cs="仿宋"/>
                <w:color w:val="auto"/>
                <w:sz w:val="24"/>
                <w:lang w:eastAsia="zh-CN"/>
              </w:rPr>
              <w:t>在此基础上</w:t>
            </w:r>
            <w:r>
              <w:rPr>
                <w:rFonts w:hint="eastAsia" w:ascii="仿宋" w:hAnsi="仿宋" w:eastAsia="仿宋" w:cs="仿宋"/>
                <w:color w:val="auto"/>
                <w:sz w:val="24"/>
                <w:lang w:val="en-US" w:eastAsia="zh-CN"/>
              </w:rPr>
              <w:t>，专家根据各投标人的具体措施内容进一步评审：</w:t>
            </w:r>
          </w:p>
          <w:p w14:paraId="59FA21FB">
            <w:pPr>
              <w:widowControl/>
              <w:ind w:firstLine="0" w:firstLineChars="0"/>
              <w:jc w:val="left"/>
              <w:rPr>
                <w:rFonts w:hint="eastAsia" w:ascii="仿宋" w:hAnsi="仿宋" w:eastAsia="仿宋" w:cs="仿宋"/>
                <w:color w:val="auto"/>
                <w:sz w:val="24"/>
              </w:rPr>
            </w:pPr>
            <w:r>
              <w:rPr>
                <w:rFonts w:hint="eastAsia" w:ascii="仿宋" w:hAnsi="仿宋" w:eastAsia="仿宋" w:cs="仿宋"/>
                <w:color w:val="auto"/>
                <w:sz w:val="24"/>
                <w:lang w:val="en-US" w:eastAsia="zh-CN"/>
              </w:rPr>
              <w:t>（1）</w:t>
            </w:r>
            <w:r>
              <w:rPr>
                <w:rFonts w:hint="eastAsia" w:ascii="仿宋" w:hAnsi="仿宋" w:eastAsia="仿宋" w:cs="仿宋"/>
                <w:color w:val="auto"/>
                <w:sz w:val="24"/>
              </w:rPr>
              <w:t>投标人对本项目的保养方案合理性强</w:t>
            </w:r>
            <w:r>
              <w:rPr>
                <w:rFonts w:hint="eastAsia" w:ascii="仿宋" w:hAnsi="仿宋" w:eastAsia="仿宋" w:cs="仿宋"/>
                <w:color w:val="auto"/>
                <w:sz w:val="24"/>
                <w:lang w:eastAsia="zh-CN"/>
              </w:rPr>
              <w:t>或</w:t>
            </w:r>
            <w:r>
              <w:rPr>
                <w:rFonts w:hint="eastAsia" w:ascii="仿宋" w:hAnsi="仿宋" w:eastAsia="仿宋" w:cs="仿宋"/>
                <w:color w:val="auto"/>
                <w:sz w:val="24"/>
              </w:rPr>
              <w:t>应急措施可操作性强，得</w:t>
            </w:r>
            <w:r>
              <w:rPr>
                <w:rFonts w:hint="eastAsia" w:ascii="仿宋" w:hAnsi="仿宋" w:eastAsia="仿宋" w:cs="仿宋"/>
                <w:color w:val="auto"/>
                <w:sz w:val="24"/>
                <w:lang w:val="en-US" w:eastAsia="zh-CN"/>
              </w:rPr>
              <w:t>7</w:t>
            </w:r>
            <w:r>
              <w:rPr>
                <w:rFonts w:hint="eastAsia" w:ascii="仿宋" w:hAnsi="仿宋" w:eastAsia="仿宋" w:cs="仿宋"/>
                <w:color w:val="auto"/>
                <w:sz w:val="24"/>
              </w:rPr>
              <w:t>分；</w:t>
            </w:r>
          </w:p>
          <w:p w14:paraId="0213957F">
            <w:pPr>
              <w:widowControl/>
              <w:ind w:firstLine="0" w:firstLineChars="0"/>
              <w:jc w:val="left"/>
              <w:rPr>
                <w:rFonts w:hint="eastAsia" w:ascii="仿宋" w:hAnsi="仿宋" w:eastAsia="仿宋" w:cs="仿宋"/>
                <w:color w:val="auto"/>
                <w:sz w:val="24"/>
              </w:rPr>
            </w:pPr>
            <w:r>
              <w:rPr>
                <w:rFonts w:hint="eastAsia" w:ascii="仿宋" w:hAnsi="仿宋" w:eastAsia="仿宋" w:cs="仿宋"/>
                <w:color w:val="auto"/>
                <w:sz w:val="24"/>
                <w:lang w:val="en-US" w:eastAsia="zh-CN"/>
              </w:rPr>
              <w:t>（2）</w:t>
            </w:r>
            <w:r>
              <w:rPr>
                <w:rFonts w:hint="eastAsia" w:ascii="仿宋" w:hAnsi="仿宋" w:eastAsia="仿宋" w:cs="仿宋"/>
                <w:color w:val="auto"/>
                <w:sz w:val="24"/>
              </w:rPr>
              <w:t>投标人对本项目的保养方案合理性较强</w:t>
            </w:r>
            <w:r>
              <w:rPr>
                <w:rFonts w:hint="eastAsia" w:ascii="仿宋" w:hAnsi="仿宋" w:eastAsia="仿宋" w:cs="仿宋"/>
                <w:color w:val="auto"/>
                <w:sz w:val="24"/>
                <w:lang w:eastAsia="zh-CN"/>
              </w:rPr>
              <w:t>或</w:t>
            </w:r>
            <w:r>
              <w:rPr>
                <w:rFonts w:hint="eastAsia" w:ascii="仿宋" w:hAnsi="仿宋" w:eastAsia="仿宋" w:cs="仿宋"/>
                <w:color w:val="auto"/>
                <w:sz w:val="24"/>
              </w:rPr>
              <w:t>应急措施可操作性较强，得</w:t>
            </w:r>
            <w:r>
              <w:rPr>
                <w:rFonts w:hint="eastAsia" w:ascii="仿宋" w:hAnsi="仿宋" w:eastAsia="仿宋" w:cs="仿宋"/>
                <w:color w:val="auto"/>
                <w:sz w:val="24"/>
                <w:lang w:val="en-US" w:eastAsia="zh-CN"/>
              </w:rPr>
              <w:t>4</w:t>
            </w:r>
            <w:r>
              <w:rPr>
                <w:rFonts w:hint="eastAsia" w:ascii="仿宋" w:hAnsi="仿宋" w:eastAsia="仿宋" w:cs="仿宋"/>
                <w:color w:val="auto"/>
                <w:sz w:val="24"/>
              </w:rPr>
              <w:t>分；</w:t>
            </w:r>
          </w:p>
          <w:p w14:paraId="470D999C">
            <w:pPr>
              <w:widowControl/>
              <w:ind w:firstLine="0" w:firstLineChars="0"/>
              <w:jc w:val="left"/>
              <w:rPr>
                <w:rFonts w:hint="eastAsia" w:ascii="仿宋" w:hAnsi="仿宋" w:eastAsia="仿宋" w:cs="仿宋"/>
                <w:color w:val="auto"/>
                <w:sz w:val="24"/>
              </w:rPr>
            </w:pPr>
            <w:r>
              <w:rPr>
                <w:rFonts w:hint="eastAsia" w:ascii="仿宋" w:hAnsi="仿宋" w:eastAsia="仿宋" w:cs="仿宋"/>
                <w:color w:val="auto"/>
                <w:sz w:val="24"/>
                <w:lang w:val="en-US" w:eastAsia="zh-CN"/>
              </w:rPr>
              <w:t>（3）</w:t>
            </w:r>
            <w:r>
              <w:rPr>
                <w:rFonts w:hint="eastAsia" w:ascii="仿宋" w:hAnsi="仿宋" w:eastAsia="仿宋" w:cs="仿宋"/>
                <w:color w:val="auto"/>
                <w:sz w:val="24"/>
              </w:rPr>
              <w:t>投标人对本项目的保养方案合理性一般</w:t>
            </w:r>
            <w:r>
              <w:rPr>
                <w:rFonts w:hint="eastAsia" w:ascii="仿宋" w:hAnsi="仿宋" w:eastAsia="仿宋" w:cs="仿宋"/>
                <w:color w:val="auto"/>
                <w:sz w:val="24"/>
                <w:lang w:eastAsia="zh-CN"/>
              </w:rPr>
              <w:t>或</w:t>
            </w:r>
            <w:r>
              <w:rPr>
                <w:rFonts w:hint="eastAsia" w:ascii="仿宋" w:hAnsi="仿宋" w:eastAsia="仿宋" w:cs="仿宋"/>
                <w:color w:val="auto"/>
                <w:sz w:val="24"/>
              </w:rPr>
              <w:t>应急措施可操作性一般，得</w:t>
            </w:r>
            <w:r>
              <w:rPr>
                <w:rFonts w:hint="eastAsia" w:ascii="仿宋" w:hAnsi="仿宋" w:eastAsia="仿宋" w:cs="仿宋"/>
                <w:color w:val="auto"/>
                <w:sz w:val="24"/>
                <w:lang w:val="en-US" w:eastAsia="zh-CN"/>
              </w:rPr>
              <w:t>2</w:t>
            </w:r>
            <w:r>
              <w:rPr>
                <w:rFonts w:hint="eastAsia" w:ascii="仿宋" w:hAnsi="仿宋" w:eastAsia="仿宋" w:cs="仿宋"/>
                <w:color w:val="auto"/>
                <w:sz w:val="24"/>
              </w:rPr>
              <w:t>分；</w:t>
            </w:r>
          </w:p>
          <w:p w14:paraId="6EE86772">
            <w:pPr>
              <w:keepNext w:val="0"/>
              <w:keepLines w:val="0"/>
              <w:pageBreakBefore w:val="0"/>
              <w:widowControl/>
              <w:kinsoku/>
              <w:overflowPunct/>
              <w:topLinePunct w:val="0"/>
              <w:bidi w:val="0"/>
              <w:spacing w:line="240" w:lineRule="auto"/>
              <w:jc w:val="left"/>
              <w:rPr>
                <w:rFonts w:hint="eastAsia" w:ascii="宋体" w:cs="宋体"/>
                <w:snapToGrid w:val="0"/>
                <w:kern w:val="0"/>
              </w:rPr>
            </w:pPr>
            <w:r>
              <w:rPr>
                <w:rFonts w:hint="eastAsia" w:ascii="仿宋" w:hAnsi="仿宋" w:eastAsia="仿宋" w:cs="仿宋"/>
                <w:color w:val="auto"/>
                <w:sz w:val="24"/>
                <w:lang w:val="en-US" w:eastAsia="zh-CN"/>
              </w:rPr>
              <w:t>（4）</w:t>
            </w:r>
            <w:r>
              <w:rPr>
                <w:rFonts w:hint="eastAsia" w:ascii="仿宋" w:hAnsi="仿宋" w:eastAsia="仿宋" w:cs="仿宋"/>
                <w:color w:val="auto"/>
                <w:sz w:val="24"/>
              </w:rPr>
              <w:t>投标人对本项目的保养方案合理性较差</w:t>
            </w:r>
            <w:r>
              <w:rPr>
                <w:rFonts w:hint="eastAsia" w:ascii="仿宋" w:hAnsi="仿宋" w:eastAsia="仿宋" w:cs="仿宋"/>
                <w:color w:val="auto"/>
                <w:sz w:val="24"/>
                <w:lang w:eastAsia="zh-CN"/>
              </w:rPr>
              <w:t>或</w:t>
            </w:r>
            <w:r>
              <w:rPr>
                <w:rFonts w:hint="eastAsia" w:ascii="仿宋" w:hAnsi="仿宋" w:eastAsia="仿宋" w:cs="仿宋"/>
                <w:color w:val="auto"/>
                <w:sz w:val="24"/>
              </w:rPr>
              <w:t>应急措施可操作性较差，得</w:t>
            </w:r>
            <w:r>
              <w:rPr>
                <w:rFonts w:hint="eastAsia" w:ascii="仿宋" w:hAnsi="仿宋" w:eastAsia="仿宋" w:cs="仿宋"/>
                <w:color w:val="auto"/>
                <w:sz w:val="24"/>
                <w:lang w:val="en-US" w:eastAsia="zh-CN"/>
              </w:rPr>
              <w:t>0</w:t>
            </w:r>
            <w:r>
              <w:rPr>
                <w:rFonts w:hint="eastAsia" w:ascii="仿宋" w:hAnsi="仿宋" w:eastAsia="仿宋" w:cs="仿宋"/>
                <w:color w:val="auto"/>
                <w:sz w:val="24"/>
              </w:rPr>
              <w:t>分</w:t>
            </w:r>
            <w:r>
              <w:rPr>
                <w:rFonts w:hint="eastAsia" w:ascii="仿宋" w:hAnsi="仿宋" w:eastAsia="仿宋" w:cs="仿宋"/>
                <w:color w:val="auto"/>
                <w:sz w:val="24"/>
                <w:lang w:val="en-US" w:eastAsia="zh-CN"/>
              </w:rPr>
              <w:t>。</w:t>
            </w:r>
          </w:p>
        </w:tc>
      </w:tr>
      <w:tr w14:paraId="5100B82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left w:val="single" w:color="000000" w:sz="8" w:space="0"/>
              <w:right w:val="single" w:color="000000" w:sz="8" w:space="0"/>
            </w:tcBorders>
            <w:vAlign w:val="top"/>
          </w:tcPr>
          <w:p w14:paraId="1FBA4B6F">
            <w:pPr>
              <w:keepNext w:val="0"/>
              <w:keepLines w:val="0"/>
              <w:pageBreakBefore w:val="0"/>
              <w:kinsoku/>
              <w:overflowPunct/>
              <w:topLinePunct w:val="0"/>
              <w:bidi w:val="0"/>
              <w:spacing w:line="400" w:lineRule="atLeast"/>
              <w:rPr>
                <w:rFonts w:hint="eastAsia" w:ascii="宋体" w:cs="宋体"/>
                <w:snapToGrid w:val="0"/>
                <w:kern w:val="0"/>
              </w:rPr>
            </w:pPr>
          </w:p>
        </w:tc>
        <w:tc>
          <w:tcPr>
            <w:tcW w:w="702" w:type="dxa"/>
            <w:gridSpan w:val="2"/>
            <w:tcBorders>
              <w:top w:val="single" w:color="000000" w:sz="8" w:space="0"/>
              <w:left w:val="single" w:color="000000" w:sz="8" w:space="0"/>
              <w:bottom w:val="single" w:color="000000" w:sz="8" w:space="0"/>
              <w:right w:val="single" w:color="000000" w:sz="8" w:space="0"/>
            </w:tcBorders>
            <w:vAlign w:val="center"/>
          </w:tcPr>
          <w:p w14:paraId="79AA170B">
            <w:pPr>
              <w:keepNext w:val="0"/>
              <w:keepLines w:val="0"/>
              <w:pageBreakBefore w:val="0"/>
              <w:kinsoku/>
              <w:overflowPunct/>
              <w:topLinePunct w:val="0"/>
              <w:bidi w:val="0"/>
              <w:spacing w:line="400" w:lineRule="atLeast"/>
              <w:rPr>
                <w:rFonts w:hint="default" w:ascii="宋体" w:cs="宋体"/>
                <w:snapToGrid w:val="0"/>
                <w:kern w:val="0"/>
                <w:lang w:val="en-US" w:eastAsia="zh-CN"/>
              </w:rPr>
            </w:pPr>
            <w:r>
              <w:rPr>
                <w:rFonts w:hint="eastAsia" w:ascii="宋体" w:cs="宋体"/>
                <w:snapToGrid w:val="0"/>
                <w:kern w:val="0"/>
                <w:lang w:val="en-US" w:eastAsia="zh-CN"/>
              </w:rPr>
              <w:t>2.2</w:t>
            </w:r>
          </w:p>
        </w:tc>
        <w:tc>
          <w:tcPr>
            <w:tcW w:w="1673" w:type="dxa"/>
            <w:gridSpan w:val="2"/>
            <w:tcBorders>
              <w:top w:val="single" w:color="000000" w:sz="8" w:space="0"/>
              <w:left w:val="single" w:color="000000" w:sz="8" w:space="0"/>
              <w:bottom w:val="single" w:color="000000" w:sz="8" w:space="0"/>
              <w:right w:val="single" w:color="000000" w:sz="8" w:space="0"/>
            </w:tcBorders>
            <w:vAlign w:val="center"/>
          </w:tcPr>
          <w:p w14:paraId="0A64ACBF">
            <w:pPr>
              <w:keepNext w:val="0"/>
              <w:keepLines w:val="0"/>
              <w:pageBreakBefore w:val="0"/>
              <w:kinsoku/>
              <w:overflowPunct/>
              <w:topLinePunct w:val="0"/>
              <w:bidi w:val="0"/>
              <w:spacing w:line="400" w:lineRule="atLeast"/>
              <w:rPr>
                <w:rFonts w:hint="eastAsia" w:ascii="仿宋" w:hAnsi="仿宋" w:eastAsia="仿宋" w:cs="仿宋"/>
                <w:color w:val="auto"/>
                <w:sz w:val="24"/>
                <w:szCs w:val="24"/>
                <w:highlight w:val="none"/>
              </w:rPr>
            </w:pPr>
            <w:r>
              <w:rPr>
                <w:rFonts w:hint="eastAsia" w:ascii="宋体" w:hAnsi="宋体" w:eastAsia="宋体" w:cs="宋体"/>
                <w:color w:val="auto"/>
                <w:sz w:val="21"/>
                <w:szCs w:val="21"/>
                <w:highlight w:val="none"/>
                <w:lang w:val="en-US" w:eastAsia="zh-CN"/>
              </w:rPr>
              <w:t>突发情况应急方案</w:t>
            </w:r>
          </w:p>
        </w:tc>
        <w:tc>
          <w:tcPr>
            <w:tcW w:w="1089" w:type="dxa"/>
            <w:tcBorders>
              <w:top w:val="single" w:color="000000" w:sz="8" w:space="0"/>
              <w:left w:val="single" w:color="000000" w:sz="8" w:space="0"/>
              <w:bottom w:val="single" w:color="000000" w:sz="8" w:space="0"/>
              <w:right w:val="single" w:color="000000" w:sz="8" w:space="0"/>
            </w:tcBorders>
            <w:vAlign w:val="center"/>
          </w:tcPr>
          <w:p w14:paraId="64F15107">
            <w:pPr>
              <w:keepNext w:val="0"/>
              <w:keepLines w:val="0"/>
              <w:pageBreakBefore w:val="0"/>
              <w:kinsoku/>
              <w:overflowPunct/>
              <w:topLinePunct w:val="0"/>
              <w:bidi w:val="0"/>
              <w:spacing w:line="400" w:lineRule="atLeast"/>
              <w:rPr>
                <w:rFonts w:hint="default" w:ascii="宋体" w:cs="宋体" w:eastAsiaTheme="minorEastAsia"/>
                <w:snapToGrid w:val="0"/>
                <w:kern w:val="0"/>
                <w:lang w:val="en-US" w:eastAsia="zh-CN"/>
              </w:rPr>
            </w:pPr>
            <w:r>
              <w:rPr>
                <w:rFonts w:hint="eastAsia" w:ascii="宋体" w:cs="宋体"/>
                <w:snapToGrid w:val="0"/>
                <w:kern w:val="0"/>
                <w:lang w:val="en-US" w:eastAsia="zh-CN"/>
              </w:rPr>
              <w:t>10</w:t>
            </w:r>
          </w:p>
        </w:tc>
        <w:tc>
          <w:tcPr>
            <w:tcW w:w="4928" w:type="dxa"/>
            <w:tcBorders>
              <w:top w:val="single" w:color="000000" w:sz="8" w:space="0"/>
              <w:left w:val="single" w:color="000000" w:sz="8" w:space="0"/>
              <w:bottom w:val="single" w:color="000000" w:sz="8" w:space="0"/>
              <w:right w:val="single" w:color="000000" w:sz="8" w:space="0"/>
            </w:tcBorders>
            <w:vAlign w:val="center"/>
          </w:tcPr>
          <w:p w14:paraId="67EC4E97">
            <w:pPr>
              <w:keepNext w:val="0"/>
              <w:keepLines w:val="0"/>
              <w:pageBreakBefore w:val="0"/>
              <w:kinsoku/>
              <w:overflowPunct/>
              <w:topLinePunct w:val="0"/>
              <w:autoSpaceDE w:val="0"/>
              <w:autoSpaceDN w:val="0"/>
              <w:bidi w:val="0"/>
              <w:adjustRightInd w:val="0"/>
              <w:snapToGrid/>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（一）评分内容：</w:t>
            </w:r>
          </w:p>
          <w:p w14:paraId="47A1B058">
            <w:pPr>
              <w:keepNext w:val="0"/>
              <w:keepLines w:val="0"/>
              <w:pageBreakBefore w:val="0"/>
              <w:kinsoku/>
              <w:overflowPunct/>
              <w:topLinePunct w:val="0"/>
              <w:autoSpaceDE w:val="0"/>
              <w:autoSpaceDN w:val="0"/>
              <w:bidi w:val="0"/>
              <w:adjustRightInd w:val="0"/>
              <w:snapToGrid/>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对于本次项目，投标人应提供包含如下内容的突发情况应急方案：</w:t>
            </w:r>
          </w:p>
          <w:p w14:paraId="42A04B2A">
            <w:pPr>
              <w:keepNext w:val="0"/>
              <w:keepLines w:val="0"/>
              <w:pageBreakBefore w:val="0"/>
              <w:kinsoku/>
              <w:overflowPunct/>
              <w:topLinePunct w:val="0"/>
              <w:autoSpaceDE w:val="0"/>
              <w:autoSpaceDN w:val="0"/>
              <w:bidi w:val="0"/>
              <w:adjustRightInd w:val="0"/>
              <w:snapToGrid/>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（1）在使用过程中遇到问题的解决方案；</w:t>
            </w:r>
          </w:p>
          <w:p w14:paraId="72EE39B5">
            <w:pPr>
              <w:keepNext w:val="0"/>
              <w:keepLines w:val="0"/>
              <w:pageBreakBefore w:val="0"/>
              <w:kinsoku/>
              <w:overflowPunct/>
              <w:topLinePunct w:val="0"/>
              <w:autoSpaceDE w:val="0"/>
              <w:autoSpaceDN w:val="0"/>
              <w:bidi w:val="0"/>
              <w:adjustRightInd w:val="0"/>
              <w:snapToGrid/>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（2）汽车紧急维修救援方案。</w:t>
            </w:r>
          </w:p>
          <w:p w14:paraId="1E65DF25">
            <w:pPr>
              <w:keepNext w:val="0"/>
              <w:keepLines w:val="0"/>
              <w:pageBreakBefore w:val="0"/>
              <w:kinsoku/>
              <w:overflowPunct/>
              <w:topLinePunct w:val="0"/>
              <w:autoSpaceDE w:val="0"/>
              <w:autoSpaceDN w:val="0"/>
              <w:bidi w:val="0"/>
              <w:adjustRightInd w:val="0"/>
              <w:snapToGrid/>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（二）评分依据：</w:t>
            </w:r>
          </w:p>
          <w:p w14:paraId="709485FD">
            <w:pPr>
              <w:keepNext w:val="0"/>
              <w:keepLines w:val="0"/>
              <w:pageBreakBefore w:val="0"/>
              <w:kinsoku/>
              <w:overflowPunct/>
              <w:topLinePunct w:val="0"/>
              <w:autoSpaceDE w:val="0"/>
              <w:autoSpaceDN w:val="0"/>
              <w:bidi w:val="0"/>
              <w:adjustRightInd w:val="0"/>
              <w:snapToGrid/>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同时满足以上两项要求得5分，满足一项要求得3分，其他情况不得分。在此基础上，专家根据各供应商的具体响应内容进一步评审：</w:t>
            </w:r>
          </w:p>
          <w:p w14:paraId="3B10432F">
            <w:pPr>
              <w:keepNext w:val="0"/>
              <w:keepLines w:val="0"/>
              <w:pageBreakBefore w:val="0"/>
              <w:kinsoku/>
              <w:overflowPunct/>
              <w:topLinePunct w:val="0"/>
              <w:autoSpaceDE w:val="0"/>
              <w:autoSpaceDN w:val="0"/>
              <w:bidi w:val="0"/>
              <w:adjustRightInd w:val="0"/>
              <w:snapToGrid/>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（1）在使用过程中遇到问题的解决方案针对性强；建立的汽车紧急维修救援方案可实施性强的评审为优，加5分；</w:t>
            </w:r>
          </w:p>
          <w:p w14:paraId="084477F1">
            <w:pPr>
              <w:keepNext w:val="0"/>
              <w:keepLines w:val="0"/>
              <w:pageBreakBefore w:val="0"/>
              <w:kinsoku/>
              <w:overflowPunct/>
              <w:topLinePunct w:val="0"/>
              <w:autoSpaceDE w:val="0"/>
              <w:autoSpaceDN w:val="0"/>
              <w:bidi w:val="0"/>
              <w:adjustRightInd w:val="0"/>
              <w:snapToGrid/>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（2）在使用过程中遇到问题的解决方案针对性较强；建立的汽车紧急维修救援方案可实施性较强的评审为良，加3分；</w:t>
            </w:r>
          </w:p>
          <w:p w14:paraId="745AFB5E">
            <w:pPr>
              <w:keepNext w:val="0"/>
              <w:keepLines w:val="0"/>
              <w:pageBreakBefore w:val="0"/>
              <w:kinsoku/>
              <w:overflowPunct/>
              <w:topLinePunct w:val="0"/>
              <w:autoSpaceDE w:val="0"/>
              <w:autoSpaceDN w:val="0"/>
              <w:bidi w:val="0"/>
              <w:adjustRightInd w:val="0"/>
              <w:snapToGrid/>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（3）在使用过程中遇到问题的解决方案针对性一般；建立的汽车紧急维修救援方案可实施性一般的评审为中，加1分；</w:t>
            </w:r>
          </w:p>
          <w:p w14:paraId="1D420401">
            <w:pPr>
              <w:keepNext w:val="0"/>
              <w:keepLines w:val="0"/>
              <w:pageBreakBefore w:val="0"/>
              <w:widowControl/>
              <w:kinsoku/>
              <w:overflowPunct/>
              <w:topLinePunct w:val="0"/>
              <w:bidi w:val="0"/>
              <w:spacing w:line="240" w:lineRule="auto"/>
              <w:jc w:val="left"/>
              <w:rPr>
                <w:rFonts w:hint="eastAsia" w:ascii="宋体" w:cs="宋体"/>
                <w:snapToGrid w:val="0"/>
                <w:kern w:val="0"/>
              </w:rPr>
            </w:pPr>
            <w:r>
              <w:rPr>
                <w:rFonts w:hint="eastAsia" w:ascii="宋体" w:hAnsi="宋体" w:eastAsia="宋体" w:cs="宋体"/>
                <w:b w:val="0"/>
                <w:bCs w:val="0"/>
                <w:color w:val="auto"/>
                <w:sz w:val="21"/>
                <w:szCs w:val="21"/>
                <w:highlight w:val="none"/>
                <w:lang w:val="en-US" w:eastAsia="zh-CN"/>
              </w:rPr>
              <w:t>（4）其他情况评审为差，不得分。</w:t>
            </w:r>
          </w:p>
        </w:tc>
      </w:tr>
      <w:tr w14:paraId="550662E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left w:val="single" w:color="000000" w:sz="8" w:space="0"/>
              <w:right w:val="single" w:color="000000" w:sz="8" w:space="0"/>
            </w:tcBorders>
            <w:vAlign w:val="top"/>
          </w:tcPr>
          <w:p w14:paraId="292C12A5">
            <w:pPr>
              <w:keepNext w:val="0"/>
              <w:keepLines w:val="0"/>
              <w:pageBreakBefore w:val="0"/>
              <w:kinsoku/>
              <w:overflowPunct/>
              <w:topLinePunct w:val="0"/>
              <w:bidi w:val="0"/>
              <w:spacing w:line="400" w:lineRule="atLeast"/>
              <w:rPr>
                <w:rFonts w:hint="eastAsia" w:ascii="宋体" w:cs="宋体"/>
                <w:snapToGrid w:val="0"/>
                <w:kern w:val="0"/>
              </w:rPr>
            </w:pPr>
          </w:p>
        </w:tc>
        <w:tc>
          <w:tcPr>
            <w:tcW w:w="702" w:type="dxa"/>
            <w:gridSpan w:val="2"/>
            <w:tcBorders>
              <w:top w:val="single" w:color="000000" w:sz="8" w:space="0"/>
              <w:left w:val="single" w:color="000000" w:sz="8" w:space="0"/>
              <w:bottom w:val="single" w:color="000000" w:sz="8" w:space="0"/>
              <w:right w:val="single" w:color="000000" w:sz="8" w:space="0"/>
            </w:tcBorders>
            <w:vAlign w:val="center"/>
          </w:tcPr>
          <w:p w14:paraId="14C61142">
            <w:pPr>
              <w:keepNext w:val="0"/>
              <w:keepLines w:val="0"/>
              <w:pageBreakBefore w:val="0"/>
              <w:kinsoku/>
              <w:overflowPunct/>
              <w:topLinePunct w:val="0"/>
              <w:bidi w:val="0"/>
              <w:spacing w:line="400" w:lineRule="atLeast"/>
              <w:rPr>
                <w:rFonts w:hint="eastAsia" w:ascii="宋体" w:cs="宋体"/>
                <w:snapToGrid w:val="0"/>
                <w:kern w:val="0"/>
                <w:lang w:val="en-US" w:eastAsia="zh-CN"/>
              </w:rPr>
            </w:pPr>
            <w:r>
              <w:rPr>
                <w:rFonts w:hint="eastAsia" w:ascii="宋体" w:cs="宋体"/>
                <w:snapToGrid w:val="0"/>
                <w:kern w:val="0"/>
                <w:lang w:val="en-US" w:eastAsia="zh-CN"/>
              </w:rPr>
              <w:t>2.3</w:t>
            </w:r>
          </w:p>
        </w:tc>
        <w:tc>
          <w:tcPr>
            <w:tcW w:w="1673" w:type="dxa"/>
            <w:gridSpan w:val="2"/>
            <w:tcBorders>
              <w:top w:val="single" w:color="000000" w:sz="8" w:space="0"/>
              <w:left w:val="single" w:color="000000" w:sz="8" w:space="0"/>
              <w:bottom w:val="single" w:color="000000" w:sz="8" w:space="0"/>
              <w:right w:val="single" w:color="000000" w:sz="8" w:space="0"/>
            </w:tcBorders>
            <w:vAlign w:val="center"/>
          </w:tcPr>
          <w:p w14:paraId="2755E678">
            <w:pPr>
              <w:keepNext w:val="0"/>
              <w:keepLines w:val="0"/>
              <w:pageBreakBefore w:val="0"/>
              <w:kinsoku/>
              <w:overflowPunct/>
              <w:topLinePunct w:val="0"/>
              <w:bidi w:val="0"/>
              <w:spacing w:line="400" w:lineRule="atLeast"/>
              <w:rPr>
                <w:rFonts w:hint="eastAsia" w:ascii="宋体" w:cs="宋体"/>
                <w:snapToGrid w:val="0"/>
                <w:kern w:val="0"/>
              </w:rPr>
            </w:pPr>
            <w:r>
              <w:rPr>
                <w:rFonts w:hint="eastAsia" w:ascii="仿宋" w:hAnsi="仿宋" w:eastAsia="仿宋" w:cs="仿宋"/>
                <w:color w:val="auto"/>
                <w:sz w:val="24"/>
                <w:szCs w:val="24"/>
                <w:highlight w:val="none"/>
                <w:lang w:eastAsia="zh-CN"/>
              </w:rPr>
              <w:t>车辆维保便捷情况</w:t>
            </w:r>
          </w:p>
        </w:tc>
        <w:tc>
          <w:tcPr>
            <w:tcW w:w="1089" w:type="dxa"/>
            <w:tcBorders>
              <w:top w:val="single" w:color="000000" w:sz="8" w:space="0"/>
              <w:left w:val="single" w:color="000000" w:sz="8" w:space="0"/>
              <w:bottom w:val="single" w:color="000000" w:sz="8" w:space="0"/>
              <w:right w:val="single" w:color="000000" w:sz="8" w:space="0"/>
            </w:tcBorders>
            <w:vAlign w:val="center"/>
          </w:tcPr>
          <w:p w14:paraId="768D6E9E">
            <w:pPr>
              <w:keepNext w:val="0"/>
              <w:keepLines w:val="0"/>
              <w:pageBreakBefore w:val="0"/>
              <w:kinsoku/>
              <w:overflowPunct/>
              <w:topLinePunct w:val="0"/>
              <w:bidi w:val="0"/>
              <w:spacing w:line="400" w:lineRule="atLeast"/>
              <w:rPr>
                <w:rFonts w:hint="eastAsia" w:ascii="宋体" w:cs="宋体"/>
                <w:snapToGrid w:val="0"/>
                <w:kern w:val="0"/>
              </w:rPr>
            </w:pPr>
            <w:r>
              <w:rPr>
                <w:rFonts w:hint="eastAsia" w:ascii="宋体" w:cs="宋体"/>
                <w:snapToGrid w:val="0"/>
                <w:kern w:val="0"/>
                <w:lang w:val="en-US" w:eastAsia="zh-CN"/>
              </w:rPr>
              <w:t>10</w:t>
            </w:r>
          </w:p>
        </w:tc>
        <w:tc>
          <w:tcPr>
            <w:tcW w:w="4928" w:type="dxa"/>
            <w:tcBorders>
              <w:top w:val="single" w:color="000000" w:sz="8" w:space="0"/>
              <w:left w:val="single" w:color="000000" w:sz="8" w:space="0"/>
              <w:bottom w:val="single" w:color="000000" w:sz="8" w:space="0"/>
              <w:right w:val="single" w:color="000000" w:sz="8" w:space="0"/>
            </w:tcBorders>
            <w:vAlign w:val="center"/>
          </w:tcPr>
          <w:p w14:paraId="5F9005B1">
            <w:pPr>
              <w:keepNext w:val="0"/>
              <w:keepLines w:val="0"/>
              <w:pageBreakBefore w:val="0"/>
              <w:widowControl w:val="0"/>
              <w:kinsoku/>
              <w:overflowPunct/>
              <w:topLinePunct w:val="0"/>
              <w:autoSpaceDE/>
              <w:autoSpaceDN/>
              <w:bidi w:val="0"/>
              <w:adjustRightInd/>
              <w:snapToGrid/>
              <w:spacing w:line="360" w:lineRule="exact"/>
              <w:rPr>
                <w:rFonts w:hint="eastAsia" w:ascii="宋体" w:hAnsi="宋体" w:eastAsia="宋体" w:cs="宋体"/>
                <w:color w:val="auto"/>
                <w:sz w:val="22"/>
                <w:szCs w:val="22"/>
                <w:highlight w:val="none"/>
                <w:lang w:eastAsia="zh-CN" w:bidi="ar-SA"/>
              </w:rPr>
            </w:pPr>
            <w:r>
              <w:rPr>
                <w:rFonts w:hint="eastAsia" w:ascii="宋体" w:hAnsi="宋体" w:eastAsia="宋体" w:cs="宋体"/>
                <w:color w:val="auto"/>
                <w:sz w:val="22"/>
                <w:szCs w:val="22"/>
                <w:highlight w:val="none"/>
                <w:lang w:eastAsia="zh-CN" w:bidi="ar-SA"/>
              </w:rPr>
              <w:t>投标人对其服务维修网点至采购人所在地“深圳市龙岗区妇幼保健院”服务响应时间进行承诺：</w:t>
            </w:r>
          </w:p>
          <w:p w14:paraId="2D43B41B">
            <w:pPr>
              <w:keepNext w:val="0"/>
              <w:keepLines w:val="0"/>
              <w:pageBreakBefore w:val="0"/>
              <w:widowControl w:val="0"/>
              <w:kinsoku/>
              <w:overflowPunct/>
              <w:topLinePunct w:val="0"/>
              <w:autoSpaceDE/>
              <w:autoSpaceDN/>
              <w:bidi w:val="0"/>
              <w:adjustRightInd/>
              <w:snapToGrid/>
              <w:spacing w:line="360" w:lineRule="exact"/>
              <w:rPr>
                <w:rFonts w:hint="eastAsia" w:ascii="宋体" w:hAnsi="宋体" w:eastAsia="宋体" w:cs="宋体"/>
                <w:color w:val="auto"/>
                <w:sz w:val="22"/>
                <w:szCs w:val="22"/>
                <w:highlight w:val="none"/>
                <w:lang w:eastAsia="zh-CN" w:bidi="ar-SA"/>
              </w:rPr>
            </w:pPr>
            <w:r>
              <w:rPr>
                <w:rFonts w:hint="eastAsia" w:ascii="宋体" w:hAnsi="宋体" w:eastAsia="宋体" w:cs="宋体"/>
                <w:color w:val="auto"/>
                <w:sz w:val="22"/>
                <w:szCs w:val="22"/>
                <w:highlight w:val="none"/>
                <w:lang w:eastAsia="zh-CN" w:bidi="ar-SA"/>
              </w:rPr>
              <w:t>1.承诺可在</w:t>
            </w:r>
            <w:r>
              <w:rPr>
                <w:rFonts w:hint="eastAsia" w:ascii="宋体" w:hAnsi="宋体" w:cs="宋体"/>
                <w:color w:val="auto"/>
                <w:sz w:val="22"/>
                <w:szCs w:val="22"/>
                <w:highlight w:val="none"/>
                <w:lang w:val="en-US" w:eastAsia="zh-CN" w:bidi="ar-SA"/>
              </w:rPr>
              <w:t>1</w:t>
            </w:r>
            <w:r>
              <w:rPr>
                <w:rFonts w:hint="eastAsia" w:ascii="宋体" w:hAnsi="宋体" w:eastAsia="宋体" w:cs="宋体"/>
                <w:color w:val="auto"/>
                <w:sz w:val="22"/>
                <w:szCs w:val="22"/>
                <w:highlight w:val="none"/>
                <w:lang w:eastAsia="zh-CN" w:bidi="ar-SA"/>
              </w:rPr>
              <w:t>0分钟内到达的，得</w:t>
            </w:r>
            <w:r>
              <w:rPr>
                <w:rFonts w:hint="eastAsia" w:ascii="宋体" w:hAnsi="宋体" w:cs="宋体"/>
                <w:color w:val="auto"/>
                <w:sz w:val="22"/>
                <w:szCs w:val="22"/>
                <w:highlight w:val="none"/>
                <w:lang w:val="en-US" w:eastAsia="zh-CN" w:bidi="ar-SA"/>
              </w:rPr>
              <w:t>10</w:t>
            </w:r>
            <w:r>
              <w:rPr>
                <w:rFonts w:hint="eastAsia" w:ascii="宋体" w:hAnsi="宋体" w:eastAsia="宋体" w:cs="宋体"/>
                <w:color w:val="auto"/>
                <w:sz w:val="22"/>
                <w:szCs w:val="22"/>
                <w:highlight w:val="none"/>
                <w:lang w:eastAsia="zh-CN" w:bidi="ar-SA"/>
              </w:rPr>
              <w:t>分；</w:t>
            </w:r>
          </w:p>
          <w:p w14:paraId="53D4B0D0">
            <w:pPr>
              <w:keepNext w:val="0"/>
              <w:keepLines w:val="0"/>
              <w:pageBreakBefore w:val="0"/>
              <w:widowControl w:val="0"/>
              <w:kinsoku/>
              <w:overflowPunct/>
              <w:topLinePunct w:val="0"/>
              <w:autoSpaceDE/>
              <w:autoSpaceDN/>
              <w:bidi w:val="0"/>
              <w:adjustRightInd/>
              <w:snapToGrid/>
              <w:spacing w:line="360" w:lineRule="exact"/>
              <w:rPr>
                <w:rFonts w:hint="eastAsia" w:ascii="宋体" w:hAnsi="宋体" w:eastAsia="宋体" w:cs="宋体"/>
                <w:color w:val="auto"/>
                <w:sz w:val="22"/>
                <w:szCs w:val="22"/>
                <w:highlight w:val="none"/>
                <w:lang w:eastAsia="zh-CN" w:bidi="ar-SA"/>
              </w:rPr>
            </w:pPr>
            <w:r>
              <w:rPr>
                <w:rFonts w:hint="eastAsia" w:ascii="宋体" w:hAnsi="宋体" w:eastAsia="宋体" w:cs="宋体"/>
                <w:color w:val="auto"/>
                <w:sz w:val="22"/>
                <w:szCs w:val="22"/>
                <w:highlight w:val="none"/>
                <w:lang w:eastAsia="zh-CN" w:bidi="ar-SA"/>
              </w:rPr>
              <w:t>2.承诺可在</w:t>
            </w:r>
            <w:r>
              <w:rPr>
                <w:rFonts w:hint="eastAsia" w:ascii="宋体" w:hAnsi="宋体" w:cs="宋体"/>
                <w:color w:val="auto"/>
                <w:sz w:val="22"/>
                <w:szCs w:val="22"/>
                <w:highlight w:val="none"/>
                <w:lang w:val="en-US" w:eastAsia="zh-CN" w:bidi="ar-SA"/>
              </w:rPr>
              <w:t>2</w:t>
            </w:r>
            <w:r>
              <w:rPr>
                <w:rFonts w:hint="eastAsia" w:ascii="宋体" w:hAnsi="宋体" w:eastAsia="宋体" w:cs="宋体"/>
                <w:color w:val="auto"/>
                <w:sz w:val="22"/>
                <w:szCs w:val="22"/>
                <w:highlight w:val="none"/>
                <w:lang w:eastAsia="zh-CN" w:bidi="ar-SA"/>
              </w:rPr>
              <w:t>0分钟内到达的，得</w:t>
            </w:r>
            <w:r>
              <w:rPr>
                <w:rFonts w:hint="eastAsia" w:ascii="宋体" w:hAnsi="宋体" w:cs="宋体"/>
                <w:color w:val="auto"/>
                <w:sz w:val="22"/>
                <w:szCs w:val="22"/>
                <w:highlight w:val="none"/>
                <w:lang w:val="en-US" w:eastAsia="zh-CN" w:bidi="ar-SA"/>
              </w:rPr>
              <w:t>6</w:t>
            </w:r>
            <w:r>
              <w:rPr>
                <w:rFonts w:hint="eastAsia" w:ascii="宋体" w:hAnsi="宋体" w:eastAsia="宋体" w:cs="宋体"/>
                <w:color w:val="auto"/>
                <w:sz w:val="22"/>
                <w:szCs w:val="22"/>
                <w:highlight w:val="none"/>
                <w:lang w:eastAsia="zh-CN" w:bidi="ar-SA"/>
              </w:rPr>
              <w:t>分；</w:t>
            </w:r>
          </w:p>
          <w:p w14:paraId="048C3A5A">
            <w:pPr>
              <w:keepNext w:val="0"/>
              <w:keepLines w:val="0"/>
              <w:pageBreakBefore w:val="0"/>
              <w:widowControl w:val="0"/>
              <w:kinsoku/>
              <w:overflowPunct/>
              <w:topLinePunct w:val="0"/>
              <w:autoSpaceDE/>
              <w:autoSpaceDN/>
              <w:bidi w:val="0"/>
              <w:adjustRightInd/>
              <w:snapToGrid/>
              <w:spacing w:line="360" w:lineRule="exact"/>
              <w:rPr>
                <w:rFonts w:hint="eastAsia" w:ascii="宋体" w:hAnsi="宋体" w:eastAsia="宋体" w:cs="宋体"/>
                <w:color w:val="auto"/>
                <w:sz w:val="22"/>
                <w:szCs w:val="22"/>
                <w:highlight w:val="none"/>
                <w:lang w:eastAsia="zh-CN" w:bidi="ar-SA"/>
              </w:rPr>
            </w:pPr>
            <w:r>
              <w:rPr>
                <w:rFonts w:hint="eastAsia" w:ascii="宋体" w:hAnsi="宋体" w:eastAsia="宋体" w:cs="宋体"/>
                <w:color w:val="auto"/>
                <w:sz w:val="22"/>
                <w:szCs w:val="22"/>
                <w:highlight w:val="none"/>
                <w:lang w:eastAsia="zh-CN" w:bidi="ar-SA"/>
              </w:rPr>
              <w:t>3.承诺可在</w:t>
            </w:r>
            <w:r>
              <w:rPr>
                <w:rFonts w:hint="eastAsia" w:ascii="宋体" w:hAnsi="宋体" w:cs="宋体"/>
                <w:color w:val="auto"/>
                <w:sz w:val="22"/>
                <w:szCs w:val="22"/>
                <w:highlight w:val="none"/>
                <w:lang w:val="en-US" w:eastAsia="zh-CN" w:bidi="ar-SA"/>
              </w:rPr>
              <w:t>3</w:t>
            </w:r>
            <w:r>
              <w:rPr>
                <w:rFonts w:hint="eastAsia" w:ascii="宋体" w:hAnsi="宋体" w:eastAsia="宋体" w:cs="宋体"/>
                <w:color w:val="auto"/>
                <w:sz w:val="22"/>
                <w:szCs w:val="22"/>
                <w:highlight w:val="none"/>
                <w:lang w:eastAsia="zh-CN" w:bidi="ar-SA"/>
              </w:rPr>
              <w:t>0分钟内到达的，得</w:t>
            </w:r>
            <w:r>
              <w:rPr>
                <w:rFonts w:hint="eastAsia" w:ascii="宋体" w:hAnsi="宋体" w:cs="宋体"/>
                <w:color w:val="auto"/>
                <w:sz w:val="22"/>
                <w:szCs w:val="22"/>
                <w:highlight w:val="none"/>
                <w:lang w:val="en-US" w:eastAsia="zh-CN" w:bidi="ar-SA"/>
              </w:rPr>
              <w:t>2</w:t>
            </w:r>
            <w:r>
              <w:rPr>
                <w:rFonts w:hint="eastAsia" w:ascii="宋体" w:hAnsi="宋体" w:eastAsia="宋体" w:cs="宋体"/>
                <w:color w:val="auto"/>
                <w:sz w:val="22"/>
                <w:szCs w:val="22"/>
                <w:highlight w:val="none"/>
                <w:lang w:eastAsia="zh-CN" w:bidi="ar-SA"/>
              </w:rPr>
              <w:t>分；</w:t>
            </w:r>
          </w:p>
          <w:p w14:paraId="337718B9">
            <w:pPr>
              <w:keepNext w:val="0"/>
              <w:keepLines w:val="0"/>
              <w:pageBreakBefore w:val="0"/>
              <w:widowControl w:val="0"/>
              <w:kinsoku/>
              <w:overflowPunct/>
              <w:topLinePunct w:val="0"/>
              <w:autoSpaceDE/>
              <w:autoSpaceDN/>
              <w:bidi w:val="0"/>
              <w:adjustRightInd/>
              <w:snapToGrid/>
              <w:spacing w:line="360" w:lineRule="exact"/>
              <w:rPr>
                <w:rFonts w:hint="eastAsia" w:ascii="宋体" w:hAnsi="宋体" w:eastAsia="宋体" w:cs="宋体"/>
                <w:color w:val="auto"/>
                <w:sz w:val="22"/>
                <w:szCs w:val="22"/>
                <w:highlight w:val="none"/>
                <w:lang w:eastAsia="zh-CN" w:bidi="ar-SA"/>
              </w:rPr>
            </w:pPr>
            <w:r>
              <w:rPr>
                <w:rFonts w:hint="eastAsia" w:ascii="宋体" w:hAnsi="宋体" w:cs="宋体"/>
                <w:color w:val="auto"/>
                <w:sz w:val="22"/>
                <w:szCs w:val="22"/>
                <w:highlight w:val="none"/>
                <w:lang w:val="en-US" w:eastAsia="zh-CN" w:bidi="ar-SA"/>
              </w:rPr>
              <w:t>4</w:t>
            </w:r>
            <w:r>
              <w:rPr>
                <w:rFonts w:hint="eastAsia" w:ascii="宋体" w:hAnsi="宋体" w:eastAsia="宋体" w:cs="宋体"/>
                <w:color w:val="auto"/>
                <w:sz w:val="22"/>
                <w:szCs w:val="22"/>
                <w:highlight w:val="none"/>
                <w:lang w:eastAsia="zh-CN" w:bidi="ar-SA"/>
              </w:rPr>
              <w:t>.其他不得分。</w:t>
            </w:r>
          </w:p>
          <w:p w14:paraId="34B5F2DC">
            <w:pPr>
              <w:keepNext w:val="0"/>
              <w:keepLines w:val="0"/>
              <w:pageBreakBefore w:val="0"/>
              <w:kinsoku/>
              <w:overflowPunct/>
              <w:topLinePunct w:val="0"/>
              <w:bidi w:val="0"/>
              <w:spacing w:line="400" w:lineRule="atLeast"/>
              <w:rPr>
                <w:rFonts w:hint="eastAsia" w:ascii="宋体" w:cs="宋体"/>
                <w:snapToGrid w:val="0"/>
                <w:kern w:val="0"/>
              </w:rPr>
            </w:pPr>
            <w:r>
              <w:rPr>
                <w:rFonts w:hint="eastAsia" w:ascii="宋体" w:hAnsi="宋体" w:eastAsia="宋体" w:cs="宋体"/>
                <w:color w:val="auto"/>
                <w:sz w:val="22"/>
                <w:szCs w:val="22"/>
                <w:highlight w:val="none"/>
                <w:lang w:eastAsia="zh-CN" w:bidi="ar-SA"/>
              </w:rPr>
              <w:t>投标人提供承诺函，中标后签订合同签订，采购人将对承诺的内容进行现场考察，如不满足承诺的情况，将做虚假响应，上报上级主管部门</w:t>
            </w:r>
            <w:r>
              <w:rPr>
                <w:rFonts w:hint="eastAsia" w:ascii="仿宋" w:hAnsi="仿宋" w:eastAsia="仿宋" w:cs="仿宋"/>
                <w:color w:val="auto"/>
                <w:sz w:val="24"/>
                <w:lang w:val="en-US" w:eastAsia="zh-CN"/>
              </w:rPr>
              <w:t>。</w:t>
            </w:r>
          </w:p>
        </w:tc>
      </w:tr>
      <w:tr w14:paraId="4B3FFB4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left w:val="single" w:color="000000" w:sz="8" w:space="0"/>
              <w:right w:val="single" w:color="000000" w:sz="8" w:space="0"/>
            </w:tcBorders>
            <w:vAlign w:val="top"/>
          </w:tcPr>
          <w:p w14:paraId="4DC62E72">
            <w:pPr>
              <w:keepNext w:val="0"/>
              <w:keepLines w:val="0"/>
              <w:pageBreakBefore w:val="0"/>
              <w:kinsoku/>
              <w:overflowPunct/>
              <w:topLinePunct w:val="0"/>
              <w:bidi w:val="0"/>
              <w:spacing w:line="400" w:lineRule="atLeast"/>
              <w:rPr>
                <w:rFonts w:hint="eastAsia" w:ascii="宋体" w:cs="宋体"/>
                <w:snapToGrid w:val="0"/>
                <w:kern w:val="0"/>
              </w:rPr>
            </w:pPr>
          </w:p>
        </w:tc>
        <w:tc>
          <w:tcPr>
            <w:tcW w:w="702" w:type="dxa"/>
            <w:gridSpan w:val="2"/>
            <w:tcBorders>
              <w:top w:val="single" w:color="000000" w:sz="8" w:space="0"/>
              <w:left w:val="single" w:color="000000" w:sz="8" w:space="0"/>
              <w:bottom w:val="single" w:color="000000" w:sz="8" w:space="0"/>
              <w:right w:val="single" w:color="000000" w:sz="8" w:space="0"/>
            </w:tcBorders>
            <w:vAlign w:val="center"/>
          </w:tcPr>
          <w:p w14:paraId="09F00111">
            <w:pPr>
              <w:keepNext w:val="0"/>
              <w:keepLines w:val="0"/>
              <w:pageBreakBefore w:val="0"/>
              <w:kinsoku/>
              <w:overflowPunct/>
              <w:topLinePunct w:val="0"/>
              <w:bidi w:val="0"/>
              <w:spacing w:line="400" w:lineRule="atLeast"/>
              <w:rPr>
                <w:rFonts w:hint="default" w:ascii="宋体" w:cs="宋体"/>
                <w:snapToGrid w:val="0"/>
                <w:kern w:val="0"/>
                <w:lang w:val="en-US" w:eastAsia="zh-CN"/>
              </w:rPr>
            </w:pPr>
            <w:r>
              <w:rPr>
                <w:rFonts w:hint="eastAsia" w:ascii="宋体" w:cs="宋体"/>
                <w:snapToGrid w:val="0"/>
                <w:kern w:val="0"/>
                <w:lang w:val="en-US" w:eastAsia="zh-CN"/>
              </w:rPr>
              <w:t>2.4</w:t>
            </w:r>
          </w:p>
        </w:tc>
        <w:tc>
          <w:tcPr>
            <w:tcW w:w="1673" w:type="dxa"/>
            <w:gridSpan w:val="2"/>
            <w:tcBorders>
              <w:top w:val="single" w:color="000000" w:sz="8" w:space="0"/>
              <w:left w:val="single" w:color="000000" w:sz="8" w:space="0"/>
              <w:bottom w:val="single" w:color="000000" w:sz="8" w:space="0"/>
              <w:right w:val="single" w:color="000000" w:sz="8" w:space="0"/>
            </w:tcBorders>
            <w:vAlign w:val="center"/>
          </w:tcPr>
          <w:p w14:paraId="19EFC783">
            <w:pPr>
              <w:keepNext w:val="0"/>
              <w:keepLines w:val="0"/>
              <w:pageBreakBefore w:val="0"/>
              <w:kinsoku/>
              <w:overflowPunct/>
              <w:topLinePunct w:val="0"/>
              <w:bidi w:val="0"/>
              <w:spacing w:line="400" w:lineRule="atLeast"/>
              <w:rPr>
                <w:rFonts w:hint="eastAsia" w:ascii="宋体" w:eastAsia="宋体" w:cs="宋体"/>
                <w:snapToGrid w:val="0"/>
                <w:kern w:val="0"/>
                <w:lang w:eastAsia="zh-CN"/>
              </w:rPr>
            </w:pPr>
            <w:r>
              <w:rPr>
                <w:rFonts w:hint="eastAsia" w:ascii="宋体" w:cs="宋体"/>
                <w:snapToGrid w:val="0"/>
                <w:kern w:val="0"/>
                <w:lang w:eastAsia="zh-CN"/>
              </w:rPr>
              <w:t>技术保障</w:t>
            </w:r>
          </w:p>
        </w:tc>
        <w:tc>
          <w:tcPr>
            <w:tcW w:w="1089" w:type="dxa"/>
            <w:tcBorders>
              <w:top w:val="single" w:color="000000" w:sz="8" w:space="0"/>
              <w:left w:val="single" w:color="000000" w:sz="8" w:space="0"/>
              <w:bottom w:val="single" w:color="000000" w:sz="8" w:space="0"/>
              <w:right w:val="single" w:color="000000" w:sz="8" w:space="0"/>
            </w:tcBorders>
            <w:vAlign w:val="center"/>
          </w:tcPr>
          <w:p w14:paraId="0F1AEC4A">
            <w:pPr>
              <w:keepNext w:val="0"/>
              <w:keepLines w:val="0"/>
              <w:pageBreakBefore w:val="0"/>
              <w:kinsoku/>
              <w:overflowPunct/>
              <w:topLinePunct w:val="0"/>
              <w:bidi w:val="0"/>
              <w:spacing w:line="400" w:lineRule="atLeast"/>
              <w:rPr>
                <w:rFonts w:hint="default" w:ascii="宋体" w:cs="宋体"/>
                <w:snapToGrid w:val="0"/>
                <w:kern w:val="0"/>
                <w:lang w:val="en-US"/>
              </w:rPr>
            </w:pPr>
            <w:r>
              <w:rPr>
                <w:rFonts w:hint="eastAsia" w:ascii="宋体" w:cs="宋体"/>
                <w:snapToGrid w:val="0"/>
                <w:kern w:val="0"/>
                <w:lang w:val="en-US" w:eastAsia="zh-CN"/>
              </w:rPr>
              <w:t>20</w:t>
            </w:r>
          </w:p>
        </w:tc>
        <w:tc>
          <w:tcPr>
            <w:tcW w:w="4928" w:type="dxa"/>
            <w:tcBorders>
              <w:top w:val="single" w:color="000000" w:sz="8" w:space="0"/>
              <w:left w:val="single" w:color="000000" w:sz="8" w:space="0"/>
              <w:bottom w:val="single" w:color="000000" w:sz="8" w:space="0"/>
              <w:right w:val="single" w:color="000000" w:sz="8" w:space="0"/>
            </w:tcBorders>
            <w:vAlign w:val="center"/>
          </w:tcPr>
          <w:p w14:paraId="6D99AFAC">
            <w:pPr>
              <w:spacing w:line="240" w:lineRule="auto"/>
              <w:jc w:val="left"/>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（一）评分内容：投标人需具备车辆维保技术</w:t>
            </w:r>
            <w:r>
              <w:rPr>
                <w:rFonts w:hint="eastAsia" w:ascii="仿宋" w:hAnsi="仿宋" w:eastAsia="仿宋" w:cs="仿宋"/>
                <w:b/>
                <w:bCs/>
                <w:color w:val="auto"/>
                <w:sz w:val="24"/>
                <w:szCs w:val="24"/>
                <w:highlight w:val="yellow"/>
                <w:lang w:eastAsia="zh-CN"/>
              </w:rPr>
              <w:t>保障能力</w:t>
            </w:r>
            <w:r>
              <w:rPr>
                <w:rFonts w:hint="eastAsia" w:ascii="仿宋" w:hAnsi="仿宋" w:eastAsia="仿宋" w:cs="仿宋"/>
                <w:color w:val="auto"/>
                <w:sz w:val="24"/>
                <w:szCs w:val="24"/>
                <w:lang w:eastAsia="zh-CN"/>
              </w:rPr>
              <w:t>。</w:t>
            </w:r>
          </w:p>
          <w:p w14:paraId="19FF81AD">
            <w:pPr>
              <w:spacing w:line="240" w:lineRule="auto"/>
              <w:jc w:val="left"/>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（二）评分标准：</w:t>
            </w:r>
          </w:p>
          <w:p w14:paraId="63816C15">
            <w:pPr>
              <w:spacing w:line="240" w:lineRule="auto"/>
              <w:jc w:val="left"/>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lang w:eastAsia="zh-CN"/>
              </w:rPr>
              <w:t>投标人必须</w:t>
            </w:r>
            <w:r>
              <w:rPr>
                <w:rFonts w:hint="eastAsia" w:ascii="仿宋" w:hAnsi="仿宋" w:eastAsia="仿宋" w:cs="仿宋"/>
                <w:color w:val="auto"/>
                <w:sz w:val="24"/>
                <w:szCs w:val="24"/>
                <w:lang w:val="en-US" w:eastAsia="zh-CN"/>
              </w:rPr>
              <w:t>具有专业车辆维修师傅（相关技术工种证明或该技术人员从事汽修行业工作2年及以上的书面说明&lt;须加盖公章&gt;）的每有1位（有相关技术工种证明的师傅无工作年限限制）得5分，最高得10分。</w:t>
            </w:r>
          </w:p>
          <w:p w14:paraId="697C0645">
            <w:pPr>
              <w:spacing w:line="240" w:lineRule="auto"/>
              <w:jc w:val="left"/>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lang w:eastAsia="zh-CN"/>
              </w:rPr>
              <w:t>提供本院所有救护车辆技术支持承诺的得</w:t>
            </w:r>
            <w:r>
              <w:rPr>
                <w:rFonts w:hint="eastAsia" w:ascii="仿宋" w:hAnsi="仿宋" w:eastAsia="仿宋" w:cs="仿宋"/>
                <w:color w:val="auto"/>
                <w:sz w:val="24"/>
                <w:szCs w:val="24"/>
                <w:lang w:val="en-US" w:eastAsia="zh-CN"/>
              </w:rPr>
              <w:t>10分。</w:t>
            </w:r>
          </w:p>
          <w:p w14:paraId="1EB5758D">
            <w:pPr>
              <w:keepNext w:val="0"/>
              <w:keepLines w:val="0"/>
              <w:pageBreakBefore w:val="0"/>
              <w:kinsoku/>
              <w:overflowPunct/>
              <w:topLinePunct w:val="0"/>
              <w:bidi w:val="0"/>
              <w:spacing w:line="400" w:lineRule="atLeast"/>
              <w:rPr>
                <w:rFonts w:hint="eastAsia" w:ascii="宋体" w:cs="宋体"/>
                <w:snapToGrid w:val="0"/>
                <w:kern w:val="0"/>
              </w:rPr>
            </w:pPr>
            <w:r>
              <w:rPr>
                <w:rFonts w:hint="eastAsia" w:ascii="仿宋" w:hAnsi="仿宋" w:eastAsia="仿宋" w:cs="仿宋"/>
                <w:color w:val="auto"/>
                <w:sz w:val="24"/>
                <w:szCs w:val="24"/>
                <w:lang w:eastAsia="zh-CN"/>
              </w:rPr>
              <w:t>注意：投标人须提供相关资质证书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或该技术人员从事汽修行业工作2年及以上的书面说明</w:t>
            </w:r>
            <w:r>
              <w:rPr>
                <w:rFonts w:hint="eastAsia" w:ascii="宋体" w:hAnsi="宋体" w:eastAsia="宋体" w:cs="宋体"/>
                <w:color w:val="auto"/>
                <w:sz w:val="21"/>
                <w:szCs w:val="21"/>
                <w:highlight w:val="none"/>
                <w:lang w:eastAsia="zh-CN"/>
              </w:rPr>
              <w:t>）</w:t>
            </w:r>
            <w:r>
              <w:rPr>
                <w:rFonts w:hint="eastAsia" w:ascii="仿宋" w:hAnsi="仿宋" w:eastAsia="仿宋" w:cs="仿宋"/>
                <w:color w:val="auto"/>
                <w:sz w:val="24"/>
                <w:szCs w:val="24"/>
                <w:lang w:eastAsia="zh-CN"/>
              </w:rPr>
              <w:t>、技术支持承诺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格式自拟</w:t>
            </w:r>
            <w:r>
              <w:rPr>
                <w:rFonts w:hint="eastAsia" w:ascii="宋体" w:hAnsi="宋体" w:eastAsia="宋体" w:cs="宋体"/>
                <w:color w:val="auto"/>
                <w:sz w:val="21"/>
                <w:szCs w:val="21"/>
                <w:highlight w:val="none"/>
                <w:lang w:eastAsia="zh-CN"/>
              </w:rPr>
              <w:t>）</w:t>
            </w:r>
            <w:r>
              <w:rPr>
                <w:rFonts w:hint="eastAsia" w:ascii="仿宋" w:hAnsi="仿宋" w:eastAsia="仿宋" w:cs="仿宋"/>
                <w:color w:val="auto"/>
                <w:sz w:val="24"/>
                <w:szCs w:val="24"/>
                <w:lang w:val="en-US" w:eastAsia="zh-CN"/>
              </w:rPr>
              <w:t>加盖投标人公章，</w:t>
            </w:r>
            <w:r>
              <w:rPr>
                <w:rFonts w:hint="eastAsia" w:ascii="仿宋" w:hAnsi="仿宋" w:eastAsia="仿宋" w:cs="仿宋"/>
                <w:color w:val="auto"/>
                <w:sz w:val="24"/>
                <w:szCs w:val="24"/>
                <w:lang w:eastAsia="zh-CN"/>
              </w:rPr>
              <w:t>作为证明材料；评分中出现无证明资料或专家无法凭所提供资料判断是否得分的情况，一律作不得分处理。</w:t>
            </w:r>
          </w:p>
        </w:tc>
      </w:tr>
      <w:tr w14:paraId="19A71CA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left w:val="single" w:color="000000" w:sz="8" w:space="0"/>
              <w:bottom w:val="single" w:color="000000" w:sz="8" w:space="0"/>
              <w:right w:val="single" w:color="000000" w:sz="8" w:space="0"/>
            </w:tcBorders>
            <w:vAlign w:val="top"/>
          </w:tcPr>
          <w:p w14:paraId="19AB31FB">
            <w:pPr>
              <w:keepNext w:val="0"/>
              <w:keepLines w:val="0"/>
              <w:pageBreakBefore w:val="0"/>
              <w:kinsoku/>
              <w:overflowPunct/>
              <w:topLinePunct w:val="0"/>
              <w:bidi w:val="0"/>
              <w:spacing w:line="400" w:lineRule="atLeast"/>
              <w:rPr>
                <w:rFonts w:hint="eastAsia" w:ascii="宋体" w:cs="宋体"/>
                <w:snapToGrid w:val="0"/>
                <w:kern w:val="0"/>
              </w:rPr>
            </w:pPr>
          </w:p>
        </w:tc>
        <w:tc>
          <w:tcPr>
            <w:tcW w:w="702" w:type="dxa"/>
            <w:gridSpan w:val="2"/>
            <w:tcBorders>
              <w:top w:val="single" w:color="000000" w:sz="8" w:space="0"/>
              <w:left w:val="single" w:color="000000" w:sz="8" w:space="0"/>
              <w:bottom w:val="single" w:color="000000" w:sz="8" w:space="0"/>
              <w:right w:val="single" w:color="000000" w:sz="8" w:space="0"/>
            </w:tcBorders>
            <w:vAlign w:val="center"/>
          </w:tcPr>
          <w:p w14:paraId="373675CF">
            <w:pPr>
              <w:keepNext w:val="0"/>
              <w:keepLines w:val="0"/>
              <w:pageBreakBefore w:val="0"/>
              <w:kinsoku/>
              <w:overflowPunct/>
              <w:topLinePunct w:val="0"/>
              <w:bidi w:val="0"/>
              <w:spacing w:line="400" w:lineRule="atLeast"/>
              <w:rPr>
                <w:rFonts w:hint="eastAsia" w:ascii="宋体" w:cs="宋体"/>
                <w:snapToGrid w:val="0"/>
                <w:kern w:val="0"/>
                <w:lang w:val="en-US" w:eastAsia="zh-CN"/>
              </w:rPr>
            </w:pPr>
            <w:r>
              <w:rPr>
                <w:rFonts w:hint="eastAsia" w:ascii="宋体" w:cs="宋体"/>
                <w:snapToGrid w:val="0"/>
                <w:kern w:val="0"/>
                <w:lang w:val="en-US" w:eastAsia="zh-CN"/>
              </w:rPr>
              <w:t>2.5</w:t>
            </w:r>
          </w:p>
        </w:tc>
        <w:tc>
          <w:tcPr>
            <w:tcW w:w="1673" w:type="dxa"/>
            <w:gridSpan w:val="2"/>
            <w:tcBorders>
              <w:top w:val="single" w:color="000000" w:sz="8" w:space="0"/>
              <w:left w:val="single" w:color="000000" w:sz="8" w:space="0"/>
              <w:bottom w:val="single" w:color="000000" w:sz="8" w:space="0"/>
              <w:right w:val="single" w:color="000000" w:sz="8" w:space="0"/>
            </w:tcBorders>
            <w:vAlign w:val="center"/>
          </w:tcPr>
          <w:p w14:paraId="749E4D5D">
            <w:pPr>
              <w:keepNext w:val="0"/>
              <w:keepLines w:val="0"/>
              <w:pageBreakBefore w:val="0"/>
              <w:kinsoku/>
              <w:overflowPunct/>
              <w:topLinePunct w:val="0"/>
              <w:bidi w:val="0"/>
              <w:spacing w:line="400" w:lineRule="atLeast"/>
              <w:rPr>
                <w:rFonts w:hint="eastAsia" w:ascii="宋体" w:cs="宋体"/>
                <w:snapToGrid w:val="0"/>
                <w:kern w:val="0"/>
              </w:rPr>
            </w:pPr>
            <w:r>
              <w:rPr>
                <w:rFonts w:hint="eastAsia" w:ascii="仿宋" w:hAnsi="仿宋" w:eastAsia="仿宋" w:cs="仿宋"/>
                <w:color w:val="auto"/>
                <w:sz w:val="24"/>
                <w:szCs w:val="24"/>
                <w:highlight w:val="none"/>
                <w:lang w:eastAsia="zh-CN"/>
              </w:rPr>
              <w:t>配件供应</w:t>
            </w:r>
          </w:p>
        </w:tc>
        <w:tc>
          <w:tcPr>
            <w:tcW w:w="1089" w:type="dxa"/>
            <w:tcBorders>
              <w:top w:val="single" w:color="000000" w:sz="8" w:space="0"/>
              <w:left w:val="single" w:color="000000" w:sz="8" w:space="0"/>
              <w:bottom w:val="single" w:color="000000" w:sz="8" w:space="0"/>
              <w:right w:val="single" w:color="000000" w:sz="8" w:space="0"/>
            </w:tcBorders>
            <w:vAlign w:val="center"/>
          </w:tcPr>
          <w:p w14:paraId="5A3027E6">
            <w:pPr>
              <w:keepNext w:val="0"/>
              <w:keepLines w:val="0"/>
              <w:pageBreakBefore w:val="0"/>
              <w:kinsoku/>
              <w:overflowPunct/>
              <w:topLinePunct w:val="0"/>
              <w:bidi w:val="0"/>
              <w:spacing w:line="400" w:lineRule="atLeast"/>
              <w:rPr>
                <w:rFonts w:hint="default" w:ascii="宋体" w:eastAsia="宋体" w:cs="宋体"/>
                <w:snapToGrid w:val="0"/>
                <w:kern w:val="0"/>
                <w:lang w:val="en-US" w:eastAsia="zh-CN"/>
              </w:rPr>
            </w:pPr>
            <w:r>
              <w:rPr>
                <w:rFonts w:hint="eastAsia" w:ascii="宋体" w:cs="宋体"/>
                <w:snapToGrid w:val="0"/>
                <w:kern w:val="0"/>
                <w:lang w:val="en-US" w:eastAsia="zh-CN"/>
              </w:rPr>
              <w:t>10</w:t>
            </w:r>
          </w:p>
        </w:tc>
        <w:tc>
          <w:tcPr>
            <w:tcW w:w="4928" w:type="dxa"/>
            <w:tcBorders>
              <w:top w:val="single" w:color="000000" w:sz="8" w:space="0"/>
              <w:left w:val="single" w:color="000000" w:sz="8" w:space="0"/>
              <w:bottom w:val="single" w:color="000000" w:sz="8" w:space="0"/>
              <w:right w:val="single" w:color="000000" w:sz="8" w:space="0"/>
            </w:tcBorders>
            <w:vAlign w:val="center"/>
          </w:tcPr>
          <w:p w14:paraId="1325DE0A">
            <w:pPr>
              <w:numPr>
                <w:ilvl w:val="0"/>
                <w:numId w:val="2"/>
              </w:numPr>
              <w:spacing w:line="240" w:lineRule="auto"/>
              <w:jc w:val="left"/>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评分内容：</w:t>
            </w:r>
          </w:p>
          <w:p w14:paraId="353A81C5">
            <w:pPr>
              <w:numPr>
                <w:ilvl w:val="0"/>
                <w:numId w:val="0"/>
              </w:numPr>
              <w:spacing w:line="240" w:lineRule="auto"/>
              <w:ind w:firstLine="0" w:firstLineChars="0"/>
              <w:jc w:val="left"/>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投标人需对</w:t>
            </w:r>
            <w:r>
              <w:rPr>
                <w:rFonts w:hint="eastAsia" w:ascii="仿宋" w:hAnsi="仿宋" w:eastAsia="仿宋" w:cs="仿宋"/>
                <w:color w:val="auto"/>
                <w:sz w:val="24"/>
                <w:szCs w:val="24"/>
              </w:rPr>
              <w:t>所有类型车辆的零配件</w:t>
            </w:r>
            <w:r>
              <w:rPr>
                <w:rFonts w:hint="eastAsia" w:ascii="仿宋" w:hAnsi="仿宋" w:eastAsia="仿宋" w:cs="仿宋"/>
                <w:color w:val="auto"/>
                <w:sz w:val="24"/>
                <w:szCs w:val="24"/>
                <w:lang w:eastAsia="zh-CN"/>
              </w:rPr>
              <w:t>保证畅通供应，并保证所换零配件应为全新配件。</w:t>
            </w:r>
          </w:p>
          <w:p w14:paraId="7095ECCA">
            <w:pPr>
              <w:numPr>
                <w:ilvl w:val="0"/>
                <w:numId w:val="2"/>
              </w:numPr>
              <w:spacing w:line="240" w:lineRule="auto"/>
              <w:jc w:val="left"/>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eastAsia="zh-CN"/>
              </w:rPr>
              <w:t>评分标准：</w:t>
            </w:r>
          </w:p>
          <w:p w14:paraId="77F0D4E9">
            <w:pPr>
              <w:keepNext w:val="0"/>
              <w:keepLines w:val="0"/>
              <w:pageBreakBefore w:val="0"/>
              <w:kinsoku/>
              <w:overflowPunct/>
              <w:topLinePunct w:val="0"/>
              <w:bidi w:val="0"/>
              <w:spacing w:line="400" w:lineRule="atLeast"/>
              <w:rPr>
                <w:rFonts w:hint="eastAsia" w:ascii="宋体" w:cs="宋体"/>
                <w:snapToGrid w:val="0"/>
                <w:kern w:val="0"/>
                <w:lang w:val="en-US" w:eastAsia="zh-CN"/>
              </w:rPr>
            </w:pPr>
            <w:r>
              <w:rPr>
                <w:rFonts w:hint="eastAsia" w:ascii="仿宋" w:hAnsi="仿宋" w:eastAsia="仿宋" w:cs="仿宋"/>
                <w:color w:val="auto"/>
                <w:kern w:val="2"/>
                <w:sz w:val="24"/>
                <w:szCs w:val="24"/>
                <w:highlight w:val="none"/>
                <w:lang w:eastAsia="zh-CN"/>
              </w:rPr>
              <w:t>提供</w:t>
            </w:r>
            <w:r>
              <w:rPr>
                <w:rFonts w:hint="eastAsia" w:ascii="仿宋" w:hAnsi="仿宋" w:eastAsia="仿宋" w:cs="仿宋"/>
                <w:color w:val="auto"/>
                <w:kern w:val="2"/>
                <w:sz w:val="24"/>
                <w:szCs w:val="24"/>
                <w:highlight w:val="none"/>
                <w:lang w:val="en-US" w:eastAsia="zh-CN"/>
              </w:rPr>
              <w:t>符合要求的</w:t>
            </w:r>
            <w:r>
              <w:rPr>
                <w:rFonts w:hint="eastAsia" w:ascii="仿宋" w:hAnsi="仿宋" w:eastAsia="仿宋" w:cs="仿宋"/>
                <w:color w:val="auto"/>
                <w:kern w:val="2"/>
                <w:sz w:val="24"/>
                <w:szCs w:val="24"/>
                <w:highlight w:val="none"/>
                <w:lang w:eastAsia="zh-CN"/>
              </w:rPr>
              <w:t>承诺</w:t>
            </w:r>
            <w:r>
              <w:rPr>
                <w:rFonts w:hint="eastAsia" w:ascii="仿宋" w:hAnsi="仿宋" w:eastAsia="仿宋" w:cs="仿宋"/>
                <w:color w:val="auto"/>
                <w:kern w:val="2"/>
                <w:sz w:val="24"/>
                <w:szCs w:val="24"/>
                <w:highlight w:val="none"/>
                <w:lang w:val="en-US" w:eastAsia="zh-CN"/>
              </w:rPr>
              <w:t>函</w:t>
            </w:r>
            <w:r>
              <w:rPr>
                <w:rFonts w:hint="eastAsia" w:ascii="仿宋" w:hAnsi="仿宋" w:eastAsia="仿宋" w:cs="仿宋"/>
                <w:color w:val="auto"/>
                <w:kern w:val="2"/>
                <w:sz w:val="24"/>
                <w:szCs w:val="24"/>
                <w:highlight w:val="none"/>
                <w:lang w:eastAsia="zh-CN"/>
              </w:rPr>
              <w:t>得</w:t>
            </w:r>
            <w:r>
              <w:rPr>
                <w:rFonts w:hint="eastAsia" w:ascii="仿宋" w:hAnsi="仿宋" w:eastAsia="仿宋" w:cs="仿宋"/>
                <w:color w:val="auto"/>
                <w:kern w:val="2"/>
                <w:sz w:val="24"/>
                <w:szCs w:val="24"/>
                <w:highlight w:val="none"/>
                <w:lang w:val="en-US" w:eastAsia="zh-CN"/>
              </w:rPr>
              <w:t>10分，不提供则不得分</w:t>
            </w:r>
            <w:r>
              <w:rPr>
                <w:rFonts w:hint="eastAsia" w:ascii="宋体" w:cs="宋体"/>
                <w:snapToGrid w:val="0"/>
                <w:kern w:val="0"/>
                <w:lang w:val="en-US" w:eastAsia="zh-CN"/>
              </w:rPr>
              <w:t>。</w:t>
            </w:r>
          </w:p>
        </w:tc>
      </w:tr>
      <w:tr w14:paraId="6581EB9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restart"/>
            <w:tcBorders>
              <w:top w:val="single" w:color="000000" w:sz="8" w:space="0"/>
              <w:left w:val="single" w:color="000000" w:sz="8" w:space="0"/>
              <w:right w:val="single" w:color="000000" w:sz="8" w:space="0"/>
            </w:tcBorders>
            <w:vAlign w:val="center"/>
          </w:tcPr>
          <w:p w14:paraId="7FF19CBA">
            <w:pPr>
              <w:keepNext w:val="0"/>
              <w:keepLines w:val="0"/>
              <w:pageBreakBefore w:val="0"/>
              <w:kinsoku/>
              <w:overflowPunct/>
              <w:topLinePunct w:val="0"/>
              <w:bidi w:val="0"/>
              <w:spacing w:line="400" w:lineRule="atLeast"/>
              <w:rPr>
                <w:rFonts w:hint="eastAsia" w:ascii="宋体" w:cs="宋体"/>
                <w:snapToGrid w:val="0"/>
                <w:kern w:val="0"/>
                <w:lang w:val="en-US" w:eastAsia="zh-CN"/>
              </w:rPr>
            </w:pPr>
            <w:r>
              <w:rPr>
                <w:rFonts w:hint="eastAsia" w:ascii="宋体" w:cs="宋体"/>
                <w:snapToGrid w:val="0"/>
                <w:kern w:val="0"/>
              </w:rPr>
              <w:t>3</w:t>
            </w:r>
          </w:p>
        </w:tc>
        <w:tc>
          <w:tcPr>
            <w:tcW w:w="3464" w:type="dxa"/>
            <w:gridSpan w:val="5"/>
            <w:tcBorders>
              <w:top w:val="single" w:color="000000" w:sz="8" w:space="0"/>
              <w:left w:val="single" w:color="000000" w:sz="8" w:space="0"/>
              <w:bottom w:val="single" w:color="000000" w:sz="8" w:space="0"/>
              <w:right w:val="single" w:color="000000" w:sz="8" w:space="0"/>
            </w:tcBorders>
            <w:vAlign w:val="top"/>
          </w:tcPr>
          <w:p w14:paraId="108FCA54">
            <w:pPr>
              <w:keepNext w:val="0"/>
              <w:keepLines w:val="0"/>
              <w:pageBreakBefore w:val="0"/>
              <w:kinsoku/>
              <w:overflowPunct/>
              <w:topLinePunct w:val="0"/>
              <w:bidi w:val="0"/>
              <w:spacing w:line="400" w:lineRule="atLeast"/>
              <w:rPr>
                <w:rFonts w:hint="eastAsia" w:ascii="宋体" w:cs="宋体"/>
                <w:snapToGrid w:val="0"/>
                <w:kern w:val="0"/>
              </w:rPr>
            </w:pPr>
            <w:r>
              <w:rPr>
                <w:rFonts w:hint="eastAsia" w:ascii="宋体" w:cs="宋体"/>
                <w:snapToGrid w:val="0"/>
                <w:kern w:val="0"/>
                <w:lang w:eastAsia="zh-CN"/>
              </w:rPr>
              <w:t>商务</w:t>
            </w:r>
            <w:r>
              <w:rPr>
                <w:rFonts w:hint="eastAsia" w:ascii="宋体" w:cs="宋体"/>
                <w:snapToGrid w:val="0"/>
                <w:kern w:val="0"/>
              </w:rPr>
              <w:t>部分</w:t>
            </w:r>
          </w:p>
        </w:tc>
        <w:tc>
          <w:tcPr>
            <w:tcW w:w="4928" w:type="dxa"/>
            <w:tcBorders>
              <w:top w:val="single" w:color="000000" w:sz="8" w:space="0"/>
              <w:left w:val="single" w:color="000000" w:sz="8" w:space="0"/>
              <w:bottom w:val="single" w:color="000000" w:sz="8" w:space="0"/>
              <w:right w:val="single" w:color="000000" w:sz="8" w:space="0"/>
            </w:tcBorders>
            <w:vAlign w:val="top"/>
          </w:tcPr>
          <w:p w14:paraId="46BE85FE">
            <w:pPr>
              <w:keepNext w:val="0"/>
              <w:keepLines w:val="0"/>
              <w:pageBreakBefore w:val="0"/>
              <w:kinsoku/>
              <w:overflowPunct/>
              <w:topLinePunct w:val="0"/>
              <w:bidi w:val="0"/>
              <w:spacing w:line="400" w:lineRule="atLeast"/>
              <w:rPr>
                <w:rFonts w:hint="default" w:ascii="宋体" w:cs="宋体"/>
                <w:snapToGrid w:val="0"/>
                <w:kern w:val="0"/>
                <w:lang w:val="en-US"/>
              </w:rPr>
            </w:pPr>
            <w:r>
              <w:rPr>
                <w:rFonts w:hint="eastAsia" w:ascii="宋体" w:cs="宋体"/>
                <w:snapToGrid w:val="0"/>
                <w:kern w:val="0"/>
                <w:lang w:val="en-US" w:eastAsia="zh-CN"/>
              </w:rPr>
              <w:t>15</w:t>
            </w:r>
          </w:p>
        </w:tc>
      </w:tr>
      <w:tr w14:paraId="3B8AC05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left w:val="single" w:color="000000" w:sz="8" w:space="0"/>
              <w:right w:val="single" w:color="000000" w:sz="8" w:space="0"/>
            </w:tcBorders>
            <w:shd w:val="clear" w:color="auto" w:fill="E6EFFA"/>
            <w:vAlign w:val="top"/>
          </w:tcPr>
          <w:p w14:paraId="5FF7A9CA">
            <w:pPr>
              <w:keepNext w:val="0"/>
              <w:keepLines w:val="0"/>
              <w:pageBreakBefore w:val="0"/>
              <w:kinsoku/>
              <w:overflowPunct/>
              <w:topLinePunct w:val="0"/>
              <w:bidi w:val="0"/>
              <w:spacing w:line="400" w:lineRule="atLeast"/>
              <w:rPr>
                <w:rFonts w:hint="eastAsia" w:ascii="宋体" w:cs="宋体"/>
                <w:snapToGrid w:val="0"/>
                <w:kern w:val="0"/>
              </w:rPr>
            </w:pPr>
          </w:p>
        </w:tc>
        <w:tc>
          <w:tcPr>
            <w:tcW w:w="704" w:type="dxa"/>
            <w:gridSpan w:val="3"/>
            <w:tcBorders>
              <w:top w:val="outset" w:color="000000" w:sz="6" w:space="0"/>
              <w:left w:val="outset" w:color="000000" w:sz="6" w:space="0"/>
              <w:bottom w:val="outset" w:color="000000" w:sz="6" w:space="0"/>
              <w:right w:val="outset" w:color="000000" w:sz="6" w:space="0"/>
            </w:tcBorders>
            <w:shd w:val="clear" w:color="auto" w:fill="E6EFFA"/>
            <w:vAlign w:val="center"/>
          </w:tcPr>
          <w:p w14:paraId="62F3DC11">
            <w:pPr>
              <w:keepNext w:val="0"/>
              <w:keepLines w:val="0"/>
              <w:pageBreakBefore w:val="0"/>
              <w:kinsoku/>
              <w:overflowPunct/>
              <w:topLinePunct w:val="0"/>
              <w:bidi w:val="0"/>
              <w:spacing w:line="400" w:lineRule="atLeast"/>
              <w:rPr>
                <w:rFonts w:hint="eastAsia" w:ascii="宋体" w:cs="宋体"/>
                <w:snapToGrid w:val="0"/>
                <w:kern w:val="0"/>
                <w:lang w:val="en-US" w:eastAsia="zh-CN"/>
              </w:rPr>
            </w:pPr>
            <w:r>
              <w:rPr>
                <w:rFonts w:hint="eastAsia" w:ascii="宋体" w:cs="宋体"/>
                <w:snapToGrid w:val="0"/>
                <w:kern w:val="0"/>
                <w:lang w:val="en-US" w:eastAsia="zh-CN"/>
              </w:rPr>
              <w:t>3.1</w:t>
            </w:r>
          </w:p>
        </w:tc>
        <w:tc>
          <w:tcPr>
            <w:tcW w:w="1671"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45AC2F80">
            <w:pPr>
              <w:keepNext w:val="0"/>
              <w:keepLines w:val="0"/>
              <w:pageBreakBefore w:val="0"/>
              <w:kinsoku/>
              <w:overflowPunct/>
              <w:topLinePunct w:val="0"/>
              <w:bidi w:val="0"/>
              <w:spacing w:line="400" w:lineRule="atLeast"/>
              <w:rPr>
                <w:rFonts w:hint="eastAsia" w:ascii="宋体" w:cs="宋体"/>
                <w:snapToGrid w:val="0"/>
                <w:kern w:val="0"/>
              </w:rPr>
            </w:pPr>
            <w:r>
              <w:rPr>
                <w:rFonts w:hint="eastAsia" w:ascii="宋体" w:cs="宋体"/>
                <w:snapToGrid w:val="0"/>
                <w:kern w:val="0"/>
              </w:rPr>
              <w:t>同类业绩</w:t>
            </w:r>
          </w:p>
        </w:tc>
        <w:tc>
          <w:tcPr>
            <w:tcW w:w="1089"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51FF2456">
            <w:pPr>
              <w:keepNext w:val="0"/>
              <w:keepLines w:val="0"/>
              <w:pageBreakBefore w:val="0"/>
              <w:kinsoku/>
              <w:overflowPunct/>
              <w:topLinePunct w:val="0"/>
              <w:bidi w:val="0"/>
              <w:spacing w:line="400" w:lineRule="atLeast"/>
              <w:rPr>
                <w:rFonts w:hint="default" w:ascii="宋体" w:eastAsia="宋体" w:cs="宋体"/>
                <w:snapToGrid w:val="0"/>
                <w:kern w:val="0"/>
                <w:lang w:val="en-US" w:eastAsia="zh-CN"/>
              </w:rPr>
            </w:pPr>
            <w:r>
              <w:rPr>
                <w:rFonts w:hint="eastAsia" w:ascii="宋体" w:cs="宋体"/>
                <w:snapToGrid w:val="0"/>
                <w:kern w:val="0"/>
                <w:lang w:val="en-US" w:eastAsia="zh-CN"/>
              </w:rPr>
              <w:t>10</w:t>
            </w:r>
          </w:p>
        </w:tc>
        <w:tc>
          <w:tcPr>
            <w:tcW w:w="4928"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68018C4B">
            <w:pPr>
              <w:widowControl/>
              <w:jc w:val="left"/>
              <w:rPr>
                <w:rFonts w:hint="eastAsia" w:ascii="仿宋" w:hAnsi="仿宋" w:eastAsia="仿宋" w:cs="仿宋"/>
                <w:color w:val="auto"/>
                <w:sz w:val="24"/>
                <w:lang w:eastAsia="zh-CN"/>
              </w:rPr>
            </w:pPr>
            <w:r>
              <w:rPr>
                <w:rFonts w:hint="eastAsia" w:ascii="仿宋" w:hAnsi="仿宋" w:eastAsia="仿宋" w:cs="仿宋"/>
                <w:color w:val="auto"/>
                <w:sz w:val="24"/>
                <w:lang w:eastAsia="zh-CN"/>
              </w:rPr>
              <w:t>（一）评分内容：提供投标人自20</w:t>
            </w:r>
            <w:r>
              <w:rPr>
                <w:rFonts w:hint="eastAsia" w:ascii="仿宋" w:hAnsi="仿宋" w:eastAsia="仿宋" w:cs="仿宋"/>
                <w:color w:val="auto"/>
                <w:sz w:val="24"/>
                <w:lang w:val="en-US" w:eastAsia="zh-CN"/>
              </w:rPr>
              <w:t>23</w:t>
            </w:r>
            <w:r>
              <w:rPr>
                <w:rFonts w:hint="eastAsia" w:ascii="仿宋" w:hAnsi="仿宋" w:eastAsia="仿宋" w:cs="仿宋"/>
                <w:color w:val="auto"/>
                <w:sz w:val="24"/>
                <w:lang w:eastAsia="zh-CN"/>
              </w:rPr>
              <w:t>年1月1日至本项目截标之日完成的</w:t>
            </w:r>
            <w:r>
              <w:rPr>
                <w:rFonts w:hint="eastAsia" w:ascii="仿宋" w:hAnsi="仿宋" w:eastAsia="仿宋" w:cs="仿宋"/>
                <w:color w:val="auto"/>
                <w:sz w:val="24"/>
                <w:lang w:val="en-US" w:eastAsia="zh-CN"/>
              </w:rPr>
              <w:t>同类项目</w:t>
            </w:r>
            <w:r>
              <w:rPr>
                <w:rFonts w:hint="eastAsia" w:ascii="仿宋" w:hAnsi="仿宋" w:eastAsia="仿宋" w:cs="仿宋"/>
                <w:color w:val="auto"/>
                <w:sz w:val="24"/>
                <w:lang w:eastAsia="zh-CN"/>
              </w:rPr>
              <w:t>案例情况。</w:t>
            </w:r>
          </w:p>
          <w:p w14:paraId="0316AFA6">
            <w:pPr>
              <w:widowControl/>
              <w:numPr>
                <w:ilvl w:val="0"/>
                <w:numId w:val="0"/>
              </w:numPr>
              <w:jc w:val="left"/>
              <w:rPr>
                <w:rFonts w:hint="eastAsia" w:ascii="仿宋" w:hAnsi="仿宋" w:eastAsia="仿宋" w:cs="仿宋"/>
                <w:color w:val="auto"/>
                <w:sz w:val="24"/>
                <w:lang w:eastAsia="zh-CN"/>
              </w:rPr>
            </w:pPr>
            <w:r>
              <w:rPr>
                <w:rFonts w:hint="eastAsia" w:ascii="仿宋" w:hAnsi="仿宋" w:eastAsia="仿宋" w:cs="仿宋"/>
                <w:color w:val="auto"/>
                <w:sz w:val="24"/>
                <w:lang w:eastAsia="zh-CN"/>
              </w:rPr>
              <w:t>（二）评分依据：</w:t>
            </w:r>
          </w:p>
          <w:p w14:paraId="2AFE5768">
            <w:pPr>
              <w:widowControl/>
              <w:numPr>
                <w:ilvl w:val="0"/>
                <w:numId w:val="0"/>
              </w:numPr>
              <w:ind w:firstLine="0" w:firstLineChars="0"/>
              <w:jc w:val="left"/>
              <w:rPr>
                <w:rFonts w:hint="eastAsia" w:ascii="仿宋" w:hAnsi="仿宋" w:eastAsia="仿宋" w:cs="仿宋"/>
                <w:color w:val="auto"/>
                <w:sz w:val="24"/>
                <w:lang w:eastAsia="zh-CN"/>
              </w:rPr>
            </w:pPr>
            <w:r>
              <w:rPr>
                <w:rFonts w:hint="eastAsia" w:ascii="仿宋" w:hAnsi="仿宋" w:eastAsia="仿宋" w:cs="仿宋"/>
                <w:color w:val="auto"/>
                <w:sz w:val="24"/>
                <w:lang w:eastAsia="zh-CN"/>
              </w:rPr>
              <w:t>每提供一项</w:t>
            </w:r>
            <w:r>
              <w:rPr>
                <w:rFonts w:hint="eastAsia" w:ascii="仿宋" w:hAnsi="仿宋" w:eastAsia="仿宋" w:cs="仿宋"/>
                <w:color w:val="auto"/>
                <w:sz w:val="24"/>
                <w:lang w:val="en-US" w:eastAsia="zh-CN"/>
              </w:rPr>
              <w:t>同类</w:t>
            </w:r>
            <w:r>
              <w:rPr>
                <w:rFonts w:hint="eastAsia" w:ascii="仿宋" w:hAnsi="仿宋" w:eastAsia="仿宋" w:cs="仿宋"/>
                <w:color w:val="auto"/>
                <w:sz w:val="24"/>
                <w:lang w:eastAsia="zh-CN"/>
              </w:rPr>
              <w:t>有效业绩的，得</w:t>
            </w:r>
            <w:r>
              <w:rPr>
                <w:rFonts w:hint="eastAsia" w:ascii="仿宋" w:hAnsi="仿宋" w:eastAsia="仿宋" w:cs="仿宋"/>
                <w:color w:val="auto"/>
                <w:sz w:val="24"/>
                <w:lang w:val="en-US" w:eastAsia="zh-CN"/>
              </w:rPr>
              <w:t>2</w:t>
            </w:r>
            <w:r>
              <w:rPr>
                <w:rFonts w:hint="eastAsia" w:ascii="仿宋" w:hAnsi="仿宋" w:eastAsia="仿宋" w:cs="仿宋"/>
                <w:color w:val="auto"/>
                <w:sz w:val="24"/>
                <w:lang w:eastAsia="zh-CN"/>
              </w:rPr>
              <w:t>分，最高得</w:t>
            </w:r>
            <w:r>
              <w:rPr>
                <w:rFonts w:hint="eastAsia" w:ascii="仿宋" w:hAnsi="仿宋" w:eastAsia="仿宋" w:cs="仿宋"/>
                <w:color w:val="auto"/>
                <w:sz w:val="24"/>
                <w:lang w:val="en-US" w:eastAsia="zh-CN"/>
              </w:rPr>
              <w:t>10</w:t>
            </w:r>
            <w:r>
              <w:rPr>
                <w:rFonts w:hint="eastAsia" w:ascii="仿宋" w:hAnsi="仿宋" w:eastAsia="仿宋" w:cs="仿宋"/>
                <w:color w:val="auto"/>
                <w:sz w:val="24"/>
                <w:lang w:eastAsia="zh-CN"/>
              </w:rPr>
              <w:t>分。</w:t>
            </w:r>
          </w:p>
          <w:p w14:paraId="66AB2590">
            <w:pPr>
              <w:widowControl/>
              <w:jc w:val="left"/>
              <w:rPr>
                <w:rFonts w:hint="eastAsia" w:ascii="仿宋" w:hAnsi="仿宋" w:eastAsia="仿宋" w:cs="仿宋"/>
                <w:color w:val="auto"/>
                <w:sz w:val="24"/>
                <w:lang w:eastAsia="zh-CN"/>
              </w:rPr>
            </w:pPr>
            <w:r>
              <w:rPr>
                <w:rFonts w:hint="eastAsia" w:ascii="仿宋" w:hAnsi="仿宋" w:eastAsia="仿宋" w:cs="仿宋"/>
                <w:color w:val="auto"/>
                <w:sz w:val="24"/>
                <w:lang w:eastAsia="zh-CN"/>
              </w:rPr>
              <w:t>注意：</w:t>
            </w:r>
          </w:p>
          <w:p w14:paraId="6AB5B5E0">
            <w:pPr>
              <w:widowControl/>
              <w:jc w:val="left"/>
              <w:rPr>
                <w:rFonts w:hint="eastAsia" w:ascii="仿宋" w:hAnsi="仿宋" w:eastAsia="仿宋" w:cs="仿宋"/>
                <w:color w:val="auto"/>
                <w:sz w:val="24"/>
                <w:lang w:eastAsia="zh-CN"/>
              </w:rPr>
            </w:pPr>
            <w:r>
              <w:rPr>
                <w:rFonts w:hint="eastAsia" w:ascii="仿宋" w:hAnsi="仿宋" w:eastAsia="仿宋" w:cs="仿宋"/>
                <w:color w:val="auto"/>
                <w:sz w:val="24"/>
                <w:lang w:eastAsia="zh-CN"/>
              </w:rPr>
              <w:t>1、投标人须提供相应业绩案例合同关键页的复印件并加盖投标人公章（原件备查）作为证明材料；</w:t>
            </w:r>
          </w:p>
          <w:p w14:paraId="35E7FFD4">
            <w:pPr>
              <w:keepNext w:val="0"/>
              <w:keepLines w:val="0"/>
              <w:pageBreakBefore w:val="0"/>
              <w:kinsoku/>
              <w:overflowPunct/>
              <w:topLinePunct w:val="0"/>
              <w:bidi w:val="0"/>
              <w:spacing w:line="400" w:lineRule="atLeast"/>
              <w:rPr>
                <w:rFonts w:hint="eastAsia" w:ascii="宋体" w:cs="宋体"/>
                <w:snapToGrid w:val="0"/>
                <w:kern w:val="0"/>
              </w:rPr>
            </w:pPr>
            <w:r>
              <w:rPr>
                <w:rFonts w:hint="eastAsia" w:ascii="仿宋" w:hAnsi="仿宋" w:eastAsia="仿宋" w:cs="仿宋"/>
                <w:color w:val="auto"/>
                <w:sz w:val="24"/>
                <w:lang w:eastAsia="zh-CN"/>
              </w:rPr>
              <w:t>2、评分中出现无证明资料或专家无法凭所提供资料判断是否得分的情况，一律作不得分处理</w:t>
            </w:r>
            <w:r>
              <w:rPr>
                <w:rFonts w:hint="eastAsia" w:ascii="宋体" w:cs="宋体"/>
                <w:snapToGrid w:val="0"/>
                <w:kern w:val="0"/>
              </w:rPr>
              <w:t>。</w:t>
            </w:r>
          </w:p>
        </w:tc>
      </w:tr>
      <w:tr w14:paraId="5BBD8ED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left w:val="single" w:color="000000" w:sz="8" w:space="0"/>
              <w:bottom w:val="single" w:color="000000" w:sz="8" w:space="0"/>
              <w:right w:val="single" w:color="000000" w:sz="8" w:space="0"/>
            </w:tcBorders>
            <w:shd w:val="clear" w:color="auto" w:fill="E6EFFA"/>
            <w:vAlign w:val="top"/>
          </w:tcPr>
          <w:p w14:paraId="2CD16C20">
            <w:pPr>
              <w:keepNext w:val="0"/>
              <w:keepLines w:val="0"/>
              <w:pageBreakBefore w:val="0"/>
              <w:kinsoku/>
              <w:overflowPunct/>
              <w:topLinePunct w:val="0"/>
              <w:bidi w:val="0"/>
              <w:spacing w:line="400" w:lineRule="atLeast"/>
              <w:rPr>
                <w:rFonts w:hint="eastAsia" w:ascii="宋体" w:cs="宋体"/>
                <w:snapToGrid w:val="0"/>
                <w:kern w:val="0"/>
              </w:rPr>
            </w:pPr>
          </w:p>
        </w:tc>
        <w:tc>
          <w:tcPr>
            <w:tcW w:w="704" w:type="dxa"/>
            <w:gridSpan w:val="3"/>
            <w:tcBorders>
              <w:top w:val="outset" w:color="000000" w:sz="6" w:space="0"/>
              <w:left w:val="outset" w:color="000000" w:sz="6" w:space="0"/>
              <w:bottom w:val="outset" w:color="000000" w:sz="6" w:space="0"/>
              <w:right w:val="outset" w:color="000000" w:sz="6" w:space="0"/>
            </w:tcBorders>
            <w:shd w:val="clear" w:color="auto" w:fill="E6EFFA"/>
            <w:vAlign w:val="center"/>
          </w:tcPr>
          <w:p w14:paraId="48864C71">
            <w:pPr>
              <w:keepNext w:val="0"/>
              <w:keepLines w:val="0"/>
              <w:pageBreakBefore w:val="0"/>
              <w:kinsoku/>
              <w:overflowPunct/>
              <w:topLinePunct w:val="0"/>
              <w:bidi w:val="0"/>
              <w:spacing w:line="400" w:lineRule="atLeast"/>
              <w:rPr>
                <w:rFonts w:hint="default" w:ascii="宋体" w:cs="宋体"/>
                <w:snapToGrid w:val="0"/>
                <w:kern w:val="0"/>
                <w:lang w:val="en-US" w:eastAsia="zh-CN"/>
              </w:rPr>
            </w:pPr>
            <w:r>
              <w:rPr>
                <w:rFonts w:hint="eastAsia" w:ascii="宋体" w:cs="宋体"/>
                <w:snapToGrid w:val="0"/>
                <w:kern w:val="0"/>
                <w:lang w:val="en-US" w:eastAsia="zh-CN"/>
              </w:rPr>
              <w:t>3.2</w:t>
            </w:r>
          </w:p>
        </w:tc>
        <w:tc>
          <w:tcPr>
            <w:tcW w:w="1671"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760ACB58">
            <w:pPr>
              <w:keepNext w:val="0"/>
              <w:keepLines w:val="0"/>
              <w:pageBreakBefore w:val="0"/>
              <w:kinsoku/>
              <w:overflowPunct/>
              <w:topLinePunct w:val="0"/>
              <w:bidi w:val="0"/>
              <w:spacing w:line="400" w:lineRule="atLeast"/>
              <w:rPr>
                <w:rFonts w:hint="eastAsia" w:ascii="宋体" w:cs="宋体"/>
                <w:snapToGrid w:val="0"/>
                <w:kern w:val="0"/>
              </w:rPr>
            </w:pPr>
            <w:r>
              <w:rPr>
                <w:rFonts w:hint="eastAsia" w:ascii="宋体" w:cs="宋体"/>
                <w:snapToGrid w:val="0"/>
                <w:kern w:val="0"/>
              </w:rPr>
              <w:t>诚信</w:t>
            </w:r>
          </w:p>
        </w:tc>
        <w:tc>
          <w:tcPr>
            <w:tcW w:w="1089"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5EAAD901">
            <w:pPr>
              <w:keepNext w:val="0"/>
              <w:keepLines w:val="0"/>
              <w:pageBreakBefore w:val="0"/>
              <w:kinsoku/>
              <w:overflowPunct/>
              <w:topLinePunct w:val="0"/>
              <w:bidi w:val="0"/>
              <w:spacing w:line="400" w:lineRule="atLeast"/>
              <w:rPr>
                <w:rFonts w:hint="eastAsia" w:ascii="宋体" w:cs="宋体"/>
                <w:snapToGrid w:val="0"/>
                <w:kern w:val="0"/>
                <w:lang w:val="en-US" w:eastAsia="zh-CN"/>
              </w:rPr>
            </w:pPr>
            <w:r>
              <w:rPr>
                <w:rFonts w:hint="eastAsia" w:ascii="宋体" w:cs="宋体"/>
                <w:snapToGrid w:val="0"/>
                <w:kern w:val="0"/>
              </w:rPr>
              <w:t>5</w:t>
            </w:r>
          </w:p>
        </w:tc>
        <w:tc>
          <w:tcPr>
            <w:tcW w:w="4928" w:type="dxa"/>
            <w:tcBorders>
              <w:top w:val="outset" w:color="000000" w:sz="6" w:space="0"/>
              <w:left w:val="outset" w:color="000000" w:sz="6" w:space="0"/>
              <w:bottom w:val="outset" w:color="000000" w:sz="6" w:space="0"/>
              <w:right w:val="outset" w:color="000000" w:sz="6" w:space="0"/>
            </w:tcBorders>
            <w:shd w:val="clear" w:color="auto" w:fill="E6EFFA"/>
            <w:vAlign w:val="top"/>
          </w:tcPr>
          <w:p w14:paraId="17B16EF7">
            <w:pPr>
              <w:keepNext w:val="0"/>
              <w:keepLines w:val="0"/>
              <w:pageBreakBefore w:val="0"/>
              <w:kinsoku/>
              <w:overflowPunct/>
              <w:topLinePunct w:val="0"/>
              <w:bidi w:val="0"/>
              <w:spacing w:line="400" w:lineRule="atLeast"/>
              <w:rPr>
                <w:rFonts w:hint="eastAsia" w:ascii="宋体" w:cs="宋体"/>
                <w:snapToGrid w:val="0"/>
                <w:kern w:val="0"/>
              </w:rPr>
            </w:pPr>
            <w:r>
              <w:rPr>
                <w:rFonts w:hint="eastAsia" w:ascii="宋体" w:cs="宋体"/>
                <w:snapToGrid w:val="0"/>
                <w:kern w:val="0"/>
              </w:rPr>
              <w:t>（一）评分内容： 投标人在参与政府采购活动中存在诚信相关问题且在主管部门相关处理措施实施期限内的，本项不得分，否则得满分。</w:t>
            </w:r>
          </w:p>
          <w:p w14:paraId="55E18BFE">
            <w:pPr>
              <w:keepNext w:val="0"/>
              <w:keepLines w:val="0"/>
              <w:pageBreakBefore w:val="0"/>
              <w:kinsoku/>
              <w:overflowPunct/>
              <w:topLinePunct w:val="0"/>
              <w:bidi w:val="0"/>
              <w:spacing w:line="400" w:lineRule="atLeast"/>
              <w:rPr>
                <w:rFonts w:hint="eastAsia" w:ascii="仿宋" w:hAnsi="仿宋" w:eastAsia="仿宋" w:cs="仿宋"/>
                <w:color w:val="auto"/>
                <w:sz w:val="24"/>
                <w:lang w:eastAsia="zh-CN"/>
              </w:rPr>
            </w:pPr>
            <w:r>
              <w:rPr>
                <w:rFonts w:hint="eastAsia" w:ascii="宋体" w:cs="宋体"/>
                <w:snapToGrid w:val="0"/>
                <w:kern w:val="0"/>
              </w:rPr>
              <w:t>（二）评分依据：投标人无需提供任何证明材料，由工作人员向评审委员会提供相关信息。</w:t>
            </w:r>
          </w:p>
        </w:tc>
      </w:tr>
    </w:tbl>
    <w:p w14:paraId="507503B9">
      <w:pPr>
        <w:pStyle w:val="6"/>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5690C60"/>
    <w:multiLevelType w:val="singleLevel"/>
    <w:tmpl w:val="E5690C60"/>
    <w:lvl w:ilvl="0" w:tentative="0">
      <w:start w:val="1"/>
      <w:numFmt w:val="chineseCounting"/>
      <w:suff w:val="nothing"/>
      <w:lvlText w:val="（%1）"/>
      <w:lvlJc w:val="left"/>
      <w:rPr>
        <w:rFonts w:hint="eastAsia"/>
      </w:rPr>
    </w:lvl>
  </w:abstractNum>
  <w:abstractNum w:abstractNumId="1">
    <w:nsid w:val="225B2C79"/>
    <w:multiLevelType w:val="multilevel"/>
    <w:tmpl w:val="225B2C79"/>
    <w:lvl w:ilvl="0" w:tentative="0">
      <w:start w:val="1"/>
      <w:numFmt w:val="chineseCountingThousand"/>
      <w:pStyle w:val="3"/>
      <w:lvlText w:val="(%1)"/>
      <w:lvlJc w:val="left"/>
      <w:pPr>
        <w:ind w:left="920" w:hanging="360"/>
      </w:pPr>
    </w:lvl>
    <w:lvl w:ilvl="1" w:tentative="0">
      <w:start w:val="2"/>
      <w:numFmt w:val="decimal"/>
      <w:isLgl/>
      <w:lvlText w:val="%1.%2."/>
      <w:lvlJc w:val="left"/>
      <w:pPr>
        <w:ind w:left="1540" w:hanging="980"/>
      </w:pPr>
    </w:lvl>
    <w:lvl w:ilvl="2" w:tentative="0">
      <w:start w:val="1"/>
      <w:numFmt w:val="decimal"/>
      <w:isLgl/>
      <w:lvlText w:val="%1.%2.%3."/>
      <w:lvlJc w:val="left"/>
      <w:pPr>
        <w:ind w:left="1640" w:hanging="1080"/>
      </w:pPr>
    </w:lvl>
    <w:lvl w:ilvl="3" w:tentative="0">
      <w:start w:val="1"/>
      <w:numFmt w:val="decimal"/>
      <w:isLgl/>
      <w:lvlText w:val="%1.%2.%3.%4."/>
      <w:lvlJc w:val="left"/>
      <w:pPr>
        <w:ind w:left="2000" w:hanging="1440"/>
      </w:pPr>
    </w:lvl>
    <w:lvl w:ilvl="4" w:tentative="0">
      <w:start w:val="1"/>
      <w:numFmt w:val="decimal"/>
      <w:isLgl/>
      <w:lvlText w:val="%1.%2.%3.%4.%5."/>
      <w:lvlJc w:val="left"/>
      <w:pPr>
        <w:ind w:left="2000" w:hanging="1440"/>
      </w:pPr>
    </w:lvl>
    <w:lvl w:ilvl="5" w:tentative="0">
      <w:start w:val="1"/>
      <w:numFmt w:val="decimal"/>
      <w:isLgl/>
      <w:lvlText w:val="%1.%2.%3.%4.%5.%6."/>
      <w:lvlJc w:val="left"/>
      <w:pPr>
        <w:ind w:left="2360" w:hanging="1800"/>
      </w:pPr>
    </w:lvl>
    <w:lvl w:ilvl="6" w:tentative="0">
      <w:start w:val="1"/>
      <w:numFmt w:val="decimal"/>
      <w:isLgl/>
      <w:lvlText w:val="%1.%2.%3.%4.%5.%6.%7."/>
      <w:lvlJc w:val="left"/>
      <w:pPr>
        <w:ind w:left="2720" w:hanging="2160"/>
      </w:pPr>
    </w:lvl>
    <w:lvl w:ilvl="7" w:tentative="0">
      <w:start w:val="1"/>
      <w:numFmt w:val="decimal"/>
      <w:isLgl/>
      <w:lvlText w:val="%1.%2.%3.%4.%5.%6.%7.%8."/>
      <w:lvlJc w:val="left"/>
      <w:pPr>
        <w:ind w:left="3080" w:hanging="2520"/>
      </w:pPr>
    </w:lvl>
    <w:lvl w:ilvl="8" w:tentative="0">
      <w:start w:val="1"/>
      <w:numFmt w:val="decimal"/>
      <w:isLgl/>
      <w:lvlText w:val="%1.%2.%3.%4.%5.%6.%7.%8.%9."/>
      <w:lvlJc w:val="left"/>
      <w:pPr>
        <w:ind w:left="3080" w:hanging="2520"/>
      </w:pPr>
    </w:lvl>
  </w:abstractNum>
  <w:num w:numId="1">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EzY2NiYTcwYWMwZTBmZDU1NzVmOTJiMjU3OTI0MDMifQ=="/>
  </w:docVars>
  <w:rsids>
    <w:rsidRoot w:val="00C67B9E"/>
    <w:rsid w:val="00003F80"/>
    <w:rsid w:val="00010D78"/>
    <w:rsid w:val="00045EA7"/>
    <w:rsid w:val="00060332"/>
    <w:rsid w:val="00064393"/>
    <w:rsid w:val="00076353"/>
    <w:rsid w:val="000C63C7"/>
    <w:rsid w:val="000D71F3"/>
    <w:rsid w:val="001A223C"/>
    <w:rsid w:val="002454D2"/>
    <w:rsid w:val="00257951"/>
    <w:rsid w:val="002969B5"/>
    <w:rsid w:val="002B4BD0"/>
    <w:rsid w:val="00311BF7"/>
    <w:rsid w:val="00367130"/>
    <w:rsid w:val="003D6789"/>
    <w:rsid w:val="003F32BE"/>
    <w:rsid w:val="0041428F"/>
    <w:rsid w:val="00427951"/>
    <w:rsid w:val="0043452D"/>
    <w:rsid w:val="004642BD"/>
    <w:rsid w:val="005137C4"/>
    <w:rsid w:val="00561F31"/>
    <w:rsid w:val="005F73CE"/>
    <w:rsid w:val="00647402"/>
    <w:rsid w:val="00680A0B"/>
    <w:rsid w:val="006A5FED"/>
    <w:rsid w:val="006E2AA9"/>
    <w:rsid w:val="006F097F"/>
    <w:rsid w:val="0073626D"/>
    <w:rsid w:val="00790B41"/>
    <w:rsid w:val="007D4DA6"/>
    <w:rsid w:val="007F735F"/>
    <w:rsid w:val="008A6022"/>
    <w:rsid w:val="008C0E1C"/>
    <w:rsid w:val="008C39E4"/>
    <w:rsid w:val="00905DC1"/>
    <w:rsid w:val="009369DF"/>
    <w:rsid w:val="009470AE"/>
    <w:rsid w:val="00970EDE"/>
    <w:rsid w:val="00974177"/>
    <w:rsid w:val="009A257E"/>
    <w:rsid w:val="00A029C6"/>
    <w:rsid w:val="00A273EF"/>
    <w:rsid w:val="00A76BAE"/>
    <w:rsid w:val="00AA4F62"/>
    <w:rsid w:val="00AF4E09"/>
    <w:rsid w:val="00B03E67"/>
    <w:rsid w:val="00B1659E"/>
    <w:rsid w:val="00B66757"/>
    <w:rsid w:val="00BA378E"/>
    <w:rsid w:val="00BD368D"/>
    <w:rsid w:val="00BF25BA"/>
    <w:rsid w:val="00C5461D"/>
    <w:rsid w:val="00C67B9E"/>
    <w:rsid w:val="00C71E57"/>
    <w:rsid w:val="00C9364E"/>
    <w:rsid w:val="00CD56D1"/>
    <w:rsid w:val="00CD5C7A"/>
    <w:rsid w:val="00CE66A7"/>
    <w:rsid w:val="00CF64F4"/>
    <w:rsid w:val="00D24570"/>
    <w:rsid w:val="00D6314B"/>
    <w:rsid w:val="00DA4A02"/>
    <w:rsid w:val="00DF5367"/>
    <w:rsid w:val="00E010F0"/>
    <w:rsid w:val="00E31D1D"/>
    <w:rsid w:val="00E474FD"/>
    <w:rsid w:val="00EB1EF1"/>
    <w:rsid w:val="00ED6097"/>
    <w:rsid w:val="00EE6E6F"/>
    <w:rsid w:val="00F200FF"/>
    <w:rsid w:val="00F23760"/>
    <w:rsid w:val="00F35975"/>
    <w:rsid w:val="00F872EF"/>
    <w:rsid w:val="00F96BB4"/>
    <w:rsid w:val="01B60758"/>
    <w:rsid w:val="022A679E"/>
    <w:rsid w:val="036A59B4"/>
    <w:rsid w:val="049A7ADA"/>
    <w:rsid w:val="05DF4A73"/>
    <w:rsid w:val="08DA0237"/>
    <w:rsid w:val="08F97D45"/>
    <w:rsid w:val="09FE0C04"/>
    <w:rsid w:val="0A8F7AAE"/>
    <w:rsid w:val="0C2F32F7"/>
    <w:rsid w:val="0CA317C3"/>
    <w:rsid w:val="0D3A2336"/>
    <w:rsid w:val="0F2F09E0"/>
    <w:rsid w:val="0F552755"/>
    <w:rsid w:val="11064AA9"/>
    <w:rsid w:val="1384217A"/>
    <w:rsid w:val="13A5576F"/>
    <w:rsid w:val="14F13869"/>
    <w:rsid w:val="152E64B4"/>
    <w:rsid w:val="1589094D"/>
    <w:rsid w:val="16782C09"/>
    <w:rsid w:val="17B80644"/>
    <w:rsid w:val="187953B4"/>
    <w:rsid w:val="190204C9"/>
    <w:rsid w:val="19DE635C"/>
    <w:rsid w:val="1A184CDB"/>
    <w:rsid w:val="1A3146DE"/>
    <w:rsid w:val="1AA11864"/>
    <w:rsid w:val="1B485552"/>
    <w:rsid w:val="1CB41379"/>
    <w:rsid w:val="1F0C7A58"/>
    <w:rsid w:val="1FB60294"/>
    <w:rsid w:val="1FC76B38"/>
    <w:rsid w:val="235029F3"/>
    <w:rsid w:val="237759F1"/>
    <w:rsid w:val="23D5432C"/>
    <w:rsid w:val="240D4A36"/>
    <w:rsid w:val="2593449F"/>
    <w:rsid w:val="25967894"/>
    <w:rsid w:val="25E46AA9"/>
    <w:rsid w:val="285F529A"/>
    <w:rsid w:val="28653295"/>
    <w:rsid w:val="28EC6B33"/>
    <w:rsid w:val="29A540FB"/>
    <w:rsid w:val="2A043BBD"/>
    <w:rsid w:val="2C522880"/>
    <w:rsid w:val="2EC851B9"/>
    <w:rsid w:val="3073530A"/>
    <w:rsid w:val="310E0445"/>
    <w:rsid w:val="3163566D"/>
    <w:rsid w:val="31E85F01"/>
    <w:rsid w:val="3384219E"/>
    <w:rsid w:val="35417A73"/>
    <w:rsid w:val="359A3628"/>
    <w:rsid w:val="36390BFE"/>
    <w:rsid w:val="374E6478"/>
    <w:rsid w:val="3759664E"/>
    <w:rsid w:val="37AE6F16"/>
    <w:rsid w:val="380E60C6"/>
    <w:rsid w:val="390A4620"/>
    <w:rsid w:val="3B335A37"/>
    <w:rsid w:val="3BE13D5E"/>
    <w:rsid w:val="3BFC0B7A"/>
    <w:rsid w:val="3CBD3885"/>
    <w:rsid w:val="3DB51F95"/>
    <w:rsid w:val="3E61128B"/>
    <w:rsid w:val="3E693B97"/>
    <w:rsid w:val="3EED6576"/>
    <w:rsid w:val="417E2ACB"/>
    <w:rsid w:val="41B94863"/>
    <w:rsid w:val="42F01EAE"/>
    <w:rsid w:val="436F39FE"/>
    <w:rsid w:val="445B5ADD"/>
    <w:rsid w:val="44E358C0"/>
    <w:rsid w:val="45100152"/>
    <w:rsid w:val="45114D25"/>
    <w:rsid w:val="47C43ABD"/>
    <w:rsid w:val="486378A9"/>
    <w:rsid w:val="48E01BEC"/>
    <w:rsid w:val="4A5F1FFB"/>
    <w:rsid w:val="4ABE4B31"/>
    <w:rsid w:val="4B2966FB"/>
    <w:rsid w:val="4BB70F0E"/>
    <w:rsid w:val="4C165FF3"/>
    <w:rsid w:val="4CE36076"/>
    <w:rsid w:val="4D574E92"/>
    <w:rsid w:val="50F33EC0"/>
    <w:rsid w:val="510A5F50"/>
    <w:rsid w:val="57B64ACD"/>
    <w:rsid w:val="57F549C2"/>
    <w:rsid w:val="58913036"/>
    <w:rsid w:val="5B0373F5"/>
    <w:rsid w:val="5B205CD1"/>
    <w:rsid w:val="5B3C2907"/>
    <w:rsid w:val="5ECA51A5"/>
    <w:rsid w:val="5F7C32D2"/>
    <w:rsid w:val="602B6AA7"/>
    <w:rsid w:val="6062129A"/>
    <w:rsid w:val="61B20F72"/>
    <w:rsid w:val="62074BE1"/>
    <w:rsid w:val="6270256A"/>
    <w:rsid w:val="62B91956"/>
    <w:rsid w:val="6393607E"/>
    <w:rsid w:val="63A17009"/>
    <w:rsid w:val="63A36518"/>
    <w:rsid w:val="63C313DC"/>
    <w:rsid w:val="662462C6"/>
    <w:rsid w:val="66C32DAD"/>
    <w:rsid w:val="68336713"/>
    <w:rsid w:val="689D68CD"/>
    <w:rsid w:val="690C3805"/>
    <w:rsid w:val="69427100"/>
    <w:rsid w:val="6B6A4927"/>
    <w:rsid w:val="6BD04C6F"/>
    <w:rsid w:val="6CDE023B"/>
    <w:rsid w:val="6CDE3881"/>
    <w:rsid w:val="6D0A4613"/>
    <w:rsid w:val="6DB52395"/>
    <w:rsid w:val="6E2C59D5"/>
    <w:rsid w:val="6EB72302"/>
    <w:rsid w:val="6F2F7038"/>
    <w:rsid w:val="6FEC03B0"/>
    <w:rsid w:val="700375BC"/>
    <w:rsid w:val="70720809"/>
    <w:rsid w:val="70EB475C"/>
    <w:rsid w:val="725B321B"/>
    <w:rsid w:val="735A4238"/>
    <w:rsid w:val="73CE09B0"/>
    <w:rsid w:val="7411782E"/>
    <w:rsid w:val="74530EF4"/>
    <w:rsid w:val="7459215D"/>
    <w:rsid w:val="75866347"/>
    <w:rsid w:val="77E3280A"/>
    <w:rsid w:val="780F0D30"/>
    <w:rsid w:val="783B0B38"/>
    <w:rsid w:val="78615304"/>
    <w:rsid w:val="788C27DE"/>
    <w:rsid w:val="78A615AA"/>
    <w:rsid w:val="795A4B00"/>
    <w:rsid w:val="7C84345E"/>
    <w:rsid w:val="7D6E23B5"/>
    <w:rsid w:val="7DC81A6D"/>
    <w:rsid w:val="7F932247"/>
    <w:rsid w:val="7FED39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25"/>
    <w:qFormat/>
    <w:uiPriority w:val="0"/>
    <w:pPr>
      <w:keepNext/>
      <w:keepLines/>
      <w:numPr>
        <w:ilvl w:val="0"/>
        <w:numId w:val="1"/>
      </w:numPr>
      <w:spacing w:before="340" w:after="330" w:line="578" w:lineRule="auto"/>
      <w:outlineLvl w:val="0"/>
    </w:pPr>
    <w:rPr>
      <w:rFonts w:ascii="Calibri" w:hAnsi="Calibri" w:eastAsia="黑体" w:cs="Times New Roman"/>
      <w:b/>
      <w:bCs/>
      <w:kern w:val="44"/>
      <w:sz w:val="36"/>
      <w:szCs w:val="44"/>
      <w:lang w:val="zh-CN"/>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styleId="5">
    <w:name w:val="annotation text"/>
    <w:basedOn w:val="1"/>
    <w:link w:val="26"/>
    <w:semiHidden/>
    <w:unhideWhenUsed/>
    <w:qFormat/>
    <w:uiPriority w:val="0"/>
    <w:pPr>
      <w:spacing w:line="360" w:lineRule="auto"/>
      <w:ind w:firstLine="883" w:firstLineChars="200"/>
      <w:jc w:val="left"/>
    </w:pPr>
    <w:rPr>
      <w:rFonts w:ascii="Times New Roman" w:hAnsi="Times New Roman" w:eastAsia="宋体" w:cs="Times New Roman"/>
      <w:sz w:val="24"/>
      <w:lang w:val="zh-CN"/>
    </w:rPr>
  </w:style>
  <w:style w:type="paragraph" w:styleId="6">
    <w:name w:val="Body Text"/>
    <w:basedOn w:val="1"/>
    <w:next w:val="1"/>
    <w:qFormat/>
    <w:uiPriority w:val="0"/>
    <w:pPr>
      <w:spacing w:line="360" w:lineRule="auto"/>
    </w:pPr>
    <w:rPr>
      <w:b/>
      <w:bCs/>
      <w:sz w:val="24"/>
    </w:rPr>
  </w:style>
  <w:style w:type="paragraph" w:styleId="7">
    <w:name w:val="Body Text Indent"/>
    <w:basedOn w:val="1"/>
    <w:qFormat/>
    <w:uiPriority w:val="0"/>
    <w:pPr>
      <w:spacing w:line="560" w:lineRule="exact"/>
      <w:ind w:left="300"/>
    </w:pPr>
    <w:rPr>
      <w:sz w:val="24"/>
    </w:rPr>
  </w:style>
  <w:style w:type="paragraph" w:styleId="8">
    <w:name w:val="Plain Text"/>
    <w:basedOn w:val="1"/>
    <w:qFormat/>
    <w:uiPriority w:val="0"/>
    <w:rPr>
      <w:rFonts w:ascii="宋体" w:hAnsi="Courier New" w:cs="Courier New" w:eastAsiaTheme="minorEastAsia"/>
      <w:szCs w:val="21"/>
    </w:rPr>
  </w:style>
  <w:style w:type="paragraph" w:styleId="9">
    <w:name w:val="footer"/>
    <w:basedOn w:val="1"/>
    <w:link w:val="19"/>
    <w:unhideWhenUsed/>
    <w:qFormat/>
    <w:uiPriority w:val="99"/>
    <w:pPr>
      <w:tabs>
        <w:tab w:val="center" w:pos="4153"/>
        <w:tab w:val="right" w:pos="8306"/>
      </w:tabs>
      <w:snapToGrid w:val="0"/>
      <w:jc w:val="left"/>
    </w:pPr>
    <w:rPr>
      <w:sz w:val="18"/>
      <w:szCs w:val="18"/>
    </w:rPr>
  </w:style>
  <w:style w:type="paragraph" w:styleId="10">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Body Text 2"/>
    <w:basedOn w:val="1"/>
    <w:qFormat/>
    <w:uiPriority w:val="0"/>
    <w:pPr>
      <w:tabs>
        <w:tab w:val="left" w:pos="0"/>
      </w:tabs>
      <w:spacing w:line="400" w:lineRule="atLeast"/>
    </w:pPr>
    <w:rPr>
      <w:rFonts w:ascii="Arial" w:hAnsi="Arial"/>
      <w:color w:val="000000"/>
    </w:rPr>
  </w:style>
  <w:style w:type="paragraph" w:styleId="12">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3">
    <w:name w:val="Body Text First Indent 2"/>
    <w:basedOn w:val="7"/>
    <w:qFormat/>
    <w:uiPriority w:val="0"/>
    <w:pPr>
      <w:ind w:firstLine="420" w:firstLineChars="200"/>
    </w:pPr>
  </w:style>
  <w:style w:type="character" w:styleId="16">
    <w:name w:val="annotation reference"/>
    <w:qFormat/>
    <w:uiPriority w:val="0"/>
    <w:rPr>
      <w:sz w:val="21"/>
      <w:szCs w:val="21"/>
    </w:rPr>
  </w:style>
  <w:style w:type="paragraph" w:customStyle="1" w:styleId="17">
    <w:name w:val="纯文本1"/>
    <w:basedOn w:val="1"/>
    <w:qFormat/>
    <w:uiPriority w:val="0"/>
    <w:rPr>
      <w:rFonts w:ascii="宋体" w:hAnsi="Courier New"/>
      <w:szCs w:val="20"/>
    </w:rPr>
  </w:style>
  <w:style w:type="character" w:customStyle="1" w:styleId="18">
    <w:name w:val="页眉 字符"/>
    <w:basedOn w:val="15"/>
    <w:link w:val="10"/>
    <w:qFormat/>
    <w:uiPriority w:val="99"/>
    <w:rPr>
      <w:sz w:val="18"/>
      <w:szCs w:val="18"/>
    </w:rPr>
  </w:style>
  <w:style w:type="character" w:customStyle="1" w:styleId="19">
    <w:name w:val="页脚 字符"/>
    <w:basedOn w:val="15"/>
    <w:link w:val="9"/>
    <w:qFormat/>
    <w:uiPriority w:val="99"/>
    <w:rPr>
      <w:sz w:val="18"/>
      <w:szCs w:val="18"/>
    </w:rPr>
  </w:style>
  <w:style w:type="paragraph" w:styleId="20">
    <w:name w:val="List Paragraph"/>
    <w:basedOn w:val="1"/>
    <w:qFormat/>
    <w:uiPriority w:val="34"/>
    <w:pPr>
      <w:ind w:firstLine="420" w:firstLineChars="200"/>
    </w:pPr>
  </w:style>
  <w:style w:type="character" w:customStyle="1" w:styleId="21">
    <w:name w:val="标题 1 字符"/>
    <w:basedOn w:val="15"/>
    <w:qFormat/>
    <w:uiPriority w:val="9"/>
    <w:rPr>
      <w:rFonts w:asciiTheme="minorHAnsi" w:hAnsiTheme="minorHAnsi" w:eastAsiaTheme="minorEastAsia" w:cstheme="minorBidi"/>
      <w:b/>
      <w:bCs/>
      <w:kern w:val="44"/>
      <w:sz w:val="44"/>
      <w:szCs w:val="44"/>
    </w:rPr>
  </w:style>
  <w:style w:type="character" w:customStyle="1" w:styleId="22">
    <w:name w:val="批注文字 字符"/>
    <w:basedOn w:val="15"/>
    <w:semiHidden/>
    <w:qFormat/>
    <w:uiPriority w:val="99"/>
    <w:rPr>
      <w:rFonts w:asciiTheme="minorHAnsi" w:hAnsiTheme="minorHAnsi" w:eastAsiaTheme="minorEastAsia" w:cstheme="minorBidi"/>
      <w:kern w:val="2"/>
      <w:sz w:val="21"/>
      <w:szCs w:val="22"/>
    </w:rPr>
  </w:style>
  <w:style w:type="paragraph" w:customStyle="1" w:styleId="23">
    <w:name w:val="表格文字"/>
    <w:basedOn w:val="24"/>
    <w:qFormat/>
    <w:uiPriority w:val="0"/>
    <w:pPr>
      <w:spacing w:before="25" w:after="25"/>
      <w:ind w:firstLine="200" w:firstLineChars="200"/>
      <w:jc w:val="left"/>
    </w:pPr>
    <w:rPr>
      <w:rFonts w:ascii="Times New Roman" w:hAnsi="Times New Roman" w:eastAsia="宋体" w:cs="Times New Roman"/>
      <w:bCs/>
      <w:spacing w:val="10"/>
      <w:kern w:val="0"/>
      <w:sz w:val="24"/>
    </w:rPr>
  </w:style>
  <w:style w:type="paragraph" w:customStyle="1" w:styleId="24">
    <w:name w:val="表格文字（两侧对齐）"/>
    <w:basedOn w:val="1"/>
    <w:qFormat/>
    <w:uiPriority w:val="0"/>
    <w:pPr>
      <w:widowControl w:val="0"/>
      <w:snapToGrid w:val="0"/>
      <w:spacing w:line="240" w:lineRule="auto"/>
      <w:ind w:firstLine="0" w:firstLineChars="0"/>
    </w:pPr>
    <w:rPr>
      <w:rFonts w:ascii="Calibri" w:hAnsi="Calibri" w:cs="Times New Roman"/>
      <w:kern w:val="0"/>
      <w:sz w:val="20"/>
    </w:rPr>
  </w:style>
  <w:style w:type="character" w:customStyle="1" w:styleId="25">
    <w:name w:val="标题 1 字符1"/>
    <w:link w:val="3"/>
    <w:qFormat/>
    <w:locked/>
    <w:uiPriority w:val="0"/>
    <w:rPr>
      <w:rFonts w:eastAsia="黑体" w:cs="Times New Roman"/>
      <w:b/>
      <w:bCs/>
      <w:kern w:val="44"/>
      <w:sz w:val="36"/>
      <w:szCs w:val="44"/>
      <w:lang w:val="zh-CN" w:eastAsia="zh-CN"/>
    </w:rPr>
  </w:style>
  <w:style w:type="character" w:customStyle="1" w:styleId="26">
    <w:name w:val="批注文字 字符1"/>
    <w:link w:val="5"/>
    <w:semiHidden/>
    <w:qFormat/>
    <w:locked/>
    <w:uiPriority w:val="0"/>
    <w:rPr>
      <w:rFonts w:ascii="Times New Roman" w:hAnsi="Times New Roman" w:cs="Times New Roman"/>
      <w:kern w:val="2"/>
      <w:sz w:val="24"/>
      <w:szCs w:val="22"/>
      <w:lang w:val="zh-CN" w:eastAsia="zh-CN"/>
    </w:rPr>
  </w:style>
  <w:style w:type="paragraph" w:customStyle="1" w:styleId="27">
    <w:name w:val="列出段落1"/>
    <w:basedOn w:val="1"/>
    <w:qFormat/>
    <w:uiPriority w:val="34"/>
    <w:pPr>
      <w:ind w:firstLine="420" w:firstLineChars="200"/>
    </w:pPr>
  </w:style>
  <w:style w:type="paragraph" w:customStyle="1" w:styleId="28">
    <w:name w:val="正文格式"/>
    <w:basedOn w:val="6"/>
    <w:qFormat/>
    <w:uiPriority w:val="0"/>
    <w:pPr>
      <w:widowControl/>
      <w:tabs>
        <w:tab w:val="left" w:pos="562"/>
        <w:tab w:val="left" w:pos="3372"/>
        <w:tab w:val="left" w:pos="3653"/>
      </w:tabs>
      <w:adjustRightInd w:val="0"/>
      <w:spacing w:line="480" w:lineRule="atLeast"/>
      <w:ind w:firstLine="482"/>
      <w:textAlignment w:val="baseline"/>
    </w:pPr>
    <w:rPr>
      <w:kern w:val="0"/>
      <w:szCs w:val="20"/>
    </w:rPr>
  </w:style>
  <w:style w:type="paragraph" w:customStyle="1" w:styleId="29">
    <w:name w:val="图"/>
    <w:basedOn w:val="1"/>
    <w:autoRedefine/>
    <w:qFormat/>
    <w:uiPriority w:val="0"/>
    <w:pPr>
      <w:keepNext/>
      <w:adjustRightInd w:val="0"/>
      <w:spacing w:before="60" w:after="60" w:line="300" w:lineRule="auto"/>
      <w:jc w:val="center"/>
      <w:textAlignment w:val="center"/>
    </w:pPr>
    <w:rPr>
      <w:snapToGrid w:val="0"/>
      <w:spacing w:val="20"/>
      <w:kern w:val="0"/>
      <w:sz w:val="24"/>
      <w:szCs w:val="20"/>
    </w:rPr>
  </w:style>
  <w:style w:type="character" w:customStyle="1" w:styleId="30">
    <w:name w:val="font31"/>
    <w:basedOn w:val="15"/>
    <w:qFormat/>
    <w:uiPriority w:val="0"/>
    <w:rPr>
      <w:rFonts w:hint="eastAsia" w:ascii="仿宋" w:hAnsi="仿宋" w:eastAsia="仿宋" w:cs="仿宋"/>
      <w:b/>
      <w:bCs/>
      <w:color w:val="000000"/>
      <w:sz w:val="24"/>
      <w:szCs w:val="24"/>
      <w:u w:val="none"/>
    </w:rPr>
  </w:style>
  <w:style w:type="character" w:customStyle="1" w:styleId="31">
    <w:name w:val="font41"/>
    <w:basedOn w:val="15"/>
    <w:qFormat/>
    <w:uiPriority w:val="0"/>
    <w:rPr>
      <w:rFonts w:hint="eastAsia" w:ascii="仿宋" w:hAnsi="仿宋" w:eastAsia="仿宋" w:cs="仿宋"/>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3122</Words>
  <Characters>3272</Characters>
  <Lines>41</Lines>
  <Paragraphs>11</Paragraphs>
  <TotalTime>3</TotalTime>
  <ScaleCrop>false</ScaleCrop>
  <LinksUpToDate>false</LinksUpToDate>
  <CharactersWithSpaces>3275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2024-04-07T08:23:00Z</dcterms:created>
  <dc:creator>Administrator</dc:creator>
  <cp:lastModifiedBy>如意</cp:lastModifiedBy>
  <dcterms:modified xsi:type="dcterms:W3CDTF">2026-05-26T00:29:37Z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9D06491D6D794D5486830B3E0E17355B</vt:lpwstr>
  </property>
  <property fmtid="{D5CDD505-2E9C-101B-9397-08002B2CF9AE}" pid="4" name="KSOTemplateDocerSaveRecord">
    <vt:lpwstr>eyJoZGlkIjoiODg4YmUyZjVkMTRhYjZhNTA5MTQ0YjE5NThhODEwNjUiLCJ1c2VySWQiOiIxMDE4NjkxMTQ2In0=</vt:lpwstr>
  </property>
</Properties>
</file>