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8B17A">
      <w:pPr>
        <w:spacing w:before="97" w:line="210" w:lineRule="auto"/>
        <w:ind w:left="425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5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pacing w:val="-15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15"/>
          <w:sz w:val="30"/>
          <w:szCs w:val="30"/>
        </w:rPr>
        <w:t>：</w:t>
      </w:r>
    </w:p>
    <w:p w14:paraId="7CE81D36">
      <w:pPr>
        <w:spacing w:before="1" w:line="219" w:lineRule="auto"/>
        <w:ind w:left="4229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36"/>
          <w:szCs w:val="36"/>
        </w:rPr>
        <w:t>综合评分表</w:t>
      </w:r>
    </w:p>
    <w:p w14:paraId="622F7D5E">
      <w:pPr>
        <w:spacing w:before="141" w:line="214" w:lineRule="auto"/>
        <w:ind w:left="403"/>
        <w:rPr>
          <w:rFonts w:hint="eastAsia" w:ascii="仿宋_GB2312" w:hAnsi="仿宋_GB2312" w:eastAsia="仿宋_GB2312" w:cs="仿宋_GB2312"/>
          <w:i w:val="0"/>
          <w:iCs w:val="0"/>
          <w:spacing w:val="-1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-1"/>
          <w:sz w:val="24"/>
          <w:szCs w:val="24"/>
        </w:rPr>
        <w:t>项目名称：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-1"/>
          <w:sz w:val="24"/>
          <w:szCs w:val="24"/>
          <w:lang w:eastAsia="zh-CN"/>
        </w:rPr>
        <w:t>城投卓越公司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-1"/>
          <w:sz w:val="24"/>
          <w:szCs w:val="24"/>
          <w:lang w:val="en-US" w:eastAsia="zh-CN"/>
        </w:rPr>
        <w:t>清产核资、资产评估、财务审计及涉税服务采购</w:t>
      </w:r>
    </w:p>
    <w:p w14:paraId="57260AEF">
      <w:pPr>
        <w:spacing w:before="141" w:line="214" w:lineRule="auto"/>
        <w:ind w:left="403"/>
        <w:rPr>
          <w:rFonts w:hint="eastAsia" w:ascii="仿宋_GB2312" w:hAnsi="仿宋_GB2312" w:eastAsia="仿宋_GB2312" w:cs="仿宋_GB2312"/>
          <w:i w:val="0"/>
          <w:i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-5"/>
          <w:sz w:val="24"/>
          <w:szCs w:val="24"/>
        </w:rPr>
        <w:t>投标单位：</w:t>
      </w:r>
    </w:p>
    <w:p w14:paraId="309CD86E">
      <w:pPr>
        <w:spacing w:line="139" w:lineRule="auto"/>
        <w:rPr>
          <w:rFonts w:hint="eastAsia" w:ascii="仿宋_GB2312" w:hAnsi="仿宋_GB2312" w:eastAsia="仿宋_GB2312" w:cs="仿宋_GB2312"/>
          <w:i w:val="0"/>
          <w:iCs w:val="0"/>
          <w:sz w:val="2"/>
        </w:rPr>
      </w:pPr>
    </w:p>
    <w:tbl>
      <w:tblPr>
        <w:tblStyle w:val="6"/>
        <w:tblW w:w="104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477"/>
        <w:gridCol w:w="723"/>
        <w:gridCol w:w="8208"/>
        <w:gridCol w:w="588"/>
      </w:tblGrid>
      <w:tr w14:paraId="2B003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29" w:type="dxa"/>
            <w:gridSpan w:val="2"/>
            <w:vAlign w:val="top"/>
          </w:tcPr>
          <w:p w14:paraId="40558560">
            <w:pPr>
              <w:pStyle w:val="7"/>
              <w:spacing w:before="143" w:line="226" w:lineRule="auto"/>
              <w:ind w:lef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5"/>
                <w:sz w:val="24"/>
                <w:szCs w:val="24"/>
              </w:rPr>
              <w:t>评分项</w:t>
            </w:r>
          </w:p>
        </w:tc>
        <w:tc>
          <w:tcPr>
            <w:tcW w:w="723" w:type="dxa"/>
            <w:vAlign w:val="top"/>
          </w:tcPr>
          <w:p w14:paraId="4F12B5A4">
            <w:pPr>
              <w:pStyle w:val="7"/>
              <w:spacing w:before="142" w:line="223" w:lineRule="auto"/>
              <w:ind w:lef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3"/>
                <w:sz w:val="24"/>
                <w:szCs w:val="24"/>
              </w:rPr>
              <w:t>分值</w:t>
            </w:r>
          </w:p>
        </w:tc>
        <w:tc>
          <w:tcPr>
            <w:tcW w:w="8208" w:type="dxa"/>
            <w:vAlign w:val="top"/>
          </w:tcPr>
          <w:p w14:paraId="12D4B93F">
            <w:pPr>
              <w:pStyle w:val="7"/>
              <w:spacing w:before="143" w:line="224" w:lineRule="auto"/>
              <w:ind w:lef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6"/>
                <w:sz w:val="24"/>
                <w:szCs w:val="24"/>
              </w:rPr>
              <w:t>评分规则</w:t>
            </w:r>
          </w:p>
        </w:tc>
        <w:tc>
          <w:tcPr>
            <w:tcW w:w="588" w:type="dxa"/>
            <w:vAlign w:val="top"/>
          </w:tcPr>
          <w:p w14:paraId="4008B377">
            <w:pPr>
              <w:pStyle w:val="7"/>
              <w:spacing w:before="143" w:line="225" w:lineRule="auto"/>
              <w:ind w:lef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3"/>
                <w:sz w:val="24"/>
                <w:szCs w:val="24"/>
              </w:rPr>
              <w:t>分数</w:t>
            </w:r>
          </w:p>
        </w:tc>
      </w:tr>
      <w:tr w14:paraId="273B7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29" w:type="dxa"/>
            <w:gridSpan w:val="2"/>
            <w:vAlign w:val="center"/>
          </w:tcPr>
          <w:p w14:paraId="3E51AA8C">
            <w:pPr>
              <w:pStyle w:val="7"/>
              <w:spacing w:before="143" w:line="226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5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5"/>
                <w:w w:val="100"/>
                <w:lang w:eastAsia="zh-CN"/>
              </w:rPr>
              <w:t>价格</w:t>
            </w:r>
          </w:p>
        </w:tc>
        <w:tc>
          <w:tcPr>
            <w:tcW w:w="723" w:type="dxa"/>
            <w:vAlign w:val="center"/>
          </w:tcPr>
          <w:p w14:paraId="714906BD">
            <w:pPr>
              <w:spacing w:before="69" w:line="314" w:lineRule="exact"/>
              <w:ind w:left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208" w:type="dxa"/>
            <w:vAlign w:val="center"/>
          </w:tcPr>
          <w:p w14:paraId="526BBBAA">
            <w:pPr>
              <w:pStyle w:val="7"/>
              <w:spacing w:before="34" w:line="228" w:lineRule="auto"/>
              <w:ind w:left="120" w:right="103" w:hanging="7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</w:rPr>
              <w:t>计算方法：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</w:rPr>
              <w:t>满足招标文件要求且投标价格最低的投标报价为评标基准价，其价格分为满分。其他投标人的报价分统一按照公式计算：投标报价得分=(评标基准价／投标报价)×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</w:rPr>
              <w:t>。本项满分为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</w:rPr>
              <w:t>分。</w:t>
            </w:r>
          </w:p>
        </w:tc>
        <w:tc>
          <w:tcPr>
            <w:tcW w:w="588" w:type="dxa"/>
            <w:vAlign w:val="top"/>
          </w:tcPr>
          <w:p w14:paraId="36F89B8B">
            <w:pP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</w:rPr>
            </w:pPr>
          </w:p>
        </w:tc>
      </w:tr>
      <w:tr w14:paraId="37562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8" w:hRule="atLeast"/>
        </w:trPr>
        <w:tc>
          <w:tcPr>
            <w:tcW w:w="452" w:type="dxa"/>
            <w:vMerge w:val="restart"/>
            <w:tcBorders>
              <w:bottom w:val="nil"/>
            </w:tcBorders>
            <w:textDirection w:val="tbRlV"/>
            <w:vAlign w:val="top"/>
          </w:tcPr>
          <w:p w14:paraId="35561E04">
            <w:pPr>
              <w:pStyle w:val="7"/>
              <w:spacing w:before="78" w:line="214" w:lineRule="auto"/>
              <w:ind w:left="206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4"/>
                <w:w w:val="100"/>
              </w:rPr>
              <w:t>服务业绩及服务团队</w:t>
            </w:r>
          </w:p>
        </w:tc>
        <w:tc>
          <w:tcPr>
            <w:tcW w:w="477" w:type="dxa"/>
            <w:vAlign w:val="center"/>
          </w:tcPr>
          <w:p w14:paraId="4E2A5880">
            <w:pPr>
              <w:pStyle w:val="7"/>
              <w:spacing w:before="78" w:line="214" w:lineRule="auto"/>
              <w:ind w:left="206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7"/>
              </w:rPr>
              <w:t>项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4"/>
              </w:rPr>
              <w:t>目</w:t>
            </w:r>
          </w:p>
          <w:p w14:paraId="4F4D0D92">
            <w:pPr>
              <w:pStyle w:val="7"/>
              <w:spacing w:before="78" w:line="214" w:lineRule="auto"/>
              <w:ind w:left="206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4"/>
              </w:rPr>
              <w:t>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10"/>
              </w:rPr>
              <w:t>绩</w:t>
            </w:r>
          </w:p>
        </w:tc>
        <w:tc>
          <w:tcPr>
            <w:tcW w:w="723" w:type="dxa"/>
            <w:vAlign w:val="center"/>
          </w:tcPr>
          <w:p w14:paraId="194DE9D2">
            <w:pPr>
              <w:spacing w:before="69" w:line="315" w:lineRule="exact"/>
              <w:ind w:lef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208" w:type="dxa"/>
            <w:vAlign w:val="top"/>
          </w:tcPr>
          <w:p w14:paraId="5AC04A12">
            <w:pPr>
              <w:pStyle w:val="7"/>
              <w:spacing w:before="4" w:line="238" w:lineRule="auto"/>
              <w:ind w:left="109" w:right="103" w:hanging="1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3"/>
                <w:lang w:val="en-US" w:eastAsia="zh-CN"/>
              </w:rPr>
              <w:t>1.会计师事务所：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-3"/>
                <w:lang w:val="en-US" w:eastAsia="zh-CN"/>
              </w:rPr>
              <w:t>近3年（自投标截止日起倒算）具有至少1个清产核资、财务审计、年度审计、专项审计任一项同类项目业绩，得2分；每增加1个同类业绩加2分，本项最高8分；无对应业绩不得分。</w:t>
            </w:r>
          </w:p>
          <w:p w14:paraId="69AD9581">
            <w:pPr>
              <w:pStyle w:val="7"/>
              <w:spacing w:before="4" w:line="238" w:lineRule="auto"/>
              <w:ind w:left="109" w:right="103" w:hanging="1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3"/>
                <w:lang w:val="en-US" w:eastAsia="zh-CN"/>
              </w:rPr>
              <w:t>2.资产评估机构：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-3"/>
                <w:lang w:val="en-US" w:eastAsia="zh-CN"/>
              </w:rPr>
              <w:t>近3年（自投标截止日起倒算）具有至少1个企业资产评估、单项资产评估、资产清查评估任一项同类项目业绩，得2分，每增加1个同类业绩加2分，本项最高6分；无对应业绩不得分。</w:t>
            </w:r>
          </w:p>
          <w:p w14:paraId="57EB419A">
            <w:pPr>
              <w:pStyle w:val="7"/>
              <w:spacing w:before="4" w:line="238" w:lineRule="auto"/>
              <w:ind w:left="109" w:right="103" w:hanging="1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-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3"/>
                <w:lang w:val="en-US" w:eastAsia="zh-CN"/>
              </w:rPr>
              <w:t>3.涉税服务机构：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-3"/>
                <w:lang w:val="en-US" w:eastAsia="zh-CN"/>
              </w:rPr>
              <w:t>近3年（自投标截止日起倒算）具有至少1个企业涉税鉴证、税务咨询、纳税审核、汇算清缴、企业注销税务服务任意一项同类项目业绩，得2分，每增加1个同类业绩加2分，本项最高6分；无对应业绩不得分。</w:t>
            </w:r>
          </w:p>
          <w:p w14:paraId="20B3926D">
            <w:pPr>
              <w:pStyle w:val="7"/>
              <w:spacing w:before="4" w:line="238" w:lineRule="auto"/>
              <w:ind w:left="109" w:right="103" w:hanging="1"/>
              <w:rPr>
                <w:rFonts w:hint="eastAsia" w:ascii="仿宋_GB2312" w:hAnsi="仿宋_GB2312" w:eastAsia="仿宋_GB2312" w:cs="仿宋_GB2312"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3"/>
                <w:lang w:val="en-US" w:eastAsia="zh-CN"/>
              </w:rPr>
              <w:t>4.证明资料：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-3"/>
                <w:lang w:val="en-US" w:eastAsia="zh-CN"/>
              </w:rPr>
              <w:t>提供业绩合同关键页(包括但不限于合同的项目名称、服务内容、服务期限、签订日期、合同双方盖章页、服务团队成员姓名等)，如合同关键页不体现关键信息的，则还需提供服务对象出具的盖章(公章)证明文件，否则，不得分。</w:t>
            </w:r>
          </w:p>
        </w:tc>
        <w:tc>
          <w:tcPr>
            <w:tcW w:w="588" w:type="dxa"/>
            <w:vAlign w:val="top"/>
          </w:tcPr>
          <w:p w14:paraId="3DCB2C58">
            <w:pP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</w:rPr>
            </w:pPr>
          </w:p>
        </w:tc>
      </w:tr>
      <w:tr w14:paraId="69307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1" w:hRule="atLeast"/>
        </w:trPr>
        <w:tc>
          <w:tcPr>
            <w:tcW w:w="452" w:type="dxa"/>
            <w:vMerge w:val="continue"/>
            <w:tcBorders>
              <w:top w:val="nil"/>
            </w:tcBorders>
            <w:textDirection w:val="tbRlV"/>
            <w:vAlign w:val="top"/>
          </w:tcPr>
          <w:p w14:paraId="4CC45B4C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1"/>
              </w:rPr>
            </w:pPr>
          </w:p>
        </w:tc>
        <w:tc>
          <w:tcPr>
            <w:tcW w:w="477" w:type="dxa"/>
            <w:vAlign w:val="top"/>
          </w:tcPr>
          <w:p w14:paraId="38E13C12">
            <w:pPr>
              <w:pStyle w:val="7"/>
              <w:spacing w:before="78" w:line="214" w:lineRule="auto"/>
              <w:ind w:left="206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4"/>
                <w:lang w:eastAsia="zh-CN"/>
              </w:rPr>
            </w:pPr>
          </w:p>
          <w:p w14:paraId="02FB5351">
            <w:pPr>
              <w:pStyle w:val="7"/>
              <w:spacing w:before="78" w:line="214" w:lineRule="auto"/>
              <w:ind w:left="206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4"/>
                <w:lang w:eastAsia="zh-CN"/>
              </w:rPr>
            </w:pPr>
          </w:p>
          <w:p w14:paraId="42F2FCCF">
            <w:pPr>
              <w:pStyle w:val="7"/>
              <w:spacing w:before="78" w:line="214" w:lineRule="auto"/>
              <w:ind w:left="206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4"/>
                <w:lang w:eastAsia="zh-CN"/>
              </w:rPr>
            </w:pPr>
          </w:p>
          <w:p w14:paraId="1634409A">
            <w:pPr>
              <w:pStyle w:val="7"/>
              <w:spacing w:before="78" w:line="214" w:lineRule="auto"/>
              <w:ind w:left="206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4"/>
                <w:lang w:eastAsia="zh-CN"/>
              </w:rPr>
            </w:pPr>
          </w:p>
          <w:p w14:paraId="7309E720">
            <w:pPr>
              <w:pStyle w:val="7"/>
              <w:spacing w:before="78" w:line="214" w:lineRule="auto"/>
              <w:ind w:left="206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4"/>
                <w:lang w:eastAsia="zh-CN"/>
              </w:rPr>
              <w:t>团队配置</w:t>
            </w:r>
          </w:p>
        </w:tc>
        <w:tc>
          <w:tcPr>
            <w:tcW w:w="723" w:type="dxa"/>
            <w:vAlign w:val="center"/>
          </w:tcPr>
          <w:p w14:paraId="5BB92FC5">
            <w:pPr>
              <w:spacing w:before="69" w:line="315" w:lineRule="exact"/>
              <w:ind w:lef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w w:val="97"/>
                <w:position w:val="2"/>
                <w:sz w:val="24"/>
                <w:szCs w:val="24"/>
              </w:rPr>
              <w:t>20</w:t>
            </w:r>
          </w:p>
        </w:tc>
        <w:tc>
          <w:tcPr>
            <w:tcW w:w="8208" w:type="dxa"/>
            <w:vAlign w:val="top"/>
          </w:tcPr>
          <w:p w14:paraId="228B36D9">
            <w:pPr>
              <w:pStyle w:val="7"/>
              <w:spacing w:before="2" w:line="221" w:lineRule="auto"/>
              <w:ind w:left="0" w:right="103" w:firstLine="0"/>
              <w:rPr>
                <w:rFonts w:hint="eastAsia" w:ascii="仿宋_GB2312" w:hAnsi="仿宋_GB2312" w:eastAsia="仿宋_GB2312" w:cs="仿宋_GB2312"/>
                <w:i w:val="0"/>
                <w:i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lang w:val="en-US" w:eastAsia="zh-CN"/>
              </w:rPr>
              <w:t>1.会计师事务所团队：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lang w:val="en-US" w:eastAsia="zh-CN"/>
              </w:rPr>
              <w:t>核心负责人持有注册会计师证书，具备5年及以上清产核资、财务审计经验，得4分；辅助人员不少于2名，分别具备会计相关专业资质和审计相关专业背景，每人得2分；人员资质不达标或数量不足，酌情扣2-8分。</w:t>
            </w:r>
          </w:p>
          <w:p w14:paraId="0641269A">
            <w:pPr>
              <w:pStyle w:val="7"/>
              <w:spacing w:before="2" w:line="221" w:lineRule="auto"/>
              <w:ind w:left="0" w:right="103" w:firstLine="0"/>
              <w:rPr>
                <w:rFonts w:hint="eastAsia" w:ascii="仿宋_GB2312" w:hAnsi="仿宋_GB2312" w:eastAsia="仿宋_GB2312" w:cs="仿宋_GB2312"/>
                <w:i w:val="0"/>
                <w:i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lang w:val="en-US" w:eastAsia="zh-CN"/>
              </w:rPr>
              <w:t>2.资产评估机构团队：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lang w:val="en-US" w:eastAsia="zh-CN"/>
              </w:rPr>
              <w:t>核心负责人持有资产评估师注册证书，具备5年及以上资产评估经验，得4分；辅助人员不少于1名，具备资产评估相关专业背景，得2分；人员资质不达标或数量不足，酌情扣2-6分。</w:t>
            </w:r>
          </w:p>
          <w:p w14:paraId="370C205F">
            <w:pPr>
              <w:pStyle w:val="7"/>
              <w:spacing w:before="2" w:line="221" w:lineRule="auto"/>
              <w:ind w:left="0" w:right="103" w:firstLine="0"/>
              <w:rPr>
                <w:rFonts w:hint="eastAsia" w:ascii="仿宋_GB2312" w:hAnsi="仿宋_GB2312" w:eastAsia="仿宋_GB2312" w:cs="仿宋_GB2312"/>
                <w:i w:val="0"/>
                <w:i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lang w:val="en-US" w:eastAsia="zh-CN"/>
              </w:rPr>
              <w:t>3.涉税服务团队：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lang w:val="en-US" w:eastAsia="zh-CN"/>
              </w:rPr>
              <w:t>核心负责人持有税务师注册证书，具备5年及以上税务服务经验，得4分；辅助人员不少于1名，具备税务相关专业背景或从业资质，得2分；人员资质不达标或数量不足，酌情扣2-6分。</w:t>
            </w:r>
          </w:p>
          <w:p w14:paraId="49C8B262">
            <w:pPr>
              <w:pStyle w:val="7"/>
              <w:spacing w:before="2" w:line="221" w:lineRule="auto"/>
              <w:ind w:left="0" w:right="103" w:firstLine="0"/>
              <w:rPr>
                <w:rFonts w:hint="eastAsia" w:ascii="仿宋_GB2312" w:hAnsi="仿宋_GB2312" w:eastAsia="仿宋_GB2312" w:cs="仿宋_GB2312"/>
                <w:i w:val="0"/>
                <w:i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lang w:val="en-US" w:eastAsia="zh-CN"/>
              </w:rPr>
              <w:t>4.证明资料：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lang w:val="en-US" w:eastAsia="zh-CN"/>
              </w:rPr>
              <w:t>所有职业资格、专业资质、学历证书均须真实有效、在法定有效期内，过期、作废、虚假证件一律不予计分，证书注册执业单位必须与投标对应成员单位完全一致，不一致不计分；从业年限统一以实际执业签署业务文件最早时间为准，仅提供证书发证时间、无实际执业成果材料，不予认可工作年限；</w:t>
            </w:r>
          </w:p>
        </w:tc>
        <w:tc>
          <w:tcPr>
            <w:tcW w:w="588" w:type="dxa"/>
            <w:vAlign w:val="top"/>
          </w:tcPr>
          <w:p w14:paraId="04934A16">
            <w:pP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</w:rPr>
            </w:pPr>
          </w:p>
        </w:tc>
      </w:tr>
      <w:tr w14:paraId="7085B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8" w:hRule="atLeast"/>
        </w:trPr>
        <w:tc>
          <w:tcPr>
            <w:tcW w:w="929" w:type="dxa"/>
            <w:gridSpan w:val="2"/>
            <w:vAlign w:val="center"/>
          </w:tcPr>
          <w:p w14:paraId="48303F02">
            <w:pPr>
              <w:pStyle w:val="7"/>
              <w:spacing w:before="143" w:line="226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5"/>
                <w:lang w:eastAsia="zh-CN"/>
              </w:rPr>
              <w:t>服务方案</w:t>
            </w:r>
          </w:p>
        </w:tc>
        <w:tc>
          <w:tcPr>
            <w:tcW w:w="723" w:type="dxa"/>
            <w:vAlign w:val="center"/>
          </w:tcPr>
          <w:p w14:paraId="4892B34C">
            <w:pPr>
              <w:spacing w:before="69" w:line="315" w:lineRule="exact"/>
              <w:ind w:lef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1"/>
                <w:w w:val="96"/>
                <w:position w:val="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8208" w:type="dxa"/>
            <w:vAlign w:val="top"/>
          </w:tcPr>
          <w:p w14:paraId="067B768B">
            <w:pPr>
              <w:pStyle w:val="7"/>
              <w:spacing w:before="34" w:line="228" w:lineRule="auto"/>
              <w:ind w:left="120" w:right="103" w:hanging="7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spacing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0"/>
                <w:lang w:val="en-US" w:eastAsia="zh-CN"/>
              </w:rPr>
              <w:t>1.整体服务方案：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0"/>
                <w:lang w:val="en-US" w:eastAsia="zh-CN"/>
              </w:rPr>
              <w:t>贴合公司清算注销需求，清产核资、资产评估、财务审计、税务服务流程清晰，分工明确，时间节点合理，可操作性强，得5分；流程不清晰、分工不明确，酌情扣1-5分。</w:t>
            </w:r>
          </w:p>
          <w:p w14:paraId="6107C87E">
            <w:pPr>
              <w:pStyle w:val="7"/>
              <w:spacing w:before="34" w:line="228" w:lineRule="auto"/>
              <w:ind w:left="120" w:right="103" w:hanging="7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spacing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0"/>
                <w:lang w:val="en-US" w:eastAsia="zh-CN"/>
              </w:rPr>
              <w:t>2.清产核资服务方案：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0"/>
                <w:lang w:val="en-US" w:eastAsia="zh-CN"/>
              </w:rPr>
              <w:t>清查范围全面，权属核查、债权债务清理措施具体，整改建议合理，得5分；措施不具体、针对性不强，酌情扣1-5分。</w:t>
            </w:r>
          </w:p>
          <w:p w14:paraId="598031CE">
            <w:pPr>
              <w:pStyle w:val="7"/>
              <w:spacing w:before="34" w:line="228" w:lineRule="auto"/>
              <w:ind w:left="120" w:right="103" w:hanging="7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spacing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0"/>
                <w:lang w:val="en-US" w:eastAsia="zh-CN"/>
              </w:rPr>
              <w:t>3.资产评估服务方案：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0"/>
                <w:lang w:val="en-US" w:eastAsia="zh-CN"/>
              </w:rPr>
              <w:t>评估方法选择合理，评估基准日确定科学，价值测算流程规范，得5分；方法不合理、流程不规范，酌情扣1-5分。</w:t>
            </w:r>
          </w:p>
          <w:p w14:paraId="1F91418B">
            <w:pPr>
              <w:pStyle w:val="7"/>
              <w:spacing w:before="34" w:line="228" w:lineRule="auto"/>
              <w:ind w:left="120" w:right="103" w:hanging="7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spacing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0"/>
                <w:lang w:val="en-US" w:eastAsia="zh-CN"/>
              </w:rPr>
              <w:t>4.财务审计服务方案：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0"/>
                <w:lang w:val="en-US" w:eastAsia="zh-CN"/>
              </w:rPr>
              <w:t>审计重点突出，合规核查措施具体，风险识别到位，得5分；重点不突出、措施不具体，酌情扣1-5分。</w:t>
            </w:r>
          </w:p>
          <w:p w14:paraId="19B7A188">
            <w:pPr>
              <w:pStyle w:val="7"/>
              <w:spacing w:before="34" w:line="228" w:lineRule="auto"/>
              <w:ind w:left="120" w:right="103" w:hanging="7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0"/>
                <w:lang w:val="en-US" w:eastAsia="zh-CN"/>
              </w:rPr>
              <w:t>5.税务服务方案：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0"/>
                <w:lang w:val="en-US" w:eastAsia="zh-CN"/>
              </w:rPr>
              <w:t>贴合清算注销场景，明确税务核查、税款清缴、清税注销备案等流程，措施具体，符合税务监管要求，得5分；流程不清晰、措施不到位，酌情扣1-5分。</w:t>
            </w:r>
          </w:p>
        </w:tc>
        <w:tc>
          <w:tcPr>
            <w:tcW w:w="588" w:type="dxa"/>
            <w:vAlign w:val="top"/>
          </w:tcPr>
          <w:p w14:paraId="4F2AD0B0">
            <w:pP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</w:rPr>
            </w:pPr>
          </w:p>
        </w:tc>
      </w:tr>
      <w:tr w14:paraId="5DEBF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9" w:type="dxa"/>
            <w:gridSpan w:val="2"/>
            <w:vAlign w:val="top"/>
          </w:tcPr>
          <w:p w14:paraId="19130873">
            <w:pPr>
              <w:pStyle w:val="7"/>
              <w:spacing w:before="143" w:line="226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5"/>
                <w:lang w:eastAsia="zh-CN"/>
              </w:rPr>
              <w:t>服务便利性</w:t>
            </w:r>
          </w:p>
        </w:tc>
        <w:tc>
          <w:tcPr>
            <w:tcW w:w="723" w:type="dxa"/>
            <w:vAlign w:val="center"/>
          </w:tcPr>
          <w:p w14:paraId="66D6707C">
            <w:pPr>
              <w:spacing w:before="69" w:line="185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1"/>
                <w:w w:val="96"/>
                <w:positio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8208" w:type="dxa"/>
            <w:vAlign w:val="top"/>
          </w:tcPr>
          <w:p w14:paraId="685FA8B1">
            <w:pPr>
              <w:pStyle w:val="7"/>
              <w:spacing w:before="38" w:line="239" w:lineRule="auto"/>
              <w:ind w:left="116" w:right="105" w:firstLine="3"/>
              <w:rPr>
                <w:rFonts w:hint="eastAsia" w:ascii="仿宋_GB2312" w:hAnsi="仿宋_GB2312" w:eastAsia="仿宋_GB2312" w:cs="仿宋_GB2312"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1"/>
              </w:rPr>
              <w:t>1.评分规则：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"/>
                <w:lang w:eastAsia="zh-CN"/>
              </w:rPr>
              <w:t>（所有联合体成员）均有服务点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"/>
              </w:rPr>
              <w:t>在深圳市的，得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1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"/>
              </w:rPr>
              <w:t>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"/>
                <w:lang w:eastAsia="zh-CN"/>
              </w:rPr>
              <w:t>有联合体成员服务点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</w:rPr>
              <w:t>在深圳市以外地区的得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2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</w:rPr>
              <w:t>分。</w:t>
            </w:r>
          </w:p>
          <w:p w14:paraId="41AA37BE">
            <w:pPr>
              <w:pStyle w:val="7"/>
              <w:spacing w:before="0" w:line="201" w:lineRule="auto"/>
              <w:ind w:left="110" w:right="0" w:firstLine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1"/>
              </w:rPr>
              <w:t>2.提供证明文件：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1"/>
                <w:lang w:eastAsia="zh-CN"/>
              </w:rPr>
              <w:t>办公场所照片等能体现具体位置的证明资料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"/>
              </w:rPr>
              <w:t>。</w:t>
            </w:r>
          </w:p>
        </w:tc>
        <w:tc>
          <w:tcPr>
            <w:tcW w:w="588" w:type="dxa"/>
            <w:vAlign w:val="top"/>
          </w:tcPr>
          <w:p w14:paraId="21ADC1BE">
            <w:pP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</w:rPr>
            </w:pPr>
          </w:p>
        </w:tc>
      </w:tr>
      <w:tr w14:paraId="54D57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929" w:type="dxa"/>
            <w:gridSpan w:val="2"/>
            <w:vAlign w:val="top"/>
          </w:tcPr>
          <w:p w14:paraId="0E2D1D9E">
            <w:pPr>
              <w:pStyle w:val="7"/>
              <w:spacing w:before="164" w:line="216" w:lineRule="auto"/>
              <w:ind w:left="446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7"/>
              </w:rPr>
              <w:t>合计</w:t>
            </w:r>
          </w:p>
        </w:tc>
        <w:tc>
          <w:tcPr>
            <w:tcW w:w="723" w:type="dxa"/>
            <w:vAlign w:val="center"/>
          </w:tcPr>
          <w:p w14:paraId="4ECA36D4">
            <w:pPr>
              <w:spacing w:before="128" w:line="315" w:lineRule="exact"/>
              <w:ind w:lef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3"/>
                <w:w w:val="94"/>
                <w:position w:val="2"/>
                <w:sz w:val="24"/>
                <w:szCs w:val="24"/>
              </w:rPr>
              <w:t>100</w:t>
            </w:r>
          </w:p>
        </w:tc>
        <w:tc>
          <w:tcPr>
            <w:tcW w:w="8208" w:type="dxa"/>
            <w:vAlign w:val="top"/>
          </w:tcPr>
          <w:p w14:paraId="6D35C959">
            <w:pP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</w:rPr>
            </w:pPr>
          </w:p>
        </w:tc>
        <w:tc>
          <w:tcPr>
            <w:tcW w:w="588" w:type="dxa"/>
            <w:vAlign w:val="top"/>
          </w:tcPr>
          <w:p w14:paraId="3F8CEE8A">
            <w:pP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</w:rPr>
            </w:pPr>
          </w:p>
        </w:tc>
      </w:tr>
    </w:tbl>
    <w:p w14:paraId="2F154B93">
      <w:pPr>
        <w:spacing w:before="78" w:line="216" w:lineRule="auto"/>
        <w:ind w:left="400"/>
        <w:rPr>
          <w:rFonts w:hint="eastAsia" w:ascii="仿宋_GB2312" w:hAnsi="仿宋_GB2312" w:eastAsia="仿宋_GB2312" w:cs="仿宋_GB2312"/>
          <w:i w:val="0"/>
          <w:i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spacing w:val="-2"/>
          <w:sz w:val="24"/>
          <w:szCs w:val="24"/>
        </w:rPr>
        <w:t>评审人员（签字</w:t>
      </w:r>
      <w:r>
        <w:rPr>
          <w:rFonts w:hint="eastAsia" w:ascii="仿宋_GB2312" w:hAnsi="仿宋_GB2312" w:eastAsia="仿宋_GB2312" w:cs="仿宋_GB2312"/>
          <w:i w:val="0"/>
          <w:iCs w:val="0"/>
          <w:spacing w:val="-66"/>
          <w:sz w:val="24"/>
          <w:szCs w:val="24"/>
        </w:rPr>
        <w:t>）：</w:t>
      </w:r>
    </w:p>
    <w:sectPr>
      <w:pgSz w:w="11905" w:h="16839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Mono">
    <w:panose1 w:val="020F0409020205020404"/>
    <w:charset w:val="86"/>
    <w:family w:val="auto"/>
    <w:pitch w:val="default"/>
    <w:sig w:usb0="E4002EFF" w:usb1="C2007FFF" w:usb2="00209028" w:usb3="00100000" w:csb0="600001FF" w:csb1="FFFF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B3EB659"/>
    <w:rsid w:val="1DDDEB3D"/>
    <w:rsid w:val="2B5C2DF3"/>
    <w:rsid w:val="37FFABEC"/>
    <w:rsid w:val="3BDD64A3"/>
    <w:rsid w:val="3E5FFAA0"/>
    <w:rsid w:val="3E7FBAB9"/>
    <w:rsid w:val="3EDF9D34"/>
    <w:rsid w:val="3F3DF174"/>
    <w:rsid w:val="3F761EEF"/>
    <w:rsid w:val="40CA0794"/>
    <w:rsid w:val="4B9DA24B"/>
    <w:rsid w:val="4E79B0D8"/>
    <w:rsid w:val="4EFD94F7"/>
    <w:rsid w:val="56BF8DD1"/>
    <w:rsid w:val="5BFE6534"/>
    <w:rsid w:val="5D9B33F7"/>
    <w:rsid w:val="5EB608A4"/>
    <w:rsid w:val="61FF44B1"/>
    <w:rsid w:val="666B3FB1"/>
    <w:rsid w:val="6B7B7BDF"/>
    <w:rsid w:val="6DFFC36D"/>
    <w:rsid w:val="6E8B96DF"/>
    <w:rsid w:val="6E8EA5D1"/>
    <w:rsid w:val="6EB74F98"/>
    <w:rsid w:val="6ECB368D"/>
    <w:rsid w:val="6FFF8731"/>
    <w:rsid w:val="6FFFB649"/>
    <w:rsid w:val="717FD4E6"/>
    <w:rsid w:val="75CE6ACF"/>
    <w:rsid w:val="76CE23B4"/>
    <w:rsid w:val="77631F7A"/>
    <w:rsid w:val="776A9FDA"/>
    <w:rsid w:val="779F1EBD"/>
    <w:rsid w:val="77EFA8E3"/>
    <w:rsid w:val="7AEFE296"/>
    <w:rsid w:val="7D7C2F11"/>
    <w:rsid w:val="7DD39226"/>
    <w:rsid w:val="7DEEF74B"/>
    <w:rsid w:val="7DFFC549"/>
    <w:rsid w:val="7E7F453A"/>
    <w:rsid w:val="7F3D2E8F"/>
    <w:rsid w:val="7F7FE6FA"/>
    <w:rsid w:val="7F7FF1CD"/>
    <w:rsid w:val="7FEF1866"/>
    <w:rsid w:val="9BB2AE31"/>
    <w:rsid w:val="9CFF4DF2"/>
    <w:rsid w:val="9FEF08B8"/>
    <w:rsid w:val="9FFA9DC2"/>
    <w:rsid w:val="A7FFE99F"/>
    <w:rsid w:val="ABFF10DC"/>
    <w:rsid w:val="B8FDAC10"/>
    <w:rsid w:val="BCCDA25F"/>
    <w:rsid w:val="BEFF780F"/>
    <w:rsid w:val="C77FFB95"/>
    <w:rsid w:val="CDEFE264"/>
    <w:rsid w:val="CEFF3F31"/>
    <w:rsid w:val="D6BFA7FC"/>
    <w:rsid w:val="DDAFEF9F"/>
    <w:rsid w:val="DDBFDCAE"/>
    <w:rsid w:val="DDDF5624"/>
    <w:rsid w:val="DDF7D9FD"/>
    <w:rsid w:val="DF179352"/>
    <w:rsid w:val="DF3E3CEB"/>
    <w:rsid w:val="DFB38B92"/>
    <w:rsid w:val="DFFD43EF"/>
    <w:rsid w:val="E2F90676"/>
    <w:rsid w:val="E7FE902E"/>
    <w:rsid w:val="EAF92F0E"/>
    <w:rsid w:val="ED2FEAC0"/>
    <w:rsid w:val="EF7C19F5"/>
    <w:rsid w:val="EFFBFD46"/>
    <w:rsid w:val="EFFDD2A5"/>
    <w:rsid w:val="F4FD9DB0"/>
    <w:rsid w:val="F5595F73"/>
    <w:rsid w:val="F5EF6CC2"/>
    <w:rsid w:val="F6679371"/>
    <w:rsid w:val="F67F741D"/>
    <w:rsid w:val="FA358656"/>
    <w:rsid w:val="FB171490"/>
    <w:rsid w:val="FBAE0A76"/>
    <w:rsid w:val="FBBDB6A3"/>
    <w:rsid w:val="FBFE9158"/>
    <w:rsid w:val="FD3B59BE"/>
    <w:rsid w:val="FD7E15AC"/>
    <w:rsid w:val="FDBD3444"/>
    <w:rsid w:val="FDE7B6DC"/>
    <w:rsid w:val="FDF7E4DD"/>
    <w:rsid w:val="FF7F807F"/>
    <w:rsid w:val="FFB38DA7"/>
    <w:rsid w:val="FFCBB810"/>
    <w:rsid w:val="FFFA3B17"/>
    <w:rsid w:val="FFFE5B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FreeMono" w:hAnsi="FreeMono" w:eastAsia="FreeMono" w:cs="FreeMono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12</TotalTime>
  <ScaleCrop>false</ScaleCrop>
  <LinksUpToDate>false</LinksUpToDate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2024-10-17T09:21:00Z</dcterms:created>
  <dc:creator>张冬妮</dc:creator>
  <cp:lastModifiedBy>易云枝</cp:lastModifiedBy>
  <cp:lastPrinted>2026-05-16T17:09:00Z</cp:lastPrinted>
  <dcterms:modified xsi:type="dcterms:W3CDTF">2026-05-20T17:20:34Z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2026-02-02T15:56:40Z</vt:filetime>
  </property>
  <property fmtid="{D5CDD505-2E9C-101B-9397-08002B2CF9AE}" pid="4" name="KSOProductBuildVer">
    <vt:lpwstr>2052-12.8.2.21176</vt:lpwstr>
  </property>
  <property fmtid="{D5CDD505-2E9C-101B-9397-08002B2CF9AE}" pid="5" name="ICV">
    <vt:lpwstr>829261194D3E885EC62B0C6A58E0725C_43</vt:lpwstr>
  </property>
</Properties>
</file>