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71E99">
      <w:pPr>
        <w:keepNext w:val="0"/>
        <w:keepLines w:val="0"/>
        <w:pageBreakBefore w:val="0"/>
        <w:kinsoku/>
        <w:wordWrap/>
        <w:overflowPunct/>
        <w:topLinePunct w:val="0"/>
        <w:bidi w:val="0"/>
        <w:spacing w:line="440" w:lineRule="exact"/>
        <w:jc w:val="right"/>
        <w:textAlignment w:val="auto"/>
        <w:rPr>
          <w:rFonts w:ascii="宋体" w:hAnsi="宋体" w:eastAsia="宋体" w:cs="宋体"/>
          <w:b/>
          <w:bCs/>
          <w:color w:val="auto"/>
          <w:highlight w:val="none"/>
        </w:rPr>
      </w:pPr>
      <w:bookmarkStart w:id="0" w:name="bookmark0"/>
      <w:bookmarkStart w:id="1" w:name="bookmark2"/>
      <w:bookmarkStart w:id="2" w:name="bookmark1"/>
      <w:r>
        <w:rPr>
          <w:rFonts w:hint="eastAsia" w:ascii="仿宋" w:hAnsi="仿宋" w:eastAsia="仿宋" w:cs="仿宋"/>
          <w:b/>
          <w:bCs/>
          <w:color w:val="auto"/>
          <w:highlight w:val="none"/>
        </w:rPr>
        <w:t>合同编号：</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号</w:t>
      </w:r>
    </w:p>
    <w:p w14:paraId="62C14CA2">
      <w:pPr>
        <w:keepNext w:val="0"/>
        <w:keepLines w:val="0"/>
        <w:pageBreakBefore w:val="0"/>
        <w:widowControl/>
        <w:kinsoku/>
        <w:wordWrap/>
        <w:overflowPunct/>
        <w:topLinePunct w:val="0"/>
        <w:bidi w:val="0"/>
        <w:snapToGrid w:val="0"/>
        <w:spacing w:line="440" w:lineRule="exact"/>
        <w:jc w:val="center"/>
        <w:textAlignment w:val="auto"/>
        <w:outlineLvl w:val="0"/>
        <w:rPr>
          <w:rFonts w:ascii="仿宋" w:hAnsi="仿宋" w:eastAsia="仿宋" w:cs="仿宋"/>
          <w:b/>
          <w:bCs/>
          <w:color w:val="auto"/>
          <w:kern w:val="36"/>
          <w:sz w:val="44"/>
          <w:szCs w:val="44"/>
          <w:highlight w:val="none"/>
        </w:rPr>
      </w:pPr>
      <w:bookmarkStart w:id="3" w:name="Sixfuhexing9"/>
      <w:bookmarkEnd w:id="3"/>
    </w:p>
    <w:p w14:paraId="7042EFE0">
      <w:pPr>
        <w:keepNext w:val="0"/>
        <w:keepLines w:val="0"/>
        <w:pageBreakBefore w:val="0"/>
        <w:widowControl/>
        <w:kinsoku/>
        <w:wordWrap/>
        <w:overflowPunct/>
        <w:topLinePunct w:val="0"/>
        <w:bidi w:val="0"/>
        <w:snapToGrid w:val="0"/>
        <w:spacing w:line="440" w:lineRule="exact"/>
        <w:jc w:val="center"/>
        <w:textAlignment w:val="auto"/>
        <w:outlineLvl w:val="0"/>
        <w:rPr>
          <w:rFonts w:ascii="仿宋" w:hAnsi="仿宋" w:eastAsia="仿宋" w:cs="仿宋"/>
          <w:b/>
          <w:bCs/>
          <w:color w:val="auto"/>
          <w:kern w:val="36"/>
          <w:sz w:val="44"/>
          <w:szCs w:val="44"/>
          <w:highlight w:val="none"/>
        </w:rPr>
      </w:pPr>
    </w:p>
    <w:p w14:paraId="297BD9FF">
      <w:pPr>
        <w:pStyle w:val="10"/>
        <w:keepNext w:val="0"/>
        <w:keepLines w:val="0"/>
        <w:pageBreakBefore w:val="0"/>
        <w:kinsoku/>
        <w:wordWrap/>
        <w:overflowPunct/>
        <w:topLinePunct w:val="0"/>
        <w:bidi w:val="0"/>
        <w:spacing w:line="440" w:lineRule="exact"/>
        <w:textAlignment w:val="auto"/>
        <w:rPr>
          <w:color w:val="auto"/>
          <w:highlight w:val="none"/>
        </w:rPr>
      </w:pPr>
    </w:p>
    <w:p w14:paraId="7709CCCC">
      <w:pPr>
        <w:pStyle w:val="10"/>
        <w:keepNext w:val="0"/>
        <w:keepLines w:val="0"/>
        <w:pageBreakBefore w:val="0"/>
        <w:kinsoku/>
        <w:wordWrap/>
        <w:overflowPunct/>
        <w:topLinePunct w:val="0"/>
        <w:bidi w:val="0"/>
        <w:spacing w:line="440" w:lineRule="exact"/>
        <w:textAlignment w:val="auto"/>
        <w:rPr>
          <w:rFonts w:ascii="仿宋" w:hAnsi="仿宋" w:eastAsia="仿宋" w:cs="仿宋"/>
          <w:b/>
          <w:bCs/>
          <w:color w:val="auto"/>
          <w:kern w:val="36"/>
          <w:sz w:val="44"/>
          <w:szCs w:val="44"/>
          <w:highlight w:val="none"/>
        </w:rPr>
      </w:pPr>
    </w:p>
    <w:p w14:paraId="3A61B96C">
      <w:pPr>
        <w:keepNext w:val="0"/>
        <w:keepLines w:val="0"/>
        <w:pageBreakBefore w:val="0"/>
        <w:kinsoku/>
        <w:wordWrap/>
        <w:overflowPunct/>
        <w:topLinePunct w:val="0"/>
        <w:bidi w:val="0"/>
        <w:spacing w:line="440" w:lineRule="exact"/>
        <w:textAlignment w:val="auto"/>
        <w:rPr>
          <w:rFonts w:ascii="仿宋" w:hAnsi="仿宋" w:eastAsia="仿宋" w:cs="仿宋"/>
          <w:b/>
          <w:bCs/>
          <w:color w:val="auto"/>
          <w:kern w:val="36"/>
          <w:sz w:val="44"/>
          <w:szCs w:val="44"/>
          <w:highlight w:val="none"/>
        </w:rPr>
      </w:pPr>
    </w:p>
    <w:p w14:paraId="27E611B1">
      <w:pPr>
        <w:pStyle w:val="10"/>
        <w:keepNext w:val="0"/>
        <w:keepLines w:val="0"/>
        <w:pageBreakBefore w:val="0"/>
        <w:kinsoku/>
        <w:wordWrap/>
        <w:overflowPunct/>
        <w:topLinePunct w:val="0"/>
        <w:bidi w:val="0"/>
        <w:spacing w:line="440" w:lineRule="exact"/>
        <w:textAlignment w:val="auto"/>
        <w:rPr>
          <w:color w:val="auto"/>
          <w:highlight w:val="none"/>
        </w:rPr>
      </w:pPr>
    </w:p>
    <w:p w14:paraId="25D9F348">
      <w:pPr>
        <w:pStyle w:val="10"/>
        <w:keepNext w:val="0"/>
        <w:keepLines w:val="0"/>
        <w:pageBreakBefore w:val="0"/>
        <w:kinsoku/>
        <w:wordWrap/>
        <w:overflowPunct/>
        <w:topLinePunct w:val="0"/>
        <w:bidi w:val="0"/>
        <w:spacing w:line="440" w:lineRule="exact"/>
        <w:textAlignment w:val="auto"/>
        <w:rPr>
          <w:rFonts w:ascii="仿宋" w:hAnsi="仿宋" w:eastAsia="仿宋" w:cs="仿宋"/>
          <w:b/>
          <w:bCs/>
          <w:color w:val="auto"/>
          <w:kern w:val="36"/>
          <w:sz w:val="44"/>
          <w:szCs w:val="44"/>
          <w:highlight w:val="none"/>
        </w:rPr>
      </w:pPr>
      <w:bookmarkStart w:id="6" w:name="_GoBack"/>
      <w:bookmarkEnd w:id="6"/>
    </w:p>
    <w:p w14:paraId="1A04EBED">
      <w:pPr>
        <w:keepNext w:val="0"/>
        <w:keepLines w:val="0"/>
        <w:pageBreakBefore w:val="0"/>
        <w:kinsoku/>
        <w:wordWrap/>
        <w:overflowPunct/>
        <w:topLinePunct w:val="0"/>
        <w:bidi w:val="0"/>
        <w:spacing w:line="440" w:lineRule="exact"/>
        <w:textAlignment w:val="auto"/>
        <w:rPr>
          <w:color w:val="auto"/>
          <w:highlight w:val="none"/>
        </w:rPr>
      </w:pPr>
    </w:p>
    <w:p w14:paraId="3A1D3C7A">
      <w:pPr>
        <w:keepNext w:val="0"/>
        <w:keepLines w:val="0"/>
        <w:pageBreakBefore w:val="0"/>
        <w:widowControl/>
        <w:kinsoku/>
        <w:wordWrap/>
        <w:overflowPunct/>
        <w:topLinePunct w:val="0"/>
        <w:bidi w:val="0"/>
        <w:snapToGrid w:val="0"/>
        <w:spacing w:line="440" w:lineRule="exact"/>
        <w:jc w:val="center"/>
        <w:textAlignment w:val="auto"/>
        <w:outlineLvl w:val="0"/>
        <w:rPr>
          <w:rFonts w:ascii="仿宋" w:hAnsi="仿宋" w:eastAsia="仿宋" w:cs="仿宋"/>
          <w:b/>
          <w:bCs/>
          <w:color w:val="auto"/>
          <w:kern w:val="36"/>
          <w:sz w:val="44"/>
          <w:szCs w:val="44"/>
          <w:highlight w:val="none"/>
        </w:rPr>
      </w:pPr>
      <w:r>
        <w:rPr>
          <w:rFonts w:hint="eastAsia" w:ascii="仿宋" w:hAnsi="仿宋" w:eastAsia="仿宋" w:cs="仿宋"/>
          <w:b/>
          <w:bCs/>
          <w:color w:val="auto"/>
          <w:kern w:val="36"/>
          <w:sz w:val="44"/>
          <w:szCs w:val="44"/>
          <w:highlight w:val="none"/>
        </w:rPr>
        <w:t>日常清洁服务（含生活垃圾清运）合同</w:t>
      </w:r>
    </w:p>
    <w:p w14:paraId="40A2315B">
      <w:pPr>
        <w:keepNext w:val="0"/>
        <w:keepLines w:val="0"/>
        <w:pageBreakBefore w:val="0"/>
        <w:widowControl/>
        <w:kinsoku/>
        <w:wordWrap/>
        <w:overflowPunct/>
        <w:topLinePunct w:val="0"/>
        <w:bidi w:val="0"/>
        <w:spacing w:line="440" w:lineRule="exact"/>
        <w:ind w:firstLine="420"/>
        <w:jc w:val="center"/>
        <w:textAlignment w:val="auto"/>
        <w:rPr>
          <w:rFonts w:ascii="宋体" w:hAnsi="宋体" w:eastAsia="宋体" w:cs="宋体"/>
          <w:b/>
          <w:color w:val="auto"/>
          <w:sz w:val="44"/>
          <w:szCs w:val="44"/>
          <w:highlight w:val="none"/>
        </w:rPr>
      </w:pPr>
    </w:p>
    <w:p w14:paraId="52CBCBC7">
      <w:pPr>
        <w:keepNext w:val="0"/>
        <w:keepLines w:val="0"/>
        <w:pageBreakBefore w:val="0"/>
        <w:widowControl/>
        <w:kinsoku/>
        <w:wordWrap/>
        <w:overflowPunct/>
        <w:topLinePunct w:val="0"/>
        <w:bidi w:val="0"/>
        <w:spacing w:line="440" w:lineRule="exact"/>
        <w:ind w:firstLine="420"/>
        <w:jc w:val="center"/>
        <w:textAlignment w:val="auto"/>
        <w:rPr>
          <w:rFonts w:ascii="宋体" w:hAnsi="宋体" w:eastAsia="宋体" w:cs="宋体"/>
          <w:b/>
          <w:bCs/>
          <w:color w:val="auto"/>
          <w:kern w:val="0"/>
          <w:sz w:val="28"/>
          <w:szCs w:val="28"/>
          <w:highlight w:val="none"/>
        </w:rPr>
      </w:pPr>
      <w:bookmarkStart w:id="4" w:name="_Toc260327127"/>
      <w:bookmarkEnd w:id="4"/>
      <w:bookmarkStart w:id="5" w:name="_Toc319652752"/>
      <w:bookmarkEnd w:id="5"/>
    </w:p>
    <w:p w14:paraId="20C49A70">
      <w:pPr>
        <w:keepNext w:val="0"/>
        <w:keepLines w:val="0"/>
        <w:pageBreakBefore w:val="0"/>
        <w:widowControl/>
        <w:kinsoku/>
        <w:wordWrap/>
        <w:overflowPunct/>
        <w:topLinePunct w:val="0"/>
        <w:bidi w:val="0"/>
        <w:spacing w:line="440" w:lineRule="exact"/>
        <w:textAlignment w:val="auto"/>
        <w:rPr>
          <w:rFonts w:ascii="宋体" w:hAnsi="宋体" w:eastAsia="宋体" w:cs="宋体"/>
          <w:b/>
          <w:bCs/>
          <w:color w:val="auto"/>
          <w:kern w:val="0"/>
          <w:sz w:val="28"/>
          <w:szCs w:val="28"/>
          <w:highlight w:val="none"/>
          <w:u w:val="single"/>
        </w:rPr>
      </w:pPr>
    </w:p>
    <w:p w14:paraId="459D6CF7">
      <w:pPr>
        <w:keepNext w:val="0"/>
        <w:keepLines w:val="0"/>
        <w:pageBreakBefore w:val="0"/>
        <w:widowControl/>
        <w:kinsoku/>
        <w:wordWrap/>
        <w:overflowPunct/>
        <w:topLinePunct w:val="0"/>
        <w:bidi w:val="0"/>
        <w:adjustRightInd w:val="0"/>
        <w:snapToGrid w:val="0"/>
        <w:spacing w:line="440" w:lineRule="exact"/>
        <w:ind w:firstLine="1124" w:firstLineChars="400"/>
        <w:textAlignment w:val="auto"/>
        <w:rPr>
          <w:rFonts w:hint="default" w:ascii="仿宋" w:hAnsi="仿宋" w:eastAsia="仿宋" w:cs="仿宋"/>
          <w:b/>
          <w:bCs/>
          <w:color w:val="auto"/>
          <w:kern w:val="0"/>
          <w:sz w:val="28"/>
          <w:szCs w:val="28"/>
          <w:highlight w:val="none"/>
          <w:u w:val="single"/>
          <w:lang w:val="en-US"/>
        </w:rPr>
      </w:pPr>
      <w:r>
        <w:rPr>
          <w:rFonts w:hint="eastAsia" w:ascii="仿宋" w:hAnsi="仿宋" w:eastAsia="仿宋" w:cs="仿宋"/>
          <w:b/>
          <w:bCs/>
          <w:color w:val="auto"/>
          <w:kern w:val="0"/>
          <w:sz w:val="28"/>
          <w:szCs w:val="28"/>
          <w:highlight w:val="none"/>
        </w:rPr>
        <w:t>甲方（采购方）：</w:t>
      </w:r>
      <w:r>
        <w:rPr>
          <w:rFonts w:hint="eastAsia" w:ascii="仿宋" w:hAnsi="仿宋" w:eastAsia="仿宋" w:cs="仿宋"/>
          <w:b/>
          <w:bCs/>
          <w:kern w:val="0"/>
          <w:sz w:val="28"/>
          <w:szCs w:val="28"/>
          <w:highlight w:val="none"/>
          <w:u w:val="single"/>
          <w:lang w:val="en-US" w:eastAsia="zh-CN"/>
        </w:rPr>
        <w:t>深圳市龙岗区湾东物业服务有限公司</w:t>
      </w:r>
    </w:p>
    <w:p w14:paraId="3CF605DC">
      <w:pPr>
        <w:pStyle w:val="10"/>
        <w:keepNext w:val="0"/>
        <w:keepLines w:val="0"/>
        <w:pageBreakBefore w:val="0"/>
        <w:kinsoku/>
        <w:wordWrap/>
        <w:overflowPunct/>
        <w:topLinePunct w:val="0"/>
        <w:bidi w:val="0"/>
        <w:spacing w:line="440" w:lineRule="exact"/>
        <w:textAlignment w:val="auto"/>
        <w:rPr>
          <w:color w:val="auto"/>
          <w:highlight w:val="none"/>
        </w:rPr>
      </w:pPr>
    </w:p>
    <w:p w14:paraId="035A357E">
      <w:pPr>
        <w:keepNext w:val="0"/>
        <w:keepLines w:val="0"/>
        <w:pageBreakBefore w:val="0"/>
        <w:widowControl/>
        <w:kinsoku/>
        <w:wordWrap/>
        <w:overflowPunct/>
        <w:topLinePunct w:val="0"/>
        <w:bidi w:val="0"/>
        <w:adjustRightInd w:val="0"/>
        <w:snapToGrid w:val="0"/>
        <w:spacing w:line="440" w:lineRule="exact"/>
        <w:ind w:firstLine="1124" w:firstLineChars="400"/>
        <w:textAlignment w:val="auto"/>
        <w:rPr>
          <w:rFonts w:hint="default" w:ascii="仿宋" w:hAnsi="仿宋" w:eastAsia="仿宋" w:cs="仿宋"/>
          <w:b/>
          <w:bCs/>
          <w:color w:val="auto"/>
          <w:kern w:val="0"/>
          <w:sz w:val="28"/>
          <w:szCs w:val="28"/>
          <w:highlight w:val="none"/>
          <w:u w:val="single"/>
          <w:lang w:val="en-US"/>
        </w:rPr>
      </w:pPr>
      <w:r>
        <w:rPr>
          <w:rFonts w:hint="eastAsia" w:ascii="仿宋" w:hAnsi="仿宋" w:eastAsia="仿宋" w:cs="仿宋"/>
          <w:b/>
          <w:bCs/>
          <w:color w:val="auto"/>
          <w:kern w:val="0"/>
          <w:sz w:val="28"/>
          <w:szCs w:val="28"/>
          <w:highlight w:val="none"/>
        </w:rPr>
        <w:t>乙方（服务方）：</w:t>
      </w:r>
      <w:r>
        <w:rPr>
          <w:rFonts w:hint="eastAsia" w:ascii="仿宋" w:hAnsi="仿宋" w:eastAsia="仿宋" w:cs="仿宋"/>
          <w:b/>
          <w:bCs/>
          <w:color w:val="auto"/>
          <w:kern w:val="0"/>
          <w:sz w:val="28"/>
          <w:szCs w:val="28"/>
          <w:highlight w:val="none"/>
          <w:u w:val="single"/>
          <w:lang w:val="en-US" w:eastAsia="zh-CN"/>
        </w:rPr>
        <w:t xml:space="preserve">                               </w:t>
      </w:r>
    </w:p>
    <w:p w14:paraId="45F65838">
      <w:pPr>
        <w:pStyle w:val="11"/>
        <w:keepNext w:val="0"/>
        <w:keepLines w:val="0"/>
        <w:pageBreakBefore w:val="0"/>
        <w:kinsoku/>
        <w:wordWrap/>
        <w:overflowPunct/>
        <w:topLinePunct w:val="0"/>
        <w:bidi w:val="0"/>
        <w:spacing w:line="440" w:lineRule="exact"/>
        <w:ind w:firstLine="1124"/>
        <w:textAlignment w:val="auto"/>
        <w:rPr>
          <w:rFonts w:ascii="仿宋" w:hAnsi="仿宋" w:eastAsia="仿宋" w:cs="仿宋"/>
          <w:color w:val="auto"/>
          <w:sz w:val="28"/>
          <w:szCs w:val="28"/>
          <w:highlight w:val="none"/>
        </w:rPr>
      </w:pPr>
    </w:p>
    <w:p w14:paraId="1E56C2DF">
      <w:pPr>
        <w:keepNext w:val="0"/>
        <w:keepLines w:val="0"/>
        <w:pageBreakBefore w:val="0"/>
        <w:kinsoku/>
        <w:wordWrap/>
        <w:overflowPunct/>
        <w:topLinePunct w:val="0"/>
        <w:bidi w:val="0"/>
        <w:adjustRightInd w:val="0"/>
        <w:snapToGrid w:val="0"/>
        <w:spacing w:line="440" w:lineRule="exact"/>
        <w:textAlignment w:val="auto"/>
        <w:rPr>
          <w:rFonts w:ascii="仿宋" w:hAnsi="仿宋" w:eastAsia="仿宋" w:cs="仿宋"/>
          <w:color w:val="auto"/>
          <w:sz w:val="28"/>
          <w:szCs w:val="28"/>
          <w:highlight w:val="none"/>
        </w:rPr>
      </w:pPr>
    </w:p>
    <w:p w14:paraId="0D652661">
      <w:pPr>
        <w:pStyle w:val="5"/>
        <w:keepNext w:val="0"/>
        <w:keepLines w:val="0"/>
        <w:pageBreakBefore w:val="0"/>
        <w:kinsoku/>
        <w:wordWrap/>
        <w:overflowPunct/>
        <w:topLinePunct w:val="0"/>
        <w:bidi w:val="0"/>
        <w:spacing w:line="440" w:lineRule="exact"/>
        <w:textAlignment w:val="auto"/>
        <w:rPr>
          <w:rFonts w:ascii="仿宋" w:hAnsi="仿宋" w:eastAsia="仿宋" w:cs="仿宋"/>
          <w:color w:val="auto"/>
          <w:sz w:val="28"/>
          <w:szCs w:val="28"/>
          <w:highlight w:val="none"/>
        </w:rPr>
      </w:pPr>
    </w:p>
    <w:p w14:paraId="5599E65C">
      <w:pPr>
        <w:keepNext w:val="0"/>
        <w:keepLines w:val="0"/>
        <w:pageBreakBefore w:val="0"/>
        <w:kinsoku/>
        <w:wordWrap/>
        <w:overflowPunct/>
        <w:topLinePunct w:val="0"/>
        <w:bidi w:val="0"/>
        <w:spacing w:line="440" w:lineRule="exact"/>
        <w:textAlignment w:val="auto"/>
        <w:rPr>
          <w:rFonts w:ascii="仿宋" w:hAnsi="仿宋" w:eastAsia="仿宋" w:cs="仿宋"/>
          <w:color w:val="auto"/>
          <w:sz w:val="28"/>
          <w:szCs w:val="28"/>
          <w:highlight w:val="none"/>
        </w:rPr>
      </w:pPr>
    </w:p>
    <w:p w14:paraId="54CB1C50">
      <w:pPr>
        <w:pStyle w:val="5"/>
        <w:keepNext w:val="0"/>
        <w:keepLines w:val="0"/>
        <w:pageBreakBefore w:val="0"/>
        <w:kinsoku/>
        <w:wordWrap/>
        <w:overflowPunct/>
        <w:topLinePunct w:val="0"/>
        <w:bidi w:val="0"/>
        <w:spacing w:line="440" w:lineRule="exact"/>
        <w:textAlignment w:val="auto"/>
        <w:rPr>
          <w:rFonts w:ascii="仿宋" w:hAnsi="仿宋" w:eastAsia="仿宋" w:cs="仿宋"/>
          <w:color w:val="auto"/>
          <w:sz w:val="28"/>
          <w:szCs w:val="28"/>
          <w:highlight w:val="none"/>
        </w:rPr>
      </w:pPr>
    </w:p>
    <w:p w14:paraId="1E487EE2">
      <w:pPr>
        <w:keepNext w:val="0"/>
        <w:keepLines w:val="0"/>
        <w:pageBreakBefore w:val="0"/>
        <w:kinsoku/>
        <w:wordWrap/>
        <w:overflowPunct/>
        <w:topLinePunct w:val="0"/>
        <w:bidi w:val="0"/>
        <w:spacing w:line="440" w:lineRule="exact"/>
        <w:textAlignment w:val="auto"/>
        <w:rPr>
          <w:rFonts w:ascii="仿宋" w:hAnsi="仿宋" w:eastAsia="仿宋" w:cs="仿宋"/>
          <w:color w:val="auto"/>
          <w:sz w:val="28"/>
          <w:szCs w:val="28"/>
          <w:highlight w:val="none"/>
        </w:rPr>
      </w:pPr>
    </w:p>
    <w:p w14:paraId="2E53B057">
      <w:pPr>
        <w:pStyle w:val="5"/>
        <w:keepNext w:val="0"/>
        <w:keepLines w:val="0"/>
        <w:pageBreakBefore w:val="0"/>
        <w:kinsoku/>
        <w:wordWrap/>
        <w:overflowPunct/>
        <w:topLinePunct w:val="0"/>
        <w:bidi w:val="0"/>
        <w:spacing w:line="440" w:lineRule="exact"/>
        <w:textAlignment w:val="auto"/>
      </w:pPr>
    </w:p>
    <w:p w14:paraId="2F94A5F8">
      <w:pPr>
        <w:keepNext w:val="0"/>
        <w:keepLines w:val="0"/>
        <w:pageBreakBefore w:val="0"/>
        <w:widowControl/>
        <w:kinsoku/>
        <w:wordWrap/>
        <w:overflowPunct/>
        <w:topLinePunct w:val="0"/>
        <w:bidi w:val="0"/>
        <w:adjustRightInd w:val="0"/>
        <w:snapToGrid w:val="0"/>
        <w:spacing w:line="440" w:lineRule="exact"/>
        <w:jc w:val="center"/>
        <w:textAlignment w:val="auto"/>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签订日期：</w:t>
      </w:r>
      <w:r>
        <w:rPr>
          <w:rFonts w:hint="eastAsia" w:ascii="仿宋" w:hAnsi="仿宋" w:eastAsia="仿宋" w:cs="仿宋"/>
          <w:b/>
          <w:bCs/>
          <w:color w:val="auto"/>
          <w:kern w:val="0"/>
          <w:sz w:val="28"/>
          <w:szCs w:val="28"/>
          <w:highlight w:val="none"/>
          <w:lang w:val="en-US" w:eastAsia="zh-CN"/>
        </w:rPr>
        <w:t>2026</w:t>
      </w:r>
      <w:r>
        <w:rPr>
          <w:rFonts w:hint="eastAsia" w:ascii="仿宋" w:hAnsi="仿宋" w:eastAsia="仿宋" w:cs="仿宋"/>
          <w:b/>
          <w:bCs/>
          <w:color w:val="auto"/>
          <w:kern w:val="0"/>
          <w:sz w:val="28"/>
          <w:szCs w:val="28"/>
          <w:highlight w:val="none"/>
        </w:rPr>
        <w:t>年   月   日</w:t>
      </w:r>
    </w:p>
    <w:bookmarkEnd w:id="0"/>
    <w:bookmarkEnd w:id="1"/>
    <w:bookmarkEnd w:id="2"/>
    <w:p w14:paraId="5D84E95D">
      <w:pPr>
        <w:pStyle w:val="10"/>
        <w:keepNext w:val="0"/>
        <w:keepLines w:val="0"/>
        <w:pageBreakBefore w:val="0"/>
        <w:kinsoku/>
        <w:wordWrap/>
        <w:overflowPunct/>
        <w:topLinePunct w:val="0"/>
        <w:bidi w:val="0"/>
        <w:spacing w:line="440" w:lineRule="exact"/>
        <w:textAlignment w:val="auto"/>
        <w:rPr>
          <w:rFonts w:ascii="宋体" w:hAnsi="宋体" w:cs="宋体"/>
          <w:b/>
          <w:color w:val="auto"/>
          <w:sz w:val="32"/>
          <w:szCs w:val="32"/>
          <w:highlight w:val="none"/>
        </w:rPr>
      </w:pPr>
    </w:p>
    <w:p w14:paraId="337F7CBD">
      <w:pPr>
        <w:keepNext w:val="0"/>
        <w:keepLines w:val="0"/>
        <w:pageBreakBefore w:val="0"/>
        <w:kinsoku/>
        <w:wordWrap/>
        <w:overflowPunct/>
        <w:topLinePunct w:val="0"/>
        <w:bidi w:val="0"/>
        <w:spacing w:line="440" w:lineRule="exact"/>
        <w:textAlignment w:val="auto"/>
        <w:rPr>
          <w:color w:val="auto"/>
          <w:highlight w:val="none"/>
        </w:rPr>
        <w:sectPr>
          <w:pgSz w:w="11906" w:h="16838"/>
          <w:pgMar w:top="1213" w:right="1576" w:bottom="1213" w:left="1576" w:header="851" w:footer="992" w:gutter="0"/>
          <w:cols w:space="425" w:num="1"/>
          <w:docGrid w:type="lines" w:linePitch="312" w:charSpace="0"/>
        </w:sectPr>
      </w:pPr>
    </w:p>
    <w:p w14:paraId="729B6DE0">
      <w:pPr>
        <w:keepNext w:val="0"/>
        <w:keepLines w:val="0"/>
        <w:pageBreakBefore w:val="0"/>
        <w:tabs>
          <w:tab w:val="left" w:pos="2580"/>
          <w:tab w:val="center" w:pos="4153"/>
        </w:tabs>
        <w:kinsoku/>
        <w:wordWrap/>
        <w:overflowPunct/>
        <w:topLinePunct w:val="0"/>
        <w:bidi w:val="0"/>
        <w:snapToGrid w:val="0"/>
        <w:spacing w:line="440" w:lineRule="exact"/>
        <w:jc w:val="center"/>
        <w:textAlignment w:val="auto"/>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日常清洁服务（含生活垃圾清运）合同</w:t>
      </w:r>
    </w:p>
    <w:p w14:paraId="57E78529">
      <w:pPr>
        <w:keepNext w:val="0"/>
        <w:keepLines w:val="0"/>
        <w:pageBreakBefore w:val="0"/>
        <w:kinsoku/>
        <w:wordWrap/>
        <w:overflowPunct/>
        <w:topLinePunct w:val="0"/>
        <w:bidi w:val="0"/>
        <w:spacing w:line="440" w:lineRule="exact"/>
        <w:textAlignment w:val="auto"/>
        <w:rPr>
          <w:rFonts w:ascii="仿宋" w:hAnsi="仿宋" w:eastAsia="仿宋" w:cs="仿宋"/>
          <w:color w:val="auto"/>
          <w:sz w:val="24"/>
          <w:highlight w:val="none"/>
        </w:rPr>
      </w:pPr>
    </w:p>
    <w:p w14:paraId="0E986877">
      <w:pPr>
        <w:keepNext w:val="0"/>
        <w:keepLines w:val="0"/>
        <w:pageBreakBefore w:val="0"/>
        <w:kinsoku/>
        <w:wordWrap/>
        <w:overflowPunct/>
        <w:topLinePunct w:val="0"/>
        <w:bidi w:val="0"/>
        <w:adjustRightInd w:val="0"/>
        <w:snapToGrid w:val="0"/>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甲方（采购方）：深圳市湾东物业服务有限公司</w:t>
      </w:r>
    </w:p>
    <w:p w14:paraId="72B8AFC3">
      <w:pPr>
        <w:keepNext w:val="0"/>
        <w:keepLines w:val="0"/>
        <w:pageBreakBefore w:val="0"/>
        <w:kinsoku/>
        <w:wordWrap/>
        <w:overflowPunct/>
        <w:topLinePunct w:val="0"/>
        <w:bidi w:val="0"/>
        <w:adjustRightInd w:val="0"/>
        <w:snapToGrid w:val="0"/>
        <w:spacing w:line="440" w:lineRule="exact"/>
        <w:textAlignment w:val="auto"/>
        <w:rPr>
          <w:rFonts w:hint="eastAsia" w:ascii="仿宋" w:hAnsi="仿宋" w:eastAsia="仿宋" w:cs="仿宋"/>
          <w:b/>
          <w:bCs/>
          <w:color w:val="auto"/>
          <w:sz w:val="24"/>
          <w:highlight w:val="yellow"/>
        </w:rPr>
      </w:pPr>
      <w:r>
        <w:rPr>
          <w:rFonts w:hint="eastAsia" w:ascii="仿宋" w:hAnsi="仿宋" w:eastAsia="仿宋" w:cs="仿宋"/>
          <w:b/>
          <w:bCs/>
          <w:color w:val="auto"/>
          <w:sz w:val="24"/>
          <w:highlight w:val="none"/>
        </w:rPr>
        <w:t>统一社会信用代码：91440300094213911K</w:t>
      </w:r>
    </w:p>
    <w:p w14:paraId="6F63D038">
      <w:pPr>
        <w:keepNext w:val="0"/>
        <w:keepLines w:val="0"/>
        <w:pageBreakBefore w:val="0"/>
        <w:kinsoku/>
        <w:wordWrap/>
        <w:overflowPunct/>
        <w:topLinePunct w:val="0"/>
        <w:bidi w:val="0"/>
        <w:adjustRightInd w:val="0"/>
        <w:snapToGrid w:val="0"/>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地址：深圳市龙岗区龙城街道黄阁坑社区龙飞大道669号天吴华庭D4、D5、D6、C6栋服务大厅二楼</w:t>
      </w:r>
    </w:p>
    <w:p w14:paraId="5B357EDC">
      <w:pPr>
        <w:keepNext w:val="0"/>
        <w:keepLines w:val="0"/>
        <w:pageBreakBefore w:val="0"/>
        <w:kinsoku/>
        <w:wordWrap/>
        <w:overflowPunct/>
        <w:topLinePunct w:val="0"/>
        <w:bidi w:val="0"/>
        <w:adjustRightInd w:val="0"/>
        <w:snapToGrid w:val="0"/>
        <w:spacing w:line="440" w:lineRule="exact"/>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法定代表人：</w:t>
      </w:r>
      <w:r>
        <w:rPr>
          <w:rFonts w:hint="eastAsia" w:ascii="仿宋" w:hAnsi="仿宋" w:eastAsia="仿宋" w:cs="仿宋"/>
          <w:b/>
          <w:bCs/>
          <w:color w:val="auto"/>
          <w:sz w:val="24"/>
          <w:highlight w:val="none"/>
          <w:lang w:val="en-US" w:eastAsia="zh-CN"/>
        </w:rPr>
        <w:t>胡俊翔</w:t>
      </w:r>
    </w:p>
    <w:p w14:paraId="0C77ADDB">
      <w:pPr>
        <w:keepNext w:val="0"/>
        <w:keepLines w:val="0"/>
        <w:pageBreakBefore w:val="0"/>
        <w:kinsoku/>
        <w:wordWrap/>
        <w:overflowPunct/>
        <w:topLinePunct w:val="0"/>
        <w:bidi w:val="0"/>
        <w:adjustRightInd w:val="0"/>
        <w:snapToGrid w:val="0"/>
        <w:spacing w:line="440" w:lineRule="exact"/>
        <w:textAlignment w:val="auto"/>
        <w:rPr>
          <w:rFonts w:ascii="仿宋" w:hAnsi="仿宋" w:eastAsia="仿宋" w:cs="仿宋"/>
          <w:b/>
          <w:bCs/>
          <w:color w:val="auto"/>
          <w:sz w:val="24"/>
          <w:highlight w:val="none"/>
        </w:rPr>
      </w:pPr>
    </w:p>
    <w:p w14:paraId="3EF256DA">
      <w:pPr>
        <w:keepNext w:val="0"/>
        <w:keepLines w:val="0"/>
        <w:pageBreakBefore w:val="0"/>
        <w:kinsoku/>
        <w:wordWrap/>
        <w:overflowPunct/>
        <w:topLinePunct w:val="0"/>
        <w:bidi w:val="0"/>
        <w:adjustRightInd w:val="0"/>
        <w:snapToGrid w:val="0"/>
        <w:spacing w:line="440" w:lineRule="exact"/>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乙方（服务方）：</w:t>
      </w:r>
      <w:r>
        <w:rPr>
          <w:rFonts w:hint="eastAsia" w:ascii="仿宋" w:hAnsi="仿宋" w:eastAsia="仿宋" w:cs="仿宋"/>
          <w:b/>
          <w:bCs/>
          <w:color w:val="auto"/>
          <w:sz w:val="24"/>
          <w:highlight w:val="none"/>
          <w:u w:val="single"/>
          <w:lang w:val="en-US" w:eastAsia="zh-CN"/>
        </w:rPr>
        <w:t xml:space="preserve">                            </w:t>
      </w:r>
    </w:p>
    <w:p w14:paraId="3236EAAB">
      <w:pPr>
        <w:keepNext w:val="0"/>
        <w:keepLines w:val="0"/>
        <w:pageBreakBefore w:val="0"/>
        <w:kinsoku/>
        <w:wordWrap/>
        <w:overflowPunct/>
        <w:topLinePunct w:val="0"/>
        <w:bidi w:val="0"/>
        <w:adjustRightInd w:val="0"/>
        <w:snapToGrid w:val="0"/>
        <w:spacing w:line="44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统一社会信用代码：</w:t>
      </w:r>
      <w:r>
        <w:rPr>
          <w:rFonts w:hint="eastAsia" w:ascii="仿宋" w:hAnsi="仿宋" w:eastAsia="仿宋" w:cs="仿宋"/>
          <w:b/>
          <w:bCs/>
          <w:color w:val="auto"/>
          <w:sz w:val="24"/>
          <w:highlight w:val="none"/>
          <w:u w:val="single"/>
          <w:lang w:val="en-US" w:eastAsia="zh-CN"/>
        </w:rPr>
        <w:t xml:space="preserve">                            </w:t>
      </w:r>
    </w:p>
    <w:p w14:paraId="6B78033B">
      <w:pPr>
        <w:keepNext w:val="0"/>
        <w:keepLines w:val="0"/>
        <w:pageBreakBefore w:val="0"/>
        <w:kinsoku/>
        <w:wordWrap/>
        <w:overflowPunct/>
        <w:topLinePunct w:val="0"/>
        <w:bidi w:val="0"/>
        <w:adjustRightInd w:val="0"/>
        <w:snapToGrid w:val="0"/>
        <w:spacing w:line="44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地址：</w:t>
      </w:r>
      <w:r>
        <w:rPr>
          <w:rFonts w:hint="eastAsia" w:ascii="仿宋" w:hAnsi="仿宋" w:eastAsia="仿宋" w:cs="仿宋"/>
          <w:b/>
          <w:bCs/>
          <w:color w:val="auto"/>
          <w:sz w:val="24"/>
          <w:highlight w:val="none"/>
          <w:u w:val="single"/>
          <w:lang w:val="en-US" w:eastAsia="zh-CN"/>
        </w:rPr>
        <w:t xml:space="preserve">                            </w:t>
      </w:r>
    </w:p>
    <w:p w14:paraId="32EA4096">
      <w:pPr>
        <w:keepNext w:val="0"/>
        <w:keepLines w:val="0"/>
        <w:pageBreakBefore w:val="0"/>
        <w:kinsoku/>
        <w:wordWrap/>
        <w:overflowPunct/>
        <w:topLinePunct w:val="0"/>
        <w:bidi w:val="0"/>
        <w:adjustRightInd w:val="0"/>
        <w:snapToGrid w:val="0"/>
        <w:spacing w:line="440" w:lineRule="exact"/>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法定代表人：</w:t>
      </w:r>
      <w:r>
        <w:rPr>
          <w:rFonts w:hint="eastAsia" w:ascii="仿宋" w:hAnsi="仿宋" w:eastAsia="仿宋" w:cs="仿宋"/>
          <w:b/>
          <w:bCs/>
          <w:color w:val="auto"/>
          <w:sz w:val="24"/>
          <w:highlight w:val="none"/>
          <w:u w:val="single"/>
          <w:lang w:val="en-US" w:eastAsia="zh-CN"/>
        </w:rPr>
        <w:t xml:space="preserve">           </w:t>
      </w:r>
    </w:p>
    <w:p w14:paraId="272722B1">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根据《中华人民共和国民法典》及其他相关法律法规的规定，就乙方承包甲方管理的位于</w:t>
      </w:r>
      <w:r>
        <w:rPr>
          <w:rFonts w:hint="eastAsia" w:ascii="仿宋" w:hAnsi="仿宋" w:eastAsia="仿宋" w:cs="仿宋"/>
          <w:color w:val="auto"/>
          <w:sz w:val="24"/>
          <w:highlight w:val="none"/>
          <w:u w:val="single"/>
        </w:rPr>
        <w:t xml:space="preserve"> 深圳市龙岗区高科大道12号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创维创客天地科技城一栋A座（总建筑面积37814.66㎡）</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项目的清洁服务等相关事宜，经甲乙双方友好协商，签订本合同，以供双方共同遵守。</w:t>
      </w:r>
    </w:p>
    <w:p w14:paraId="57574A4B">
      <w:pPr>
        <w:keepNext w:val="0"/>
        <w:keepLines w:val="0"/>
        <w:pageBreakBefore w:val="0"/>
        <w:kinsoku/>
        <w:wordWrap/>
        <w:overflowPunct/>
        <w:topLinePunct w:val="0"/>
        <w:bidi w:val="0"/>
        <w:adjustRightInd w:val="0"/>
        <w:snapToGrid w:val="0"/>
        <w:spacing w:line="44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第一条  项目概况</w:t>
      </w:r>
    </w:p>
    <w:p w14:paraId="0EE465AF">
      <w:pPr>
        <w:keepNext w:val="0"/>
        <w:keepLines w:val="0"/>
        <w:pageBreakBefore w:val="0"/>
        <w:kinsoku/>
        <w:wordWrap/>
        <w:overflowPunct/>
        <w:topLinePunct w:val="0"/>
        <w:bidi w:val="0"/>
        <w:adjustRightInd/>
        <w:snapToGrid/>
        <w:spacing w:line="440" w:lineRule="exact"/>
        <w:ind w:firstLine="482" w:firstLineChars="200"/>
        <w:textAlignment w:val="auto"/>
        <w:rPr>
          <w:rFonts w:hint="eastAsia" w:ascii="宋体" w:hAnsi="宋体" w:cs="宋体" w:eastAsiaTheme="minorEastAsia"/>
          <w:b/>
          <w:bCs/>
          <w:color w:val="auto"/>
          <w:sz w:val="24"/>
          <w:highlight w:val="none"/>
          <w:lang w:eastAsia="zh-CN"/>
        </w:rPr>
      </w:pPr>
      <w:r>
        <w:rPr>
          <w:rFonts w:hint="eastAsia" w:ascii="宋体" w:hAnsi="宋体" w:cs="宋体" w:eastAsiaTheme="minorEastAsia"/>
          <w:b/>
          <w:bCs/>
          <w:color w:val="auto"/>
          <w:sz w:val="24"/>
          <w:highlight w:val="none"/>
          <w:lang w:val="en-US" w:eastAsia="zh-CN"/>
        </w:rPr>
        <w:t>1.1</w:t>
      </w:r>
      <w:r>
        <w:rPr>
          <w:rFonts w:hint="eastAsia" w:ascii="宋体" w:hAnsi="宋体" w:cs="宋体" w:eastAsiaTheme="minorEastAsia"/>
          <w:b/>
          <w:bCs/>
          <w:color w:val="auto"/>
          <w:sz w:val="24"/>
          <w:highlight w:val="none"/>
        </w:rPr>
        <w:t>清洁服务范围</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包括但不限于以下范围</w:t>
      </w:r>
      <w:r>
        <w:rPr>
          <w:rFonts w:hint="eastAsia" w:ascii="宋体" w:hAnsi="宋体" w:cs="宋体"/>
          <w:b/>
          <w:bCs/>
          <w:color w:val="auto"/>
          <w:sz w:val="24"/>
          <w:highlight w:val="none"/>
          <w:lang w:eastAsia="zh-CN"/>
        </w:rPr>
        <w:t>）</w:t>
      </w:r>
    </w:p>
    <w:p w14:paraId="0201CE1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1.1.1本项目楼宇内所有公共场地（楼内、楼外等）、公共区域（含低位墙面、玻璃、公共设施、公共通道走廊及门窗、消防楼梯、楼梯扶手等）以及公共设施的清洁保洁、洗手间简单疏通（不含化粪池、隔油池清理、复杂的下水道疏通，保持其通畅、无溢出，依据项目实际情况安排）。</w:t>
      </w:r>
    </w:p>
    <w:p w14:paraId="671BBFD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1.1.2楼内公共部分的清洁保洁（含天面）。</w:t>
      </w:r>
    </w:p>
    <w:p w14:paraId="592BB7F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1.1.3楼内公用部分（会议室、活动室、信报箱等）以及公共厕所的清洁保洁。</w:t>
      </w:r>
    </w:p>
    <w:p w14:paraId="2AA13352">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1.1.4物业管理处办公室的清洁保洁。</w:t>
      </w:r>
    </w:p>
    <w:p w14:paraId="3CB6859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1.1.5楼宇外围绿化带及草坪中果皮、纸屑、塑料、落叶等各种垃圾的清洁保洁（不含绿化养护修剪时产生的绿化垃圾）。</w:t>
      </w:r>
    </w:p>
    <w:p w14:paraId="2B481F7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1.1.6垃圾清理收集工作（不包括每天外运垃圾），依据项目实际情况安排。</w:t>
      </w:r>
    </w:p>
    <w:p w14:paraId="6FAEFD87">
      <w:pPr>
        <w:keepNext w:val="0"/>
        <w:keepLines w:val="0"/>
        <w:pageBreakBefore w:val="0"/>
        <w:kinsoku/>
        <w:wordWrap/>
        <w:overflowPunct/>
        <w:topLinePunct w:val="0"/>
        <w:bidi w:val="0"/>
        <w:spacing w:line="440" w:lineRule="exact"/>
        <w:ind w:firstLine="482" w:firstLineChars="200"/>
        <w:textAlignment w:val="auto"/>
        <w:rPr>
          <w:rFonts w:ascii="仿宋" w:hAnsi="仿宋" w:eastAsia="仿宋" w:cs="仿宋"/>
          <w:color w:val="auto"/>
          <w:sz w:val="24"/>
          <w:highlight w:val="none"/>
        </w:rPr>
      </w:pPr>
      <w:r>
        <w:rPr>
          <w:rFonts w:hint="eastAsia" w:ascii="宋体" w:hAnsi="宋体" w:cs="宋体"/>
          <w:b/>
          <w:bCs/>
          <w:color w:val="auto"/>
          <w:sz w:val="24"/>
          <w:highlight w:val="none"/>
          <w:lang w:val="en-US" w:eastAsia="zh-CN"/>
        </w:rPr>
        <w:t>1.2生活垃圾清运服务需求</w:t>
      </w:r>
    </w:p>
    <w:p w14:paraId="0DEF930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1.2.1生活垃圾清运服务，负责</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创维创客天地科技城一栋A座</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lang w:val="en-US" w:eastAsia="zh-CN"/>
        </w:rPr>
        <w:t>项目的生活垃圾清运工作。由服务商自行提供人员为项目提供服务，主要包含垃圾转运、垃圾存放、确保清运地点及周边环境整洁干净。</w:t>
      </w:r>
    </w:p>
    <w:p w14:paraId="2CDB8FE5">
      <w:pPr>
        <w:keepNext w:val="0"/>
        <w:keepLines w:val="0"/>
        <w:pageBreakBefore w:val="0"/>
        <w:kinsoku/>
        <w:wordWrap/>
        <w:overflowPunct/>
        <w:topLinePunct w:val="0"/>
        <w:bidi w:val="0"/>
        <w:adjustRightInd/>
        <w:snapToGrid/>
        <w:spacing w:line="440" w:lineRule="exact"/>
        <w:ind w:firstLine="482" w:firstLineChars="200"/>
        <w:textAlignment w:val="auto"/>
        <w:rPr>
          <w:rFonts w:hint="eastAsia" w:ascii="宋体" w:hAnsi="宋体" w:cs="宋体" w:eastAsiaTheme="minorEastAsia"/>
          <w:b/>
          <w:bCs/>
          <w:color w:val="auto"/>
          <w:sz w:val="24"/>
          <w:highlight w:val="none"/>
        </w:rPr>
      </w:pPr>
      <w:r>
        <w:rPr>
          <w:rFonts w:hint="eastAsia" w:ascii="宋体" w:hAnsi="宋体" w:cs="宋体" w:eastAsiaTheme="minorEastAsia"/>
          <w:b/>
          <w:bCs/>
          <w:color w:val="auto"/>
          <w:sz w:val="24"/>
          <w:highlight w:val="none"/>
          <w:lang w:val="en-US" w:eastAsia="zh-CN"/>
        </w:rPr>
        <w:t>2.1</w:t>
      </w:r>
      <w:r>
        <w:rPr>
          <w:rFonts w:hint="eastAsia" w:ascii="宋体" w:hAnsi="宋体" w:cs="宋体" w:eastAsiaTheme="minorEastAsia"/>
          <w:b/>
          <w:bCs/>
          <w:color w:val="auto"/>
          <w:sz w:val="24"/>
          <w:highlight w:val="none"/>
        </w:rPr>
        <w:t>承包方法</w:t>
      </w:r>
    </w:p>
    <w:p w14:paraId="44EF3CD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采用由乙方全包干，</w:t>
      </w:r>
      <w:r>
        <w:rPr>
          <w:rFonts w:hint="eastAsia" w:ascii="仿宋" w:hAnsi="仿宋" w:eastAsia="仿宋" w:cs="仿宋"/>
          <w:color w:val="auto"/>
          <w:sz w:val="24"/>
          <w:highlight w:val="none"/>
          <w:lang w:val="en-US" w:eastAsia="zh-CN"/>
        </w:rPr>
        <w:t>清洁服务费用</w:t>
      </w:r>
      <w:r>
        <w:rPr>
          <w:rFonts w:hint="eastAsia" w:ascii="仿宋" w:hAnsi="仿宋" w:eastAsia="仿宋" w:cs="仿宋"/>
          <w:color w:val="auto"/>
          <w:sz w:val="24"/>
          <w:highlight w:val="none"/>
        </w:rPr>
        <w:t>包括但不限于本项目所有人工费、管理费用、保险费、福利补贴、培训费、服装费、清洁设施工具、清洁材料、各种税费及合同实施过程中应预见和不可预见费用等全部费用（不含垃圾桶、垃圾清运标识），确保现场清洁质量，甲方现场只提供垃圾车。</w:t>
      </w:r>
      <w:r>
        <w:rPr>
          <w:rFonts w:hint="eastAsia" w:ascii="仿宋" w:hAnsi="仿宋" w:eastAsia="仿宋" w:cs="仿宋"/>
          <w:color w:val="auto"/>
          <w:sz w:val="24"/>
          <w:highlight w:val="none"/>
          <w:lang w:val="en-US" w:eastAsia="zh-CN"/>
        </w:rPr>
        <w:t>生活垃圾清运服务包括但不限于人工、垃圾桶、清运工具及设备、清运质量、安全及风险的全承包方式、税金、管理费、安全生产等全包方式。</w:t>
      </w:r>
    </w:p>
    <w:p w14:paraId="40621E37">
      <w:pPr>
        <w:keepNext w:val="0"/>
        <w:keepLines w:val="0"/>
        <w:pageBreakBefore w:val="0"/>
        <w:kinsoku/>
        <w:wordWrap/>
        <w:overflowPunct/>
        <w:topLinePunct w:val="0"/>
        <w:bidi w:val="0"/>
        <w:adjustRightInd w:val="0"/>
        <w:snapToGrid w:val="0"/>
        <w:spacing w:line="44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第二条  合同期限</w:t>
      </w:r>
    </w:p>
    <w:p w14:paraId="4F853530">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本合同期限为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个月，自</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日止。</w:t>
      </w:r>
    </w:p>
    <w:p w14:paraId="43DE64C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对于合同最终履约评价优秀的服务供应商可实行合同续期奖励，可续期不超过24个月，续期最多不超过2次，续期合同实质性内容不得改变。但无论履约评价结果如何，甲方均有权不予续约。</w:t>
      </w:r>
    </w:p>
    <w:p w14:paraId="65B563F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供应商在合同期满后，应无条件配合采购人及新的中标供应商，做好服务项目的无缝交接。所有交接手续（含人员培训交接、证件变更手续等）均应在招标人与新中标供应商签订合同之日起10个工作日内全部办理完毕。</w:t>
      </w:r>
    </w:p>
    <w:p w14:paraId="46758DAA">
      <w:pPr>
        <w:keepNext w:val="0"/>
        <w:keepLines w:val="0"/>
        <w:pageBreakBefore w:val="0"/>
        <w:kinsoku/>
        <w:wordWrap/>
        <w:overflowPunct/>
        <w:topLinePunct w:val="0"/>
        <w:bidi w:val="0"/>
        <w:adjustRightInd w:val="0"/>
        <w:snapToGrid w:val="0"/>
        <w:spacing w:line="44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第三条  服务费及支付方式</w:t>
      </w:r>
    </w:p>
    <w:p w14:paraId="7BDBB336">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（一）费用支付</w:t>
      </w:r>
    </w:p>
    <w:p w14:paraId="3DAB772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费用内容如下：</w:t>
      </w:r>
    </w:p>
    <w:p w14:paraId="0E5DD2E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本合同含税金额：人民币（小写）￥:        元/年（大写：      ）</w:t>
      </w:r>
    </w:p>
    <w:p w14:paraId="73004DF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公区日常保洁：</w:t>
      </w:r>
    </w:p>
    <w:p w14:paraId="28A0D0F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创维创客天地科技城一栋A座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项目每日应到岗清洁人员</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8</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人</w:t>
      </w:r>
      <w:r>
        <w:rPr>
          <w:rFonts w:hint="eastAsia" w:ascii="仿宋" w:hAnsi="仿宋" w:eastAsia="仿宋" w:cs="仿宋"/>
          <w:bCs/>
          <w:color w:val="auto"/>
          <w:sz w:val="24"/>
          <w:highlight w:val="none"/>
          <w:lang w:eastAsia="zh-CN"/>
        </w:rPr>
        <w:t>。</w:t>
      </w:r>
    </w:p>
    <w:p w14:paraId="1B45615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综合服务费用单价（含税）为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元/人，服务费为：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元/月（大写：</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w:t>
      </w:r>
      <w:r>
        <w:rPr>
          <w:rFonts w:hint="eastAsia" w:ascii="仿宋" w:hAnsi="仿宋" w:eastAsia="仿宋" w:cs="仿宋"/>
          <w:bCs/>
          <w:color w:val="auto"/>
          <w:sz w:val="24"/>
          <w:highlight w:val="none"/>
          <w:lang w:val="en-US" w:eastAsia="zh-CN"/>
        </w:rPr>
        <w:t>年</w:t>
      </w: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w:t>
      </w:r>
    </w:p>
    <w:p w14:paraId="3AA79072">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（2）生活垃圾清运</w:t>
      </w:r>
      <w:r>
        <w:rPr>
          <w:rFonts w:hint="eastAsia" w:ascii="仿宋" w:hAnsi="仿宋" w:eastAsia="仿宋" w:cs="仿宋"/>
          <w:bCs/>
          <w:color w:val="auto"/>
          <w:sz w:val="24"/>
          <w:highlight w:val="none"/>
          <w:lang w:val="en-US" w:eastAsia="zh-CN"/>
        </w:rPr>
        <w:t>：</w:t>
      </w:r>
    </w:p>
    <w:p w14:paraId="235CB74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创维创客天地科技城一栋A座</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项目生活垃圾</w:t>
      </w:r>
      <w:r>
        <w:rPr>
          <w:rFonts w:hint="eastAsia" w:ascii="仿宋" w:hAnsi="仿宋" w:eastAsia="仿宋" w:cs="仿宋"/>
          <w:bCs/>
          <w:color w:val="auto"/>
          <w:sz w:val="24"/>
          <w:highlight w:val="none"/>
          <w:lang w:val="en-US" w:eastAsia="zh-CN"/>
        </w:rPr>
        <w:t>清运需求为2桶/月。</w:t>
      </w:r>
    </w:p>
    <w:p w14:paraId="3FC233E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服务费为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lang w:val="en-US" w:eastAsia="zh-CN"/>
        </w:rPr>
        <w:t>元/桶·月，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元/月</w:t>
      </w:r>
      <w:r>
        <w:rPr>
          <w:rFonts w:hint="eastAsia" w:ascii="仿宋" w:hAnsi="仿宋" w:eastAsia="仿宋" w:cs="仿宋"/>
          <w:bCs/>
          <w:color w:val="auto"/>
          <w:sz w:val="24"/>
          <w:highlight w:val="none"/>
          <w:lang w:val="en-US" w:eastAsia="zh-CN"/>
        </w:rPr>
        <w:t>（大写：</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元/</w:t>
      </w:r>
      <w:r>
        <w:rPr>
          <w:rFonts w:hint="eastAsia" w:ascii="仿宋" w:hAnsi="仿宋" w:eastAsia="仿宋" w:cs="仿宋"/>
          <w:bCs/>
          <w:color w:val="auto"/>
          <w:sz w:val="24"/>
          <w:highlight w:val="none"/>
          <w:lang w:val="en-US" w:eastAsia="zh-CN"/>
        </w:rPr>
        <w:t>年（大写：</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lang w:val="en-US" w:eastAsia="zh-CN"/>
        </w:rPr>
        <w:t>）</w:t>
      </w:r>
    </w:p>
    <w:p w14:paraId="5AFB9794">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以上价格包括人工工资及社保福利、器械、耗材、易损件及折旧、工装、工具、技术、管理、利润、税金等包干费用。</w:t>
      </w:r>
    </w:p>
    <w:p w14:paraId="73B615C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合同期限内，甲方如需增加清洁人员人数、清洁服务区域面积、清洁服务项目等，乙方承诺配合并经双方根据现场实际情况，另行协商确定增加相关费用；以上保洁费用为包干费用，含节假日加班和值班等一切应尽费用。</w:t>
      </w:r>
    </w:p>
    <w:p w14:paraId="2EB638DE">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甲方以乙方每月实际清运数量结算费用，乙方须每月向甲方提交上月清运数量表，未经甲方确认的甲方不予结算；若乙方实际清运的垃圾数量超出上述约定标准的，甲方应按如下标准向乙方支付费用：超过部分垃圾</w:t>
      </w:r>
      <w:r>
        <w:rPr>
          <w:rFonts w:hint="eastAsia" w:ascii="仿宋" w:hAnsi="仿宋" w:eastAsia="仿宋" w:cs="仿宋"/>
          <w:bCs/>
          <w:color w:val="auto"/>
          <w:sz w:val="24"/>
          <w:highlight w:val="none"/>
          <w:lang w:val="en-US" w:eastAsia="zh-CN"/>
        </w:rPr>
        <w:t>按本合同单价结算</w:t>
      </w:r>
      <w:r>
        <w:rPr>
          <w:rFonts w:hint="eastAsia" w:ascii="仿宋" w:hAnsi="仿宋" w:eastAsia="仿宋" w:cs="仿宋"/>
          <w:bCs/>
          <w:color w:val="auto"/>
          <w:sz w:val="24"/>
          <w:highlight w:val="none"/>
        </w:rPr>
        <w:t>，超过半桶不足一桶时，按一桶计算；不足半桶的，按半桶计算。</w:t>
      </w:r>
    </w:p>
    <w:p w14:paraId="366FA07F">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）此金额为月结算金额上限，最终按月度实际到岗人数、服务质量考核核算清洁服务费用。</w:t>
      </w:r>
    </w:p>
    <w:p w14:paraId="2121D6AD">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）每日应到岗人数为标准要求人数，合同履行期间甲方有权视运行效果调整人数。</w:t>
      </w:r>
    </w:p>
    <w:p w14:paraId="4F719D20">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2.每次付款前，乙方向甲方提供相应合法有效的</w:t>
      </w:r>
      <w:r>
        <w:rPr>
          <w:rFonts w:hint="eastAsia" w:ascii="仿宋" w:hAnsi="仿宋" w:eastAsia="仿宋"/>
          <w:color w:val="auto"/>
          <w:sz w:val="24"/>
          <w:highlight w:val="none"/>
        </w:rPr>
        <w:t>增值税</w:t>
      </w:r>
      <w:r>
        <w:rPr>
          <w:rFonts w:hint="eastAsia" w:ascii="仿宋" w:hAnsi="仿宋" w:eastAsia="仿宋" w:cs="仿宋"/>
          <w:color w:val="auto"/>
          <w:sz w:val="24"/>
          <w:highlight w:val="none"/>
        </w:rPr>
        <w:t>（√ ）</w:t>
      </w:r>
      <w:r>
        <w:rPr>
          <w:rFonts w:hint="eastAsia" w:ascii="仿宋" w:hAnsi="仿宋" w:eastAsia="仿宋"/>
          <w:color w:val="auto"/>
          <w:sz w:val="24"/>
          <w:highlight w:val="none"/>
        </w:rPr>
        <w:t>专用</w:t>
      </w:r>
      <w:r>
        <w:rPr>
          <w:rFonts w:hint="eastAsia" w:ascii="仿宋" w:hAnsi="仿宋" w:eastAsia="仿宋" w:cs="仿宋"/>
          <w:color w:val="auto"/>
          <w:sz w:val="24"/>
          <w:highlight w:val="none"/>
        </w:rPr>
        <w:t>（ ）</w:t>
      </w:r>
      <w:r>
        <w:rPr>
          <w:rFonts w:hint="eastAsia" w:ascii="仿宋" w:hAnsi="仿宋" w:eastAsia="仿宋"/>
          <w:color w:val="auto"/>
          <w:sz w:val="24"/>
          <w:highlight w:val="none"/>
        </w:rPr>
        <w:t>普通发票（下称“发票”，根据实际情况在发票类型前打</w:t>
      </w:r>
      <w:r>
        <w:rPr>
          <w:rFonts w:hint="eastAsia" w:ascii="仿宋" w:hAnsi="仿宋" w:eastAsia="仿宋" w:cs="仿宋"/>
          <w:color w:val="auto"/>
          <w:sz w:val="24"/>
          <w:highlight w:val="none"/>
        </w:rPr>
        <w:t>√</w:t>
      </w:r>
      <w:r>
        <w:rPr>
          <w:rFonts w:hint="eastAsia" w:ascii="仿宋" w:hAnsi="仿宋" w:eastAsia="仿宋"/>
          <w:color w:val="auto"/>
          <w:sz w:val="24"/>
          <w:highlight w:val="none"/>
        </w:rPr>
        <w:t>）</w:t>
      </w:r>
      <w:r>
        <w:rPr>
          <w:rFonts w:hint="eastAsia" w:ascii="仿宋" w:hAnsi="仿宋" w:eastAsia="仿宋" w:cs="仿宋"/>
          <w:color w:val="auto"/>
          <w:sz w:val="24"/>
          <w:highlight w:val="none"/>
        </w:rPr>
        <w:t>。</w:t>
      </w:r>
    </w:p>
    <w:p w14:paraId="364FFB18">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olor w:val="auto"/>
          <w:sz w:val="24"/>
          <w:highlight w:val="none"/>
        </w:rPr>
      </w:pPr>
      <w:r>
        <w:rPr>
          <w:rFonts w:hint="eastAsia" w:ascii="仿宋" w:hAnsi="仿宋" w:eastAsia="仿宋" w:cs="仿宋"/>
          <w:color w:val="auto"/>
          <w:sz w:val="24"/>
          <w:highlight w:val="none"/>
        </w:rPr>
        <w:t>3.服务费实行</w:t>
      </w:r>
      <w:r>
        <w:rPr>
          <w:rFonts w:hint="eastAsia" w:ascii="仿宋" w:hAnsi="仿宋" w:eastAsia="仿宋" w:cs="仿宋"/>
          <w:b/>
          <w:bCs/>
          <w:color w:val="auto"/>
          <w:sz w:val="24"/>
          <w:highlight w:val="none"/>
        </w:rPr>
        <w:t>先提供服务、后结算付款</w:t>
      </w:r>
      <w:r>
        <w:rPr>
          <w:rFonts w:hint="eastAsia" w:ascii="仿宋" w:hAnsi="仿宋" w:eastAsia="仿宋" w:cs="仿宋"/>
          <w:color w:val="auto"/>
          <w:sz w:val="24"/>
          <w:highlight w:val="none"/>
        </w:rPr>
        <w:t>模式，采取</w:t>
      </w:r>
      <w:r>
        <w:rPr>
          <w:rFonts w:hint="eastAsia" w:ascii="仿宋" w:hAnsi="仿宋" w:eastAsia="仿宋" w:cs="仿宋"/>
          <w:b/>
          <w:bCs/>
          <w:color w:val="auto"/>
          <w:sz w:val="24"/>
          <w:highlight w:val="none"/>
        </w:rPr>
        <w:t>按月结算</w:t>
      </w:r>
      <w:r>
        <w:rPr>
          <w:rFonts w:hint="eastAsia" w:ascii="仿宋" w:hAnsi="仿宋" w:eastAsia="仿宋" w:cs="仿宋"/>
          <w:color w:val="auto"/>
          <w:sz w:val="24"/>
          <w:highlight w:val="none"/>
        </w:rPr>
        <w:t>方式执行，具体约定如下：</w:t>
      </w:r>
    </w:p>
    <w:p w14:paraId="64ABE9A1">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）服务费按</w:t>
      </w:r>
      <w:r>
        <w:rPr>
          <w:rFonts w:hint="eastAsia" w:ascii="仿宋" w:hAnsi="仿宋" w:eastAsia="仿宋" w:cs="仿宋"/>
          <w:b/>
          <w:bCs/>
          <w:color w:val="auto"/>
          <w:sz w:val="24"/>
          <w:highlight w:val="none"/>
          <w:lang w:eastAsia="zh-CN"/>
        </w:rPr>
        <w:t>月度</w:t>
      </w:r>
      <w:r>
        <w:rPr>
          <w:rFonts w:hint="eastAsia" w:ascii="仿宋" w:hAnsi="仿宋" w:eastAsia="仿宋" w:cs="仿宋"/>
          <w:color w:val="auto"/>
          <w:sz w:val="24"/>
          <w:highlight w:val="none"/>
          <w:lang w:val="en-US" w:eastAsia="zh-CN"/>
        </w:rPr>
        <w:t>结算，甲方应于</w:t>
      </w:r>
      <w:r>
        <w:rPr>
          <w:rFonts w:hint="eastAsia" w:ascii="仿宋" w:hAnsi="仿宋" w:eastAsia="仿宋" w:cs="仿宋"/>
          <w:color w:val="auto"/>
          <w:sz w:val="24"/>
          <w:highlight w:val="none"/>
          <w:lang w:eastAsia="zh-CN"/>
        </w:rPr>
        <w:t>每月30日前支付上</w:t>
      </w:r>
      <w:r>
        <w:rPr>
          <w:rFonts w:hint="eastAsia" w:ascii="仿宋" w:hAnsi="仿宋" w:eastAsia="仿宋" w:cs="仿宋"/>
          <w:color w:val="auto"/>
          <w:sz w:val="24"/>
          <w:highlight w:val="none"/>
          <w:lang w:val="en-US" w:eastAsia="zh-CN"/>
        </w:rPr>
        <w:t>一自然</w:t>
      </w:r>
      <w:r>
        <w:rPr>
          <w:rFonts w:hint="eastAsia" w:ascii="仿宋" w:hAnsi="仿宋" w:eastAsia="仿宋" w:cs="仿宋"/>
          <w:color w:val="auto"/>
          <w:sz w:val="24"/>
          <w:highlight w:val="none"/>
          <w:lang w:eastAsia="zh-CN"/>
        </w:rPr>
        <w:t>月度</w:t>
      </w:r>
      <w:r>
        <w:rPr>
          <w:rFonts w:hint="eastAsia" w:ascii="仿宋" w:hAnsi="仿宋" w:eastAsia="仿宋" w:cs="仿宋"/>
          <w:color w:val="auto"/>
          <w:sz w:val="24"/>
          <w:highlight w:val="none"/>
          <w:lang w:val="en-US" w:eastAsia="zh-CN"/>
        </w:rPr>
        <w:t>应付</w:t>
      </w:r>
      <w:r>
        <w:rPr>
          <w:rFonts w:hint="eastAsia" w:ascii="仿宋" w:hAnsi="仿宋" w:eastAsia="仿宋" w:cs="仿宋"/>
          <w:color w:val="auto"/>
          <w:sz w:val="24"/>
          <w:highlight w:val="none"/>
          <w:lang w:eastAsia="zh-CN"/>
        </w:rPr>
        <w:t>服务费。每一服务月度届满后，乙方须向甲方报送当期服务项目明细清单、实际发生服务费金额，</w:t>
      </w:r>
      <w:r>
        <w:rPr>
          <w:rFonts w:hint="eastAsia" w:ascii="仿宋" w:hAnsi="仿宋" w:eastAsia="仿宋" w:cs="仿宋"/>
          <w:color w:val="auto"/>
          <w:sz w:val="24"/>
          <w:highlight w:val="none"/>
        </w:rPr>
        <w:t>并一并提交本合同附件2《月度考核表》及《月度考勤记录》等完整结算资料，甲方有权依据乙方报送资料、合同约定及考核管理标准开展月度服务考评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依据考评结果</w:t>
      </w:r>
      <w:r>
        <w:rPr>
          <w:rFonts w:hint="eastAsia" w:ascii="仿宋" w:hAnsi="仿宋" w:eastAsia="仿宋" w:cs="仿宋"/>
          <w:color w:val="auto"/>
          <w:sz w:val="24"/>
          <w:highlight w:val="none"/>
          <w:lang w:eastAsia="zh-CN"/>
        </w:rPr>
        <w:t>核定</w:t>
      </w:r>
      <w:r>
        <w:rPr>
          <w:rFonts w:hint="eastAsia" w:ascii="仿宋" w:hAnsi="仿宋" w:eastAsia="仿宋" w:cs="仿宋"/>
          <w:color w:val="auto"/>
          <w:sz w:val="24"/>
          <w:highlight w:val="none"/>
          <w:lang w:val="en-US" w:eastAsia="zh-CN"/>
        </w:rPr>
        <w:t>当期</w:t>
      </w:r>
      <w:r>
        <w:rPr>
          <w:rFonts w:hint="eastAsia" w:ascii="仿宋" w:hAnsi="仿宋" w:eastAsia="仿宋" w:cs="仿宋"/>
          <w:color w:val="auto"/>
          <w:sz w:val="24"/>
          <w:highlight w:val="none"/>
          <w:lang w:eastAsia="zh-CN"/>
        </w:rPr>
        <w:t>实际</w:t>
      </w:r>
      <w:r>
        <w:rPr>
          <w:rFonts w:hint="eastAsia" w:ascii="仿宋" w:hAnsi="仿宋" w:eastAsia="仿宋" w:cs="仿宋"/>
          <w:color w:val="auto"/>
          <w:sz w:val="24"/>
          <w:highlight w:val="none"/>
          <w:lang w:val="en-US" w:eastAsia="zh-CN"/>
        </w:rPr>
        <w:t>应付</w:t>
      </w:r>
      <w:r>
        <w:rPr>
          <w:rFonts w:hint="eastAsia" w:ascii="仿宋" w:hAnsi="仿宋" w:eastAsia="仿宋" w:cs="仿宋"/>
          <w:color w:val="auto"/>
          <w:sz w:val="24"/>
          <w:highlight w:val="none"/>
          <w:lang w:eastAsia="zh-CN"/>
        </w:rPr>
        <w:t>服务费</w:t>
      </w:r>
      <w:r>
        <w:rPr>
          <w:rFonts w:hint="eastAsia" w:ascii="仿宋" w:hAnsi="仿宋" w:eastAsia="仿宋" w:cs="仿宋"/>
          <w:color w:val="auto"/>
          <w:sz w:val="24"/>
          <w:highlight w:val="none"/>
          <w:lang w:val="en-US" w:eastAsia="zh-CN"/>
        </w:rPr>
        <w:t>金额</w:t>
      </w:r>
      <w:r>
        <w:rPr>
          <w:rFonts w:hint="eastAsia" w:ascii="仿宋" w:hAnsi="仿宋" w:eastAsia="仿宋" w:cs="仿宋"/>
          <w:color w:val="auto"/>
          <w:sz w:val="24"/>
          <w:highlight w:val="none"/>
          <w:lang w:eastAsia="zh-CN"/>
        </w:rPr>
        <w:t>。</w:t>
      </w:r>
    </w:p>
    <w:p w14:paraId="75B283E0">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月度服务考核得分与当期服务费结算扣减规则：</w:t>
      </w:r>
    </w:p>
    <w:p w14:paraId="62A0590E">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甲方应先根据本合同第五条及其他条款约定，核定并扣除乙方当月应承担的违约金、罚款、赔偿金、人员缺编扣款等所有应扣款项，得出</w:t>
      </w:r>
      <w:r>
        <w:rPr>
          <w:rStyle w:val="15"/>
          <w:rFonts w:hint="eastAsia" w:ascii="仿宋" w:hAnsi="仿宋" w:eastAsia="仿宋" w:cs="仿宋"/>
          <w:b/>
          <w:bCs/>
          <w:color w:val="auto"/>
          <w:sz w:val="24"/>
          <w:szCs w:val="24"/>
          <w:highlight w:val="none"/>
        </w:rPr>
        <w:t>当月应付服务费基数</w:t>
      </w:r>
      <w:r>
        <w:rPr>
          <w:rFonts w:hint="eastAsia" w:ascii="仿宋" w:hAnsi="仿宋" w:eastAsia="仿宋" w:cs="仿宋"/>
          <w:color w:val="auto"/>
          <w:sz w:val="24"/>
          <w:szCs w:val="24"/>
          <w:highlight w:val="none"/>
        </w:rPr>
        <w:t>。甲方以该</w:t>
      </w:r>
      <w:r>
        <w:rPr>
          <w:rStyle w:val="15"/>
          <w:rFonts w:hint="eastAsia" w:ascii="仿宋" w:hAnsi="仿宋" w:eastAsia="仿宋" w:cs="仿宋"/>
          <w:b/>
          <w:bCs/>
          <w:color w:val="auto"/>
          <w:sz w:val="24"/>
          <w:szCs w:val="24"/>
          <w:highlight w:val="none"/>
        </w:rPr>
        <w:t>应付服务费基数</w:t>
      </w:r>
      <w:r>
        <w:rPr>
          <w:rFonts w:hint="eastAsia" w:ascii="仿宋" w:hAnsi="仿宋" w:eastAsia="仿宋" w:cs="仿宋"/>
          <w:color w:val="auto"/>
          <w:sz w:val="24"/>
          <w:szCs w:val="24"/>
          <w:highlight w:val="none"/>
        </w:rPr>
        <w:t>为计算基准，按以下标准执行考核扣减：</w:t>
      </w:r>
    </w:p>
    <w:p w14:paraId="48488349">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月度考核得分90分（含）以上的，按当月应付服务费基数全额支付</w:t>
      </w:r>
      <w:r>
        <w:rPr>
          <w:rFonts w:hint="eastAsia" w:ascii="仿宋" w:hAnsi="仿宋" w:eastAsia="仿宋" w:cs="仿宋"/>
          <w:color w:val="auto"/>
          <w:sz w:val="24"/>
          <w:highlight w:val="none"/>
          <w:lang w:val="en-US" w:eastAsia="zh-CN"/>
        </w:rPr>
        <w:t>。</w:t>
      </w:r>
    </w:p>
    <w:p w14:paraId="394F0FBE">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月度考核得分得分80—89分，扣除当期应支付额的1.5%。</w:t>
      </w:r>
    </w:p>
    <w:p w14:paraId="16C3DFB9">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月度考核得分得分80分以下，扣除当期应支付额的3%。</w:t>
      </w:r>
    </w:p>
    <w:p w14:paraId="4BAEFDF5">
      <w:pPr>
        <w:pStyle w:val="5"/>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甲方以银行转账的方式将应付款项汇至乙方指定的银行账户。乙方应当按照合同规定如期开具合格等额合法发票，乙方延期开具发票、开具不合格发票或不开具发票的，甲方有权相应延期付款或不付款，但乙方仍应按期履行合同约定的义务。</w:t>
      </w:r>
    </w:p>
    <w:p w14:paraId="7BE87F73">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.甲方在付款时有权扣除乙方依照本合同应支付的违约金或其他应扣款项（如有）。</w:t>
      </w:r>
    </w:p>
    <w:p w14:paraId="25214CFB">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除本合同另有约定外，无论何种原因导致本合同终止的，乙方未开始提供服务的，甲方不支付任何费用；乙方已开始提供服务的，甲方应根据乙方提交给甲方并经甲方验收合格的实际完成工作量，按照本合同约定支付相应的费用。</w:t>
      </w:r>
    </w:p>
    <w:p w14:paraId="04FE033D">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（二）甲方开票信息和乙方银行账号等信息</w:t>
      </w:r>
    </w:p>
    <w:p w14:paraId="0E99C31D">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olor w:val="000000"/>
          <w:sz w:val="24"/>
          <w:highlight w:val="none"/>
        </w:rPr>
      </w:pPr>
      <w:r>
        <w:rPr>
          <w:rFonts w:hint="eastAsia" w:ascii="仿宋" w:hAnsi="仿宋" w:eastAsia="仿宋"/>
          <w:color w:val="000000"/>
          <w:sz w:val="24"/>
          <w:highlight w:val="none"/>
        </w:rPr>
        <w:t>1.甲方</w:t>
      </w:r>
      <w:r>
        <w:rPr>
          <w:rFonts w:ascii="仿宋" w:hAnsi="仿宋" w:eastAsia="仿宋"/>
          <w:color w:val="000000"/>
          <w:sz w:val="24"/>
          <w:highlight w:val="none"/>
        </w:rPr>
        <w:t>开票信息如下</w:t>
      </w:r>
      <w:r>
        <w:rPr>
          <w:rFonts w:hint="eastAsia" w:ascii="仿宋" w:hAnsi="仿宋" w:eastAsia="仿宋"/>
          <w:color w:val="000000"/>
          <w:sz w:val="24"/>
          <w:highlight w:val="none"/>
        </w:rPr>
        <w:t>：</w:t>
      </w:r>
    </w:p>
    <w:p w14:paraId="43760973">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hint="eastAsia" w:ascii="仿宋" w:hAnsi="仿宋" w:eastAsia="仿宋" w:cs="宋体"/>
          <w:color w:val="000000"/>
          <w:sz w:val="24"/>
          <w:highlight w:val="none"/>
          <w:u w:val="single"/>
          <w:lang w:val="en-US" w:eastAsia="zh-CN"/>
        </w:rPr>
      </w:pPr>
      <w:r>
        <w:rPr>
          <w:rFonts w:hint="eastAsia" w:ascii="仿宋" w:hAnsi="仿宋" w:eastAsia="仿宋" w:cs="宋体"/>
          <w:color w:val="000000"/>
          <w:sz w:val="24"/>
          <w:highlight w:val="none"/>
        </w:rPr>
        <w:t>公司名称：</w:t>
      </w:r>
      <w:r>
        <w:rPr>
          <w:rFonts w:hint="eastAsia" w:ascii="仿宋" w:hAnsi="仿宋" w:eastAsia="仿宋" w:cs="宋体"/>
          <w:color w:val="000000"/>
          <w:sz w:val="24"/>
          <w:highlight w:val="none"/>
          <w:u w:val="single"/>
          <w:lang w:val="en-US" w:eastAsia="zh-CN"/>
        </w:rPr>
        <w:t>深圳市湾东物业服务有限公司</w:t>
      </w:r>
    </w:p>
    <w:p w14:paraId="413BC40C">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hint="eastAsia" w:ascii="仿宋" w:hAnsi="仿宋" w:eastAsia="仿宋" w:cs="宋体"/>
          <w:color w:val="000000"/>
          <w:sz w:val="24"/>
          <w:highlight w:val="none"/>
          <w:u w:val="single"/>
          <w:lang w:val="en-US" w:eastAsia="zh-CN"/>
        </w:rPr>
      </w:pPr>
      <w:r>
        <w:rPr>
          <w:rFonts w:hint="eastAsia" w:ascii="仿宋" w:hAnsi="仿宋" w:eastAsia="仿宋" w:cs="宋体"/>
          <w:color w:val="000000"/>
          <w:sz w:val="24"/>
          <w:highlight w:val="none"/>
        </w:rPr>
        <w:t>纳税人识别号：</w:t>
      </w:r>
      <w:r>
        <w:rPr>
          <w:rFonts w:hint="eastAsia" w:ascii="仿宋" w:hAnsi="仿宋" w:eastAsia="仿宋" w:cs="宋体"/>
          <w:color w:val="000000"/>
          <w:sz w:val="24"/>
          <w:highlight w:val="none"/>
          <w:u w:val="single"/>
          <w:lang w:val="en-US" w:eastAsia="zh-CN"/>
        </w:rPr>
        <w:t>91440300570015423K</w:t>
      </w:r>
    </w:p>
    <w:p w14:paraId="0CB1B3A3">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s="宋体"/>
          <w:color w:val="000000"/>
          <w:sz w:val="24"/>
          <w:highlight w:val="none"/>
          <w:u w:val="single"/>
        </w:rPr>
      </w:pPr>
      <w:r>
        <w:rPr>
          <w:rFonts w:hint="eastAsia" w:ascii="仿宋" w:hAnsi="仿宋" w:eastAsia="仿宋" w:cs="宋体"/>
          <w:color w:val="000000"/>
          <w:sz w:val="24"/>
          <w:highlight w:val="none"/>
        </w:rPr>
        <w:t>税务登记地址：</w:t>
      </w:r>
      <w:r>
        <w:rPr>
          <w:rFonts w:hint="eastAsia" w:ascii="仿宋" w:hAnsi="仿宋" w:eastAsia="仿宋" w:cs="仿宋"/>
          <w:b w:val="0"/>
          <w:bCs w:val="0"/>
          <w:sz w:val="24"/>
          <w:highlight w:val="none"/>
          <w:u w:val="single"/>
          <w:lang w:val="en-US" w:eastAsia="zh-CN"/>
        </w:rPr>
        <w:t>深圳市龙岗区龙城街道黄阁坑社区龙飞大道669号天昊华庭D4、D5、D6、C6栋服务大厅二楼</w:t>
      </w:r>
    </w:p>
    <w:p w14:paraId="6B829CBC">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s="宋体"/>
          <w:color w:val="000000"/>
          <w:sz w:val="24"/>
          <w:highlight w:val="none"/>
        </w:rPr>
      </w:pPr>
      <w:r>
        <w:rPr>
          <w:rFonts w:hint="eastAsia" w:ascii="仿宋" w:hAnsi="仿宋" w:eastAsia="仿宋" w:cs="宋体"/>
          <w:color w:val="000000"/>
          <w:sz w:val="24"/>
          <w:highlight w:val="none"/>
        </w:rPr>
        <w:t>开户银行：</w:t>
      </w:r>
      <w:r>
        <w:rPr>
          <w:rFonts w:hint="eastAsia" w:ascii="仿宋" w:hAnsi="仿宋" w:eastAsia="仿宋" w:cs="宋体"/>
          <w:color w:val="000000"/>
          <w:sz w:val="24"/>
          <w:highlight w:val="none"/>
          <w:u w:val="single"/>
          <w:lang w:val="en-US" w:eastAsia="zh-CN"/>
        </w:rPr>
        <w:t>上海浦东发展银行深圳龙城支行</w:t>
      </w:r>
    </w:p>
    <w:p w14:paraId="6B2E62C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宋体"/>
          <w:color w:val="000000"/>
          <w:sz w:val="24"/>
          <w:highlight w:val="none"/>
          <w:u w:val="single"/>
          <w:lang w:val="en-US" w:eastAsia="zh-CN"/>
        </w:rPr>
      </w:pPr>
      <w:r>
        <w:rPr>
          <w:rFonts w:hint="eastAsia" w:ascii="仿宋" w:hAnsi="仿宋" w:eastAsia="仿宋" w:cs="宋体"/>
          <w:color w:val="000000"/>
          <w:sz w:val="24"/>
          <w:highlight w:val="none"/>
        </w:rPr>
        <w:t>银行账号：</w:t>
      </w:r>
      <w:r>
        <w:rPr>
          <w:rFonts w:hint="eastAsia" w:ascii="仿宋" w:hAnsi="仿宋" w:eastAsia="仿宋" w:cs="宋体"/>
          <w:color w:val="000000"/>
          <w:sz w:val="24"/>
          <w:highlight w:val="none"/>
          <w:u w:val="single"/>
          <w:lang w:val="en-US" w:eastAsia="zh-CN"/>
        </w:rPr>
        <w:t>793400788014000000102</w:t>
      </w:r>
    </w:p>
    <w:p w14:paraId="413A3574">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ascii="仿宋" w:hAnsi="仿宋" w:eastAsia="仿宋" w:cs="仿宋"/>
          <w:color w:val="auto"/>
          <w:sz w:val="24"/>
          <w:highlight w:val="none"/>
        </w:rPr>
        <w:t>2</w:t>
      </w:r>
      <w:r>
        <w:rPr>
          <w:rFonts w:hint="eastAsia" w:ascii="仿宋" w:hAnsi="仿宋" w:eastAsia="仿宋" w:cs="仿宋"/>
          <w:color w:val="auto"/>
          <w:sz w:val="24"/>
          <w:highlight w:val="none"/>
        </w:rPr>
        <w:t>.乙方收款账户信息如下：</w:t>
      </w:r>
    </w:p>
    <w:p w14:paraId="1239199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u w:val="single"/>
          <w:lang w:val="en-US" w:eastAsia="zh-CN"/>
        </w:rPr>
        <w:t xml:space="preserve">                     </w:t>
      </w:r>
    </w:p>
    <w:p w14:paraId="08FEE776">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账号：</w:t>
      </w:r>
      <w:r>
        <w:rPr>
          <w:rFonts w:hint="eastAsia" w:ascii="仿宋" w:hAnsi="仿宋" w:eastAsia="仿宋" w:cs="仿宋"/>
          <w:color w:val="auto"/>
          <w:sz w:val="24"/>
          <w:highlight w:val="none"/>
          <w:u w:val="single"/>
          <w:lang w:val="en-US" w:eastAsia="zh-CN"/>
        </w:rPr>
        <w:t xml:space="preserve">                     </w:t>
      </w:r>
    </w:p>
    <w:p w14:paraId="2ABD7297">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u w:val="single"/>
        </w:rPr>
      </w:pPr>
      <w:r>
        <w:rPr>
          <w:rFonts w:hint="eastAsia" w:ascii="仿宋" w:hAnsi="仿宋" w:eastAsia="仿宋" w:cs="仿宋"/>
          <w:color w:val="auto"/>
          <w:sz w:val="24"/>
          <w:highlight w:val="none"/>
        </w:rPr>
        <w:t>开户行：</w:t>
      </w:r>
      <w:r>
        <w:rPr>
          <w:rFonts w:hint="eastAsia" w:ascii="仿宋" w:hAnsi="仿宋" w:eastAsia="仿宋" w:cs="仿宋"/>
          <w:color w:val="auto"/>
          <w:sz w:val="24"/>
          <w:highlight w:val="none"/>
          <w:u w:val="single"/>
          <w:lang w:val="en-US" w:eastAsia="zh-CN"/>
        </w:rPr>
        <w:t xml:space="preserve">                     </w:t>
      </w:r>
    </w:p>
    <w:p w14:paraId="6346FCB5">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3.甲方与乙方的价款结算只能通过甲方的账户与乙方的账户进行划转，除政府主管部门有专门要求除外，不能通过此外的任何第三方账户进行价款结算。</w:t>
      </w:r>
    </w:p>
    <w:p w14:paraId="3D508C0C">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4.甲乙任何一方如需变更银行账号和税务信息，应提前15日以书面形式通知另一方。如未按本合同约定通知而遭受的损失自行承担。</w:t>
      </w:r>
    </w:p>
    <w:p w14:paraId="5AC85F6B">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乙方未按合同约定时间通知甲方，造成的损失由乙方负责；甲方已将款项支付至乙方账户且未被退回，则视同甲方已履行付款义务。</w:t>
      </w:r>
    </w:p>
    <w:p w14:paraId="34CF2D0B">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如经甲方查证乙方所提供发票为假发票，乙方除需换开真实发票外，还需按发票金额25%向甲方支付违约金，乙方拒交违约金的，甲方有权直接从合同价款中扣除，如乙方拒绝更换发票，甲方将书面向税务部门举报。</w:t>
      </w:r>
    </w:p>
    <w:p w14:paraId="0CDF52E7">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6.甲方开票信息如发生变更，乙方有义务协助甲方更换已开具的发票。</w:t>
      </w:r>
    </w:p>
    <w:p w14:paraId="29C50925">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第四条  甲方的权利和义务</w:t>
      </w:r>
    </w:p>
    <w:p w14:paraId="2487C8DA">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（一）甲方项目管理处有权直接监督检查乙方承包范围内的</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服务质量，发现问题及时通知乙方，情况紧急时，乙方须5分钟之内安排人员整改。对乙方合理的工作协助、要求及建议，甲方应予全力支持。</w:t>
      </w:r>
    </w:p>
    <w:p w14:paraId="44535A26">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（二）甲方有权对该合同中的服务内容实施日检、周检、月检和随机抽查，并有权对检查发现的不合格项要求乙方整改。</w:t>
      </w:r>
    </w:p>
    <w:p w14:paraId="3BFA8BF0">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（三）甲方有权根据项目工作需要要求乙方调整工作时间、增加工作人员协助进行</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工作。如遇特殊</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工作需求时，需提前通知乙方安排人员进行</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，乙方需无条件配合，且不得主张增加费用</w:t>
      </w:r>
      <w:r>
        <w:rPr>
          <w:rFonts w:hint="eastAsia" w:ascii="仿宋" w:hAnsi="仿宋" w:eastAsia="仿宋" w:cs="仿宋"/>
          <w:color w:val="auto"/>
          <w:sz w:val="24"/>
          <w:szCs w:val="24"/>
          <w:highlight w:val="none"/>
        </w:rPr>
        <w:t>。</w:t>
      </w:r>
    </w:p>
    <w:p w14:paraId="0258AD4B">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（四）甲方有权根据项目现场实际情况要求乙方按甲方的相关要求或操作规程进行</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w:t>
      </w:r>
    </w:p>
    <w:p w14:paraId="4AE2B1C9">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（五）甲方有义务向乙方提供</w:t>
      </w:r>
      <w:r>
        <w:rPr>
          <w:rFonts w:hint="eastAsia" w:ascii="仿宋" w:hAnsi="仿宋" w:eastAsia="仿宋" w:cs="仿宋"/>
          <w:color w:val="auto"/>
          <w:sz w:val="24"/>
          <w:szCs w:val="24"/>
          <w:highlight w:val="none"/>
          <w:lang w:eastAsia="zh-CN"/>
        </w:rPr>
        <w:t>清洁所必需的</w:t>
      </w:r>
      <w:r>
        <w:rPr>
          <w:rFonts w:hint="eastAsia" w:ascii="仿宋" w:hAnsi="仿宋" w:eastAsia="仿宋" w:cs="仿宋"/>
          <w:color w:val="auto"/>
          <w:sz w:val="24"/>
          <w:szCs w:val="24"/>
          <w:highlight w:val="none"/>
        </w:rPr>
        <w:t>水电能源，无偿提供</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使用的水电，并提供必要的场所供乙方放置</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器械、材料等物品和员工更衣使用。乙方不得擅自将以上场所改变使用用途，如乙方需要对上述场所进行翻新或改造，需经过甲方书面同意，相关费用由乙方自理</w:t>
      </w:r>
      <w:r>
        <w:rPr>
          <w:rFonts w:hint="eastAsia" w:ascii="仿宋" w:hAnsi="仿宋" w:eastAsia="仿宋" w:cs="仿宋"/>
          <w:color w:val="auto"/>
          <w:sz w:val="24"/>
          <w:szCs w:val="24"/>
          <w:highlight w:val="none"/>
          <w:lang w:eastAsia="zh-CN"/>
        </w:rPr>
        <w:t>，乙方应当合理使用水电，避免过度浪费</w:t>
      </w:r>
      <w:r>
        <w:rPr>
          <w:rFonts w:hint="eastAsia" w:ascii="仿宋" w:hAnsi="仿宋" w:eastAsia="仿宋" w:cs="仿宋"/>
          <w:color w:val="auto"/>
          <w:sz w:val="24"/>
          <w:szCs w:val="24"/>
          <w:highlight w:val="none"/>
        </w:rPr>
        <w:t>。</w:t>
      </w:r>
    </w:p>
    <w:p w14:paraId="4DD672FC">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（六）甲方有义务向乙方提供</w:t>
      </w:r>
      <w:r>
        <w:rPr>
          <w:rFonts w:hint="eastAsia" w:ascii="仿宋" w:hAnsi="仿宋" w:eastAsia="仿宋" w:cs="仿宋"/>
          <w:color w:val="auto"/>
          <w:sz w:val="24"/>
          <w:szCs w:val="24"/>
          <w:highlight w:val="none"/>
          <w:lang w:eastAsia="zh-CN"/>
        </w:rPr>
        <w:t>清洁必需的</w:t>
      </w:r>
      <w:r>
        <w:rPr>
          <w:rFonts w:hint="eastAsia" w:ascii="仿宋" w:hAnsi="仿宋" w:eastAsia="仿宋" w:cs="仿宋"/>
          <w:color w:val="auto"/>
          <w:sz w:val="24"/>
          <w:szCs w:val="24"/>
          <w:highlight w:val="none"/>
        </w:rPr>
        <w:t>便利条件，但不承担</w:t>
      </w:r>
      <w:r>
        <w:rPr>
          <w:rFonts w:hint="eastAsia" w:ascii="仿宋" w:hAnsi="仿宋" w:eastAsia="仿宋" w:cs="仿宋"/>
          <w:color w:val="auto"/>
          <w:sz w:val="24"/>
          <w:szCs w:val="24"/>
          <w:highlight w:val="none"/>
          <w:lang w:eastAsia="zh-CN"/>
        </w:rPr>
        <w:t>清洁所需的设备</w:t>
      </w:r>
      <w:r>
        <w:rPr>
          <w:rFonts w:hint="eastAsia" w:ascii="仿宋" w:hAnsi="仿宋" w:eastAsia="仿宋" w:cs="仿宋"/>
          <w:color w:val="auto"/>
          <w:sz w:val="24"/>
          <w:szCs w:val="24"/>
          <w:highlight w:val="none"/>
        </w:rPr>
        <w:t>、工具、</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材料等的费用。</w:t>
      </w:r>
    </w:p>
    <w:p w14:paraId="479D3DEA">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（七）甲方根据《</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工作实施细则、质量检查标准及判定标准》和相关法律、法规的要求，有权对乙方违反甲方管理规定及未达到服务质量标准的项目提出限期整改要求，并有权按附件《</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工作实施细则、质量检查标准及判定标准》规定内容进行扣罚。对于乙方或其安排的服务人员在履行本合同的过程中，存在违反合同约定的情形甲方有权要求乙方通过更换现场服务人员的方式予以纠正。</w:t>
      </w:r>
    </w:p>
    <w:p w14:paraId="769672A1">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方需将生活垃圾按时装入桶放在指定位置，不得散置桶外或盛装过溢，指定位置需硬地化。</w:t>
      </w:r>
    </w:p>
    <w:p w14:paraId="698F4A69">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（九）如出现垃圾桶内未装满，而地上堆有较多垃圾时，</w:t>
      </w:r>
      <w:r>
        <w:rPr>
          <w:rFonts w:hint="eastAsia" w:ascii="仿宋" w:hAnsi="仿宋" w:eastAsia="仿宋" w:cs="仿宋"/>
          <w:color w:val="auto"/>
          <w:sz w:val="24"/>
          <w:szCs w:val="24"/>
          <w:highlight w:val="none"/>
          <w:lang w:eastAsia="zh-CN"/>
        </w:rPr>
        <w:t>乙方需及时</w:t>
      </w:r>
      <w:r>
        <w:rPr>
          <w:rFonts w:hint="eastAsia" w:ascii="仿宋" w:hAnsi="仿宋" w:eastAsia="仿宋" w:cs="仿宋"/>
          <w:color w:val="auto"/>
          <w:sz w:val="24"/>
          <w:szCs w:val="24"/>
          <w:highlight w:val="none"/>
        </w:rPr>
        <w:t>派人清理。</w:t>
      </w:r>
    </w:p>
    <w:p w14:paraId="2069BE5D">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（十）协助解决乙方在清运过程中遇到的困难和难题。</w:t>
      </w:r>
    </w:p>
    <w:p w14:paraId="4FA12DC2">
      <w:pPr>
        <w:keepNext w:val="0"/>
        <w:keepLines w:val="0"/>
        <w:pageBreakBefore w:val="0"/>
        <w:kinsoku/>
        <w:wordWrap/>
        <w:overflowPunct/>
        <w:topLinePunct w:val="0"/>
        <w:bidi w:val="0"/>
        <w:adjustRightInd/>
        <w:snapToGrid/>
        <w:spacing w:line="440" w:lineRule="exact"/>
        <w:ind w:firstLine="482" w:firstLineChars="200"/>
        <w:textAlignment w:val="auto"/>
        <w:rPr>
          <w:rFonts w:asciiTheme="minorEastAsia" w:hAnsiTheme="minorEastAsia" w:eastAsiaTheme="minorEastAsia" w:cstheme="minorEastAsia"/>
          <w:b/>
          <w:bCs/>
          <w:color w:val="auto"/>
          <w:sz w:val="24"/>
          <w:szCs w:val="24"/>
          <w:highlight w:val="none"/>
        </w:rPr>
      </w:pPr>
      <w:r>
        <w:rPr>
          <w:rFonts w:hint="eastAsia" w:ascii="仿宋" w:hAnsi="仿宋" w:eastAsia="仿宋" w:cs="仿宋"/>
          <w:b/>
          <w:bCs/>
          <w:color w:val="auto"/>
          <w:sz w:val="24"/>
          <w:szCs w:val="24"/>
          <w:highlight w:val="none"/>
        </w:rPr>
        <w:t>第五条  乙方的权利与义务</w:t>
      </w:r>
    </w:p>
    <w:p w14:paraId="12D5016A">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szCs w:val="24"/>
          <w:highlight w:val="none"/>
        </w:rPr>
        <w:t>乙方有权要求甲方提供</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工作的便利条件，提供水电使用的方便。乙方须节约用水、用电、合理使用办公用房和物料仓库，保持上述场地的整洁、干净。</w:t>
      </w:r>
    </w:p>
    <w:p w14:paraId="416FE08C">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安排至现场的所有工作人员，必须在甲方项目管理处统一办理备案登记手续，向甲方提交所有工作人员的身份证、健康体检合格证（一年复检一次，无健康证或健康证过期人员乙方应在10个工作日之内更换为</w:t>
      </w:r>
      <w:r>
        <w:rPr>
          <w:rFonts w:hint="eastAsia" w:ascii="仿宋" w:hAnsi="仿宋" w:eastAsia="仿宋" w:cs="仿宋"/>
          <w:color w:val="auto"/>
          <w:sz w:val="24"/>
          <w:szCs w:val="24"/>
          <w:highlight w:val="none"/>
          <w:lang w:val="en-US" w:eastAsia="zh-CN"/>
        </w:rPr>
        <w:t>符合资质的</w:t>
      </w:r>
      <w:r>
        <w:rPr>
          <w:rFonts w:hint="eastAsia" w:ascii="仿宋" w:hAnsi="仿宋" w:eastAsia="仿宋" w:cs="仿宋"/>
          <w:color w:val="auto"/>
          <w:sz w:val="24"/>
          <w:szCs w:val="24"/>
          <w:highlight w:val="none"/>
        </w:rPr>
        <w:t>人员）等相关证件复印件，必要时可录入指纹</w:t>
      </w:r>
      <w:r>
        <w:rPr>
          <w:rFonts w:hint="eastAsia" w:ascii="仿宋" w:hAnsi="仿宋" w:eastAsia="仿宋" w:cs="仿宋"/>
          <w:color w:val="auto"/>
          <w:sz w:val="24"/>
          <w:szCs w:val="24"/>
          <w:highlight w:val="none"/>
          <w:lang w:eastAsia="zh-CN"/>
        </w:rPr>
        <w:t>，否则按无证人员每人每月200元扣除当月服务费</w:t>
      </w:r>
      <w:r>
        <w:rPr>
          <w:rFonts w:hint="eastAsia" w:ascii="仿宋" w:hAnsi="仿宋" w:eastAsia="仿宋" w:cs="仿宋"/>
          <w:color w:val="auto"/>
          <w:sz w:val="24"/>
          <w:szCs w:val="24"/>
          <w:highlight w:val="none"/>
        </w:rPr>
        <w:t>；乙方安排至现场</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所有工作人员在工作时间内必须统一身着乙方作业工作服（不能穿拖鞋）、</w:t>
      </w:r>
      <w:r>
        <w:rPr>
          <w:rFonts w:hint="eastAsia" w:ascii="仿宋" w:hAnsi="仿宋" w:eastAsia="仿宋" w:cs="仿宋"/>
          <w:color w:val="auto"/>
          <w:sz w:val="24"/>
          <w:szCs w:val="24"/>
          <w:highlight w:val="none"/>
          <w:lang w:eastAsia="zh-CN"/>
        </w:rPr>
        <w:t>佩戴</w:t>
      </w:r>
      <w:r>
        <w:rPr>
          <w:rFonts w:hint="eastAsia" w:ascii="仿宋" w:hAnsi="仿宋" w:eastAsia="仿宋" w:cs="仿宋"/>
          <w:color w:val="auto"/>
          <w:sz w:val="24"/>
          <w:szCs w:val="24"/>
          <w:highlight w:val="none"/>
        </w:rPr>
        <w:t>工牌或工作证（加盖乙方公章），凭工作证出入本项目物业相关区域</w:t>
      </w:r>
      <w:r>
        <w:rPr>
          <w:rFonts w:hint="eastAsia" w:ascii="仿宋" w:hAnsi="仿宋" w:eastAsia="仿宋" w:cs="仿宋"/>
          <w:color w:val="auto"/>
          <w:sz w:val="24"/>
          <w:szCs w:val="24"/>
          <w:highlight w:val="none"/>
          <w:lang w:val="en-US" w:eastAsia="zh-CN"/>
        </w:rPr>
        <w:t xml:space="preserve">，乙方工作人员不穿工作服上岗的，每发现一人，扣款50元 </w:t>
      </w:r>
      <w:r>
        <w:rPr>
          <w:rFonts w:hint="eastAsia" w:ascii="仿宋" w:hAnsi="仿宋" w:eastAsia="仿宋" w:cs="仿宋"/>
          <w:color w:val="auto"/>
          <w:sz w:val="24"/>
          <w:szCs w:val="24"/>
          <w:highlight w:val="none"/>
        </w:rPr>
        <w:t>；在项目工作或逗留时，需注意仪容仪表和服务态度，不得与业主和租户发现口角及其他恶劣事件。乙方工作人员因服务态度被业主和租户有效投诉的，每发生一起，扣除乙方当月服务费50元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当月同一楼层客户投诉环境问题三次的，扣款100元；当月同一楼层客户投诉环境问题五次的，扣款300元；当月同一家客户投诉环境问题五次的，扣款500元</w:t>
      </w:r>
      <w:r>
        <w:rPr>
          <w:rFonts w:hint="eastAsia" w:ascii="仿宋" w:hAnsi="仿宋" w:eastAsia="仿宋" w:cs="仿宋"/>
          <w:color w:val="auto"/>
          <w:sz w:val="24"/>
          <w:szCs w:val="24"/>
          <w:highlight w:val="none"/>
        </w:rPr>
        <w:t>。乙方安排至现场的所有工作人员在工作时间内不得随意离开其工作岗位。若</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工作人员请休假，乙方应安排临时工作人员补缺。如乙方人员出现离职或调动，须在离职次日向甲方项目管理处报告，离职人员的档案由项目管理处备案。</w:t>
      </w:r>
    </w:p>
    <w:p w14:paraId="07656CDB">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szCs w:val="24"/>
          <w:highlight w:val="none"/>
        </w:rPr>
        <w:t>乙方须严格按照相关作业标准开展工作（具体标准参照合同附件的相关规定），安排专业的从业人员为本项目提供专业</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服务，并严格组织安全服务教育、培训和管理，承担所有安全服务责任。</w:t>
      </w:r>
      <w:r>
        <w:rPr>
          <w:rFonts w:hint="eastAsia" w:ascii="仿宋" w:hAnsi="仿宋" w:eastAsia="仿宋" w:cs="仿宋"/>
          <w:color w:val="auto"/>
          <w:sz w:val="24"/>
          <w:szCs w:val="24"/>
          <w:highlight w:val="none"/>
          <w:lang w:val="en-US" w:eastAsia="zh-CN"/>
        </w:rPr>
        <w:t>作业洗手间不设立作业牌的，发现一次，扣款50元。</w:t>
      </w:r>
      <w:r>
        <w:rPr>
          <w:rFonts w:hint="eastAsia" w:ascii="仿宋" w:hAnsi="仿宋" w:eastAsia="仿宋" w:cs="仿宋"/>
          <w:color w:val="auto"/>
          <w:sz w:val="24"/>
          <w:szCs w:val="24"/>
          <w:highlight w:val="none"/>
        </w:rPr>
        <w:t>保持良好的生活、工作环境和现场秩序，爱护甲方的财产，维护甲方良好的形象。对有违法乱纪或违反本物业各项规定的乙方员工，乙方须予以严肃处理，影响恶劣的应在2天之内更换相关人员。</w:t>
      </w:r>
    </w:p>
    <w:p w14:paraId="741326C6">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（四）</w:t>
      </w:r>
      <w:r>
        <w:rPr>
          <w:rFonts w:hint="eastAsia" w:ascii="仿宋" w:hAnsi="仿宋" w:eastAsia="仿宋" w:cs="仿宋"/>
          <w:color w:val="auto"/>
          <w:sz w:val="24"/>
          <w:szCs w:val="24"/>
          <w:highlight w:val="none"/>
        </w:rPr>
        <w:t>按照甲方要求，乙方安排素质良好、服务热情、身体健康的人员（包括常驻现场负责人）进驻现场工作。指定现场负责人员，具体安排及全面督导日常</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服务工作，巡检（分自检和参与甲方联检）现场</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卫生情况，及时处理甲方投诉，并保持与甲方相关负责人的日常联系，以便于工作配合与协调。</w:t>
      </w:r>
    </w:p>
    <w:p w14:paraId="1D301379">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1.乙方入职人员需由甲方管理处书面同意后方可安排至项目现场工作。</w:t>
      </w:r>
    </w:p>
    <w:p w14:paraId="379D3066">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工作人员进行服务时，需到项目管理处签到，签到本需现场项目管理处负责人签字确认，否则甲方视乙方未签到的天数为未进行服务的天数，甲方有权根据合同金额扣除乙方当月人员未服务天数对应的金额。</w:t>
      </w:r>
    </w:p>
    <w:p w14:paraId="0E66F19E">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3.以月度为考核期，每月现场</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人员以甲方指定部门（项目管理处）当月核查人数为准，现场乙方服务人员不得少于合同规定人数，如甲方指定部门（项目管理处）核查乙方现场服务人员少于合同约定人数，则扣除所少人数现场缺勤天数对应的金额。</w:t>
      </w:r>
      <w:r>
        <w:rPr>
          <w:rFonts w:hint="eastAsia" w:ascii="仿宋" w:hAnsi="仿宋" w:eastAsia="仿宋" w:cs="仿宋"/>
          <w:color w:val="auto"/>
          <w:sz w:val="24"/>
          <w:szCs w:val="24"/>
          <w:highlight w:val="none"/>
          <w:lang w:val="en-US" w:eastAsia="zh-CN"/>
        </w:rPr>
        <w:t>若</w:t>
      </w:r>
      <w:r>
        <w:rPr>
          <w:rFonts w:hint="eastAsia" w:ascii="仿宋" w:hAnsi="仿宋" w:eastAsia="仿宋" w:cs="仿宋"/>
          <w:color w:val="auto"/>
          <w:sz w:val="24"/>
          <w:szCs w:val="24"/>
          <w:highlight w:val="none"/>
        </w:rPr>
        <w:t>缺勤</w:t>
      </w:r>
      <w:r>
        <w:rPr>
          <w:rFonts w:hint="eastAsia" w:ascii="仿宋" w:hAnsi="仿宋" w:eastAsia="仿宋" w:cs="仿宋"/>
          <w:color w:val="auto"/>
          <w:sz w:val="24"/>
          <w:szCs w:val="24"/>
          <w:highlight w:val="none"/>
          <w:lang w:val="en-US" w:eastAsia="zh-CN"/>
        </w:rPr>
        <w:t>人员数量超过项目需求总人数的10%且影响园区环境卫生，超出需求总人数10%部分的按双倍扣除当月服务费。</w:t>
      </w:r>
      <w:r>
        <w:rPr>
          <w:rFonts w:hint="eastAsia" w:ascii="仿宋" w:hAnsi="仿宋" w:eastAsia="仿宋" w:cs="仿宋"/>
          <w:color w:val="auto"/>
          <w:sz w:val="24"/>
          <w:szCs w:val="24"/>
          <w:highlight w:val="none"/>
        </w:rPr>
        <w:t>甲方每月将此情况写入至《</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工作评估报告》中并由乙方现场主管人员签字确认，如乙方现场主管拒签，则以项目管理处保存现场核查的记录、图片为依据。</w:t>
      </w:r>
      <w:r>
        <w:rPr>
          <w:rFonts w:hint="eastAsia" w:ascii="仿宋" w:hAnsi="仿宋" w:eastAsia="仿宋" w:cs="仿宋"/>
          <w:color w:val="auto"/>
          <w:sz w:val="24"/>
          <w:szCs w:val="24"/>
          <w:highlight w:val="none"/>
          <w:lang w:val="en-US" w:eastAsia="zh-CN"/>
        </w:rPr>
        <w:t>评估报告一般投诉的，纳入考核一条，扣款100元；评估报告重要投诉的，纳入考核一条，扣款300元；评估报告重大投诉的，纳入考核一条，扣款500元。</w:t>
      </w:r>
    </w:p>
    <w:p w14:paraId="580B3487">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4.项目负责人（环境主管）</w:t>
      </w:r>
      <w:r>
        <w:rPr>
          <w:rFonts w:hint="eastAsia" w:ascii="仿宋" w:hAnsi="仿宋" w:eastAsia="仿宋" w:cs="仿宋"/>
          <w:color w:val="auto"/>
          <w:sz w:val="24"/>
          <w:highlight w:val="none"/>
          <w:lang w:val="en-US" w:eastAsia="zh-CN"/>
        </w:rPr>
        <w:t>1名，</w:t>
      </w:r>
      <w:r>
        <w:rPr>
          <w:rFonts w:hint="eastAsia" w:ascii="仿宋" w:hAnsi="仿宋" w:eastAsia="仿宋" w:cs="仿宋"/>
          <w:color w:val="auto"/>
          <w:sz w:val="24"/>
          <w:highlight w:val="none"/>
        </w:rPr>
        <w:t>年龄48岁周岁及以下（含48</w:t>
      </w:r>
      <w:r>
        <w:rPr>
          <w:rFonts w:hint="eastAsia" w:ascii="仿宋" w:hAnsi="仿宋" w:eastAsia="仿宋" w:cs="仿宋"/>
          <w:color w:val="auto"/>
          <w:sz w:val="24"/>
          <w:highlight w:val="none"/>
          <w:lang w:val="en-US" w:eastAsia="zh-CN"/>
        </w:rPr>
        <w:t>周岁</w:t>
      </w:r>
      <w:r>
        <w:rPr>
          <w:rFonts w:hint="eastAsia" w:ascii="仿宋" w:hAnsi="仿宋" w:eastAsia="仿宋" w:cs="仿宋"/>
          <w:color w:val="auto"/>
          <w:sz w:val="24"/>
          <w:highlight w:val="none"/>
        </w:rPr>
        <w:t>）；大专及以上学历；身体健康，形象好；相关工作经验3年以上，其中1年以上同岗位经验；并持有专业上岗证书。</w:t>
      </w:r>
    </w:p>
    <w:p w14:paraId="4D6769CF">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其他人员年龄</w:t>
      </w:r>
      <w:r>
        <w:rPr>
          <w:rFonts w:hint="eastAsia" w:ascii="仿宋" w:hAnsi="仿宋" w:eastAsia="仿宋" w:cs="仿宋"/>
          <w:color w:val="auto"/>
          <w:sz w:val="24"/>
          <w:highlight w:val="none"/>
        </w:rPr>
        <w:t>要求</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岁以下，初中以上文化，五官端正，具有1年以上相关工作经验。超龄人员乙方应在10个工作日之内更换为合格人员，否则按超龄人员每人每月100元扣除当月服务费。</w:t>
      </w:r>
      <w:r>
        <w:rPr>
          <w:rFonts w:hint="eastAsia" w:ascii="仿宋" w:hAnsi="仿宋" w:eastAsia="仿宋" w:cs="仿宋"/>
          <w:color w:val="auto"/>
          <w:sz w:val="24"/>
          <w:szCs w:val="24"/>
          <w:highlight w:val="none"/>
          <w:lang w:val="en-US" w:eastAsia="zh-CN"/>
        </w:rPr>
        <w:t>超龄人数不得超过项目总人数二分之一，超出总人数二分之一的部分，每超过一人扣款500元。</w:t>
      </w:r>
    </w:p>
    <w:p w14:paraId="6DB5F8CA">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6.乙方安排到甲方的</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服务人员如有变动，需在变更前</w:t>
      </w:r>
      <w:r>
        <w:rPr>
          <w:rFonts w:hint="eastAsia" w:ascii="仿宋" w:hAnsi="仿宋" w:eastAsia="仿宋" w:cs="仿宋"/>
          <w:color w:val="auto"/>
          <w:sz w:val="24"/>
          <w:szCs w:val="24"/>
          <w:highlight w:val="none"/>
          <w:u w:val="none"/>
        </w:rPr>
        <w:t>三</w:t>
      </w:r>
      <w:r>
        <w:rPr>
          <w:rFonts w:hint="eastAsia" w:ascii="仿宋" w:hAnsi="仿宋" w:eastAsia="仿宋" w:cs="仿宋"/>
          <w:color w:val="auto"/>
          <w:sz w:val="24"/>
          <w:szCs w:val="24"/>
          <w:highlight w:val="none"/>
        </w:rPr>
        <w:t>日向甲方报备。</w:t>
      </w:r>
    </w:p>
    <w:p w14:paraId="1B9400CE">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（五）乙方须提供相关</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工作计划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每月大扫除至少一次，如未做到，扣款500元，每月大堂地面护理及每季度抛光打蜡，每少一次，扣款1000元</w:t>
      </w:r>
      <w:r>
        <w:rPr>
          <w:rFonts w:hint="eastAsia" w:ascii="仿宋" w:hAnsi="仿宋" w:eastAsia="仿宋" w:cs="仿宋"/>
          <w:color w:val="auto"/>
          <w:sz w:val="24"/>
          <w:szCs w:val="24"/>
          <w:highlight w:val="none"/>
        </w:rPr>
        <w:t>。每月底（25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31日）需提供本月《工作总结》和下月《工作计划》，且《工作总结》和《工作计划》需现场项目管理处负责人签字确认方可生效，如乙方未按时提交，则每少交一项资料扣除乙方当月服务费50元。甲方有权对工作计划等提出合理化建议，乙方应当接受并执行。乙方制定的日常</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作业计划如有修正或调整必须及时通知甲方，得到甲方同意，方可实施。</w:t>
      </w:r>
    </w:p>
    <w:p w14:paraId="7D4B6B37">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（六）</w:t>
      </w:r>
      <w:r>
        <w:rPr>
          <w:rFonts w:hint="eastAsia" w:ascii="仿宋" w:hAnsi="仿宋" w:eastAsia="仿宋" w:cs="仿宋"/>
          <w:color w:val="auto"/>
          <w:sz w:val="24"/>
          <w:szCs w:val="24"/>
          <w:highlight w:val="none"/>
        </w:rPr>
        <w:t>乙方应根据现场人员变动及时更新现场《岗位分工表》，且需现场项目管理处负责人签字确认方可生效，如甲方抽查时发现现场人员服务分工与乙方所提交的《岗位分工表》不一致，每发现一次，则甲方有权扣除乙方当月服务费100元。</w:t>
      </w:r>
    </w:p>
    <w:p w14:paraId="45AEDBA0">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szCs w:val="24"/>
          <w:highlight w:val="none"/>
        </w:rPr>
        <w:t>乙方人员不得在工作时间内捡拾废品、物品、报纸等</w:t>
      </w:r>
      <w:r>
        <w:rPr>
          <w:rFonts w:hint="eastAsia" w:ascii="仿宋" w:hAnsi="仿宋" w:eastAsia="仿宋" w:cs="仿宋"/>
          <w:color w:val="auto"/>
          <w:sz w:val="24"/>
          <w:szCs w:val="24"/>
          <w:highlight w:val="none"/>
          <w:lang w:eastAsia="zh-CN"/>
        </w:rPr>
        <w:t>，工作</w:t>
      </w:r>
      <w:r>
        <w:rPr>
          <w:rFonts w:hint="eastAsia" w:ascii="仿宋" w:hAnsi="仿宋" w:eastAsia="仿宋" w:cs="仿宋"/>
          <w:color w:val="auto"/>
          <w:sz w:val="24"/>
          <w:szCs w:val="24"/>
          <w:highlight w:val="none"/>
          <w:lang w:val="en-US" w:eastAsia="zh-CN"/>
        </w:rPr>
        <w:t>时间内玩手机、偷懒的，每发现一次，扣款50元</w:t>
      </w:r>
      <w:r>
        <w:rPr>
          <w:rFonts w:hint="eastAsia" w:ascii="仿宋" w:hAnsi="仿宋" w:eastAsia="仿宋" w:cs="仿宋"/>
          <w:color w:val="auto"/>
          <w:sz w:val="24"/>
          <w:szCs w:val="24"/>
          <w:highlight w:val="none"/>
        </w:rPr>
        <w:t>。</w:t>
      </w:r>
    </w:p>
    <w:p w14:paraId="44EF9F9F">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（八）</w:t>
      </w:r>
      <w:r>
        <w:rPr>
          <w:rFonts w:hint="eastAsia" w:ascii="仿宋" w:hAnsi="仿宋" w:eastAsia="仿宋" w:cs="仿宋"/>
          <w:color w:val="auto"/>
          <w:sz w:val="24"/>
          <w:szCs w:val="24"/>
          <w:highlight w:val="none"/>
        </w:rPr>
        <w:t>乙方有义务定期（每季度至少一次）开展员工消防安全知识、专业</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知识、服务意识培训，并将培训记录和图片报送到项目管理处存档备案。</w:t>
      </w:r>
    </w:p>
    <w:p w14:paraId="71997D11">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（九）</w:t>
      </w:r>
      <w:r>
        <w:rPr>
          <w:rFonts w:hint="eastAsia" w:ascii="仿宋" w:hAnsi="仿宋" w:eastAsia="仿宋" w:cs="仿宋"/>
          <w:color w:val="auto"/>
          <w:sz w:val="24"/>
          <w:szCs w:val="24"/>
          <w:highlight w:val="none"/>
        </w:rPr>
        <w:t>每月至少一次指派高层管理人员到项目现场检查承包范围内的</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服务情况，并将检查记录的复印件留存项目管理处，积极征询甲方相关负责人意见、加强沟通，不断提高服务品质。</w:t>
      </w:r>
    </w:p>
    <w:p w14:paraId="781DBE9D">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（十）</w:t>
      </w:r>
      <w:r>
        <w:rPr>
          <w:rFonts w:hint="eastAsia" w:ascii="仿宋" w:hAnsi="仿宋" w:eastAsia="仿宋" w:cs="仿宋"/>
          <w:color w:val="auto"/>
          <w:sz w:val="24"/>
          <w:szCs w:val="24"/>
          <w:highlight w:val="none"/>
        </w:rPr>
        <w:t>乙方须与其员工在进入项目现场开始工作之前签订书面劳动合同并为所有员工依法购买工伤保险，并针对每位安排至甲方项目服务的人员购买雇主责任险。乙方负责承担乙方员工的保险、工资、劳保福利、物料、税费、加班和管理成本分摊等其它一切费用。由乙方原因产生的劳资纠纷、侵权纠纷及其他纠纷影响了甲方的声誉和形象，乙方应及时消除、恢复，并独立承担相应的法律风险和相关责任，如由乙方、乙方员工或乙方与其员工的劳资纠纷、侵权纠纷及其他纠纷等原因导致甲方损失，须由乙方全额赔偿甲方损失，甲方不承担任何责任，甲方被连带索赔的，由乙方承担全部赔偿责任，与甲方无关。</w:t>
      </w:r>
    </w:p>
    <w:p w14:paraId="7F7E6896">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（十一）</w:t>
      </w:r>
      <w:r>
        <w:rPr>
          <w:rFonts w:hint="eastAsia" w:ascii="仿宋" w:hAnsi="仿宋" w:eastAsia="仿宋" w:cs="仿宋"/>
          <w:color w:val="auto"/>
          <w:sz w:val="24"/>
          <w:szCs w:val="24"/>
          <w:highlight w:val="none"/>
        </w:rPr>
        <w:t>乙方自行负责承包业务所需的全部设备、工具、</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材料</w:t>
      </w:r>
      <w:r>
        <w:rPr>
          <w:rFonts w:hint="eastAsia" w:ascii="仿宋" w:hAnsi="仿宋" w:eastAsia="仿宋" w:cs="仿宋"/>
          <w:color w:val="auto"/>
          <w:sz w:val="24"/>
          <w:szCs w:val="24"/>
          <w:highlight w:val="none"/>
          <w:lang w:eastAsia="zh-CN"/>
        </w:rPr>
        <w:t>及清洁</w:t>
      </w:r>
      <w:r>
        <w:rPr>
          <w:rFonts w:hint="eastAsia" w:ascii="仿宋" w:hAnsi="仿宋" w:eastAsia="仿宋" w:cs="仿宋"/>
          <w:color w:val="auto"/>
          <w:sz w:val="24"/>
          <w:szCs w:val="24"/>
          <w:highlight w:val="none"/>
        </w:rPr>
        <w:t>保养技术，按合同约定的</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范围和工作要求，高质量完成各项工作，并严格执行有关安全作业规定。在进行</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作业时，承诺使用符合国家规定的</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材料及药品。自觉维护甲方辖区内一切公共设施及物品，损坏物品照价赔偿。</w:t>
      </w:r>
    </w:p>
    <w:p w14:paraId="58F5515A">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（十二）</w:t>
      </w:r>
      <w:r>
        <w:rPr>
          <w:rFonts w:hint="eastAsia" w:ascii="仿宋" w:hAnsi="仿宋" w:eastAsia="仿宋" w:cs="仿宋"/>
          <w:color w:val="auto"/>
          <w:sz w:val="24"/>
          <w:szCs w:val="24"/>
          <w:highlight w:val="none"/>
        </w:rPr>
        <w:t>乙方工作人员在进入放置或张贴有甲方规章制度、信息资料等文件的办公场所、培训室等房间进行室内</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时，不得翻阅、查看上述资料，应严守秘密，不得向外传播。乙方在进入办公场所时，有发现现场存在的工程和安全等方面问题的义务，应及时向甲方汇报，与管理处其他部门形成联动、协作服务。</w:t>
      </w:r>
    </w:p>
    <w:p w14:paraId="7582520F">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（十三）</w:t>
      </w:r>
      <w:r>
        <w:rPr>
          <w:rFonts w:hint="eastAsia" w:ascii="仿宋" w:hAnsi="仿宋" w:eastAsia="仿宋" w:cs="仿宋"/>
          <w:color w:val="auto"/>
          <w:sz w:val="24"/>
          <w:szCs w:val="24"/>
          <w:highlight w:val="none"/>
        </w:rPr>
        <w:t>乙方安排至现场的</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人员，在乙方主管因特殊原因不在场时，应服从乙方主管临时指定现场</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人员的监管，同时应接受项目管理处工作人员的监督和指导，并接受甲方按双方确定的</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工作检验标准对其工作进行检查和督导。</w:t>
      </w:r>
    </w:p>
    <w:p w14:paraId="4AA7A31E">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（十四）</w:t>
      </w:r>
      <w:r>
        <w:rPr>
          <w:rFonts w:hint="eastAsia" w:ascii="仿宋" w:hAnsi="仿宋" w:eastAsia="仿宋" w:cs="仿宋"/>
          <w:color w:val="auto"/>
          <w:sz w:val="24"/>
          <w:szCs w:val="24"/>
          <w:highlight w:val="none"/>
        </w:rPr>
        <w:t>乙方积极听取甲方对现场</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工作的意见，认真配合并完成其他特殊</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事项。如遇台风、水浸等意外情况，乙方应当增派值班人员夜间值守，有义务在甲方的统一指挥下参加抢险工作。</w:t>
      </w:r>
    </w:p>
    <w:p w14:paraId="1596D020">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（十五）</w:t>
      </w:r>
      <w:r>
        <w:rPr>
          <w:rFonts w:hint="eastAsia" w:ascii="仿宋" w:hAnsi="仿宋" w:eastAsia="仿宋" w:cs="仿宋"/>
          <w:color w:val="auto"/>
          <w:sz w:val="24"/>
          <w:szCs w:val="24"/>
          <w:highlight w:val="none"/>
        </w:rPr>
        <w:t>如遇有关单位、部门或重要领导的现场考察，以及创奖创优的现场考评，乙方必须协调专门的品质主管，在现场督导工作，确保现场</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服务结果符合要求。如遇重大节日或活动，甲方须提前通知乙方，乙方在要求的时间内做好相关准备。</w:t>
      </w:r>
      <w:r>
        <w:rPr>
          <w:rFonts w:hint="eastAsia" w:ascii="仿宋" w:hAnsi="仿宋" w:eastAsia="仿宋" w:cs="仿宋"/>
          <w:color w:val="auto"/>
          <w:sz w:val="24"/>
          <w:szCs w:val="24"/>
          <w:highlight w:val="none"/>
          <w:lang w:val="en-US" w:eastAsia="zh-CN"/>
        </w:rPr>
        <w:t>如乙方不积极配合项目接待工作的，每发生一次，扣款200元.</w:t>
      </w:r>
    </w:p>
    <w:p w14:paraId="5B4412EB">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（十六）</w:t>
      </w:r>
      <w:r>
        <w:rPr>
          <w:rFonts w:hint="eastAsia" w:ascii="仿宋" w:hAnsi="仿宋" w:eastAsia="仿宋" w:cs="仿宋"/>
          <w:color w:val="auto"/>
          <w:sz w:val="24"/>
          <w:szCs w:val="24"/>
          <w:highlight w:val="none"/>
        </w:rPr>
        <w:t>乙方现场工作人员有责任向甲方反映公共设施、设备的完好状况，在甲方管辖范围内发现安全隐患及可疑人员时，应及时通知甲方工作人员，配合甲方做好安全防范工作。乙方现场工作人员不得向甲方辖区人员索取小费及财物，因此造成的投诉或负面影响由乙方负责，甲方将视情节轻重</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相应的处罚。</w:t>
      </w:r>
    </w:p>
    <w:p w14:paraId="03C8C97B">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（十七）</w:t>
      </w:r>
      <w:r>
        <w:rPr>
          <w:rFonts w:hint="eastAsia" w:ascii="仿宋" w:hAnsi="仿宋" w:eastAsia="仿宋" w:cs="仿宋"/>
          <w:color w:val="auto"/>
          <w:sz w:val="24"/>
          <w:szCs w:val="24"/>
          <w:highlight w:val="none"/>
        </w:rPr>
        <w:t>乙方专项业务操作规程变动须在调整的一周内发函知会甲方。</w:t>
      </w:r>
    </w:p>
    <w:p w14:paraId="3FEF0134">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（十八）</w:t>
      </w:r>
      <w:r>
        <w:rPr>
          <w:rFonts w:hint="eastAsia" w:ascii="仿宋" w:hAnsi="仿宋" w:eastAsia="仿宋" w:cs="仿宋"/>
          <w:color w:val="auto"/>
          <w:sz w:val="24"/>
          <w:szCs w:val="24"/>
          <w:highlight w:val="none"/>
        </w:rPr>
        <w:t>乙方负责按甲方要求的服务质量标准实施</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服务，并配合甲方进行现场检查与评估，根据检查发现的不合格项须按甲方限期内予以整改。</w:t>
      </w:r>
      <w:r>
        <w:rPr>
          <w:rFonts w:hint="eastAsia" w:ascii="仿宋" w:hAnsi="仿宋" w:eastAsia="仿宋" w:cs="仿宋"/>
          <w:color w:val="auto"/>
          <w:sz w:val="24"/>
          <w:szCs w:val="24"/>
          <w:highlight w:val="none"/>
          <w:lang w:val="en-US" w:eastAsia="zh-CN"/>
        </w:rPr>
        <w:t>洗手间打扫频率未达到服务标准要求，每发现一次，扣款50元。</w:t>
      </w:r>
      <w:r>
        <w:rPr>
          <w:rFonts w:hint="eastAsia" w:ascii="仿宋" w:hAnsi="仿宋" w:eastAsia="仿宋" w:cs="仿宋"/>
          <w:color w:val="auto"/>
          <w:sz w:val="24"/>
          <w:szCs w:val="24"/>
          <w:highlight w:val="none"/>
        </w:rPr>
        <w:t>如因整改工作需要增加人员或物料等，其费用全部由乙方承担。</w:t>
      </w:r>
    </w:p>
    <w:p w14:paraId="56DA443D">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（十九）</w:t>
      </w:r>
      <w:r>
        <w:rPr>
          <w:rFonts w:hint="eastAsia" w:ascii="仿宋" w:hAnsi="仿宋" w:eastAsia="仿宋" w:cs="仿宋"/>
          <w:color w:val="auto"/>
          <w:sz w:val="24"/>
          <w:szCs w:val="24"/>
          <w:highlight w:val="none"/>
        </w:rPr>
        <w:t>乙方现场所有工作的记录，需由甲方项目管理处存档保管。</w:t>
      </w:r>
    </w:p>
    <w:p w14:paraId="6D2433A6">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（二十）</w:t>
      </w:r>
      <w:r>
        <w:rPr>
          <w:rFonts w:hint="eastAsia" w:ascii="仿宋" w:hAnsi="仿宋" w:eastAsia="仿宋" w:cs="仿宋"/>
          <w:color w:val="auto"/>
          <w:sz w:val="24"/>
          <w:szCs w:val="24"/>
          <w:highlight w:val="none"/>
        </w:rPr>
        <w:t>未经甲方许可，乙方及其员工不得擅自为甲方管理的物业使用人员提供家政服务；不得介绍他人为甲方管理的物业使用人员提供家政服务。</w:t>
      </w:r>
    </w:p>
    <w:p w14:paraId="76675A85">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（二十一）</w:t>
      </w:r>
      <w:r>
        <w:rPr>
          <w:rFonts w:hint="eastAsia" w:ascii="仿宋" w:hAnsi="仿宋" w:eastAsia="仿宋" w:cs="仿宋"/>
          <w:color w:val="auto"/>
          <w:sz w:val="24"/>
          <w:szCs w:val="24"/>
          <w:highlight w:val="none"/>
        </w:rPr>
        <w:t>如甲方开展</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运营模式改革（如上</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设备等），乙方应无条件配合，否则甲方可单方面终止合同，甲方不承担任何责任。</w:t>
      </w:r>
    </w:p>
    <w:p w14:paraId="008B2326">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（二十二）</w:t>
      </w:r>
      <w:r>
        <w:rPr>
          <w:rFonts w:hint="eastAsia" w:ascii="仿宋" w:hAnsi="仿宋" w:eastAsia="仿宋" w:cs="仿宋"/>
          <w:color w:val="auto"/>
          <w:sz w:val="24"/>
          <w:szCs w:val="24"/>
          <w:highlight w:val="none"/>
        </w:rPr>
        <w:t>对下水道、厕所管道堵塞时要及时的进行疏通，在疏通不了的情况下，及时将情况向甲方反映，并协助甲方疏通和清理现场。乙方需要自行配置相应的疏通工具（手动、电动疏通机）。</w:t>
      </w:r>
    </w:p>
    <w:p w14:paraId="645038EE">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（二十三）</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配电房、管道井等设备房的卫生时，应在甲方工程人员的指导下完成，只负责地面</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，配电柜、配电箱等应由工程人员完成</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工不得擅自操作</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配电带电设备处，避免违规操作。</w:t>
      </w:r>
    </w:p>
    <w:p w14:paraId="530BD346">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（二十四）</w:t>
      </w:r>
      <w:r>
        <w:rPr>
          <w:rFonts w:hint="eastAsia" w:ascii="仿宋" w:hAnsi="仿宋" w:eastAsia="仿宋" w:cs="仿宋"/>
          <w:color w:val="auto"/>
          <w:sz w:val="24"/>
          <w:szCs w:val="24"/>
          <w:highlight w:val="none"/>
        </w:rPr>
        <w:t>乙方须按时发放其员工工资，不得拖欠；如因乙方拖欠员工工资导影响本合同履行或甲方正常工作或甲方名誉形象的，甲方有权解除合同并要求乙方承担本合同价款总额20%的违约金，同时乙方应赔偿由此给甲方带来的损失。</w:t>
      </w:r>
    </w:p>
    <w:p w14:paraId="18F5512D">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（二十五）</w:t>
      </w:r>
      <w:r>
        <w:rPr>
          <w:rFonts w:hint="eastAsia" w:ascii="仿宋" w:hAnsi="仿宋" w:eastAsia="仿宋" w:cs="仿宋"/>
          <w:color w:val="auto"/>
          <w:sz w:val="24"/>
          <w:szCs w:val="24"/>
          <w:highlight w:val="none"/>
        </w:rPr>
        <w:t>乙方须规范其员工言行，不得出现顶撞甲方客户，以及越过甲方，直接向甲方客户投诉、抱怨甲方或乙方的行为；如发生此类情况一次，则扣罚当月服务费1000元，如发生此类情况两次，甲方有权解除合同，并不承担任何违约责任，由此给甲方带来的损失，由乙方负责赔偿。</w:t>
      </w:r>
    </w:p>
    <w:p w14:paraId="03AC41F9">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（二十六）本次垃圾清运服务由乙方提供垃圾桶，乙方需自备符合政府要求的660L灰色环保垃圾桶。当现有垃圾桶无法满足实际需求时，乙方应及时告知甲方，</w:t>
      </w:r>
    </w:p>
    <w:p w14:paraId="03787B2F">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并按需求购买符合要求的</w:t>
      </w:r>
      <w:r>
        <w:rPr>
          <w:rFonts w:hint="eastAsia" w:ascii="仿宋" w:hAnsi="仿宋" w:eastAsia="仿宋" w:cs="仿宋"/>
          <w:color w:val="auto"/>
          <w:sz w:val="24"/>
          <w:szCs w:val="24"/>
          <w:highlight w:val="none"/>
          <w:lang w:eastAsia="zh-CN"/>
        </w:rPr>
        <w:t>垃圾桶</w:t>
      </w:r>
      <w:r>
        <w:rPr>
          <w:rFonts w:hint="eastAsia" w:ascii="仿宋" w:hAnsi="仿宋" w:eastAsia="仿宋" w:cs="仿宋"/>
          <w:color w:val="auto"/>
          <w:sz w:val="24"/>
          <w:szCs w:val="24"/>
          <w:highlight w:val="none"/>
        </w:rPr>
        <w:t>，若因垃圾桶数量不足导致乙方无法完成垃圾清运工作的，视为乙方违约，造成的后果由乙方自行承担。</w:t>
      </w:r>
    </w:p>
    <w:p w14:paraId="037F8A2D">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（二十七）热情服务，按时清运，清运垃圾时所需的工具及产生的垃圾费由乙方承担。</w:t>
      </w:r>
    </w:p>
    <w:p w14:paraId="1478EFF2">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（二十八）乙方应保证垃圾桶的质量完好无损，如因垃圾桶破损或其他原因导致乙方无法清运的，甲</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对此不承担任何责任。</w:t>
      </w:r>
    </w:p>
    <w:p w14:paraId="796E670C">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（二十九）如甲方有领导视察等特殊情况，甲方根据实际情况，至少提前一天</w:t>
      </w:r>
    </w:p>
    <w:p w14:paraId="7D58B48E">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通知乙方，乙方应在甲方确定的时间内清运完所有坛圾。</w:t>
      </w:r>
    </w:p>
    <w:p w14:paraId="6BED063F">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（三十）乙方应将生活垃圾清运外包给有资质的企业或政府指定的单位进行清运，费用由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承担。垃圾清运工作每天（包括节假日在内）都要照常进行。若因清运公司等原因造成不能及时清运的，乙方应采取其他应急措施，不得影响甲方的正常生产、生活和管理秩序。</w:t>
      </w:r>
    </w:p>
    <w:p w14:paraId="537C7F19">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（三十一）乙方负责缴交垃圾处理厂（场）的垃圾处理费及其它相关费用。</w:t>
      </w:r>
    </w:p>
    <w:p w14:paraId="3EA78A5A">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（三十二）乙方应听从甲方管理人员的安排，若乙方未及时清运本合同约定的清运</w:t>
      </w:r>
      <w:r>
        <w:rPr>
          <w:rFonts w:hint="eastAsia" w:ascii="仿宋" w:hAnsi="仿宋" w:eastAsia="仿宋" w:cs="仿宋"/>
          <w:color w:val="auto"/>
          <w:sz w:val="24"/>
          <w:szCs w:val="24"/>
          <w:highlight w:val="none"/>
          <w:lang w:val="en-US" w:eastAsia="zh-CN"/>
        </w:rPr>
        <w:t>范围</w:t>
      </w:r>
      <w:r>
        <w:rPr>
          <w:rFonts w:hint="eastAsia" w:ascii="仿宋" w:hAnsi="仿宋" w:eastAsia="仿宋" w:cs="仿宋"/>
          <w:color w:val="auto"/>
          <w:sz w:val="24"/>
          <w:szCs w:val="24"/>
          <w:highlight w:val="none"/>
        </w:rPr>
        <w:t>内的垃圾，导致业主投诉或造成其他不良影响，甲方有权要求乙方承担责任及赔偿损失。</w:t>
      </w:r>
    </w:p>
    <w:p w14:paraId="3B0E4DB7">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（三十三）上级卫生部门在检查中如发现有不合格的现象而采取罚款的手段实行督促时，乙方应承担属本职范围内的全部责任。</w:t>
      </w:r>
    </w:p>
    <w:p w14:paraId="54F87A79">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（三十四）乙方进入小区清运垃圾时应注意安全，对于在甲方管辖区内工作的乙方人员不论在任何地方任何情况下发生的</w:t>
      </w:r>
      <w:r>
        <w:rPr>
          <w:rFonts w:hint="eastAsia" w:ascii="仿宋" w:hAnsi="仿宋" w:eastAsia="仿宋" w:cs="仿宋"/>
          <w:color w:val="auto"/>
          <w:sz w:val="24"/>
          <w:szCs w:val="24"/>
          <w:highlight w:val="none"/>
          <w:lang w:eastAsia="zh-CN"/>
        </w:rPr>
        <w:t>交通事故</w:t>
      </w:r>
      <w:r>
        <w:rPr>
          <w:rFonts w:hint="eastAsia" w:ascii="仿宋" w:hAnsi="仿宋" w:eastAsia="仿宋" w:cs="仿宋"/>
          <w:color w:val="auto"/>
          <w:sz w:val="24"/>
          <w:szCs w:val="24"/>
          <w:highlight w:val="none"/>
        </w:rPr>
        <w:t>、物品遗失、人身意外、伤及第三方（财产或人员），由乙方承担全部责任，甲方不承担任何责任。</w:t>
      </w:r>
    </w:p>
    <w:p w14:paraId="05D74FFA">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（三十五）严格按照《深圳市环境卫生质量标准》和《深圳市</w:t>
      </w:r>
      <w:r>
        <w:rPr>
          <w:rFonts w:hint="eastAsia" w:ascii="仿宋" w:hAnsi="仿宋" w:eastAsia="仿宋" w:cs="仿宋"/>
          <w:color w:val="auto"/>
          <w:sz w:val="24"/>
          <w:szCs w:val="24"/>
          <w:highlight w:val="none"/>
          <w:lang w:eastAsia="zh-CN"/>
        </w:rPr>
        <w:t>清洁</w:t>
      </w:r>
      <w:r>
        <w:rPr>
          <w:rFonts w:hint="eastAsia" w:ascii="仿宋" w:hAnsi="仿宋" w:eastAsia="仿宋" w:cs="仿宋"/>
          <w:color w:val="auto"/>
          <w:sz w:val="24"/>
          <w:szCs w:val="24"/>
          <w:highlight w:val="none"/>
        </w:rPr>
        <w:t>环卫作业规范》的规定，负责对承包范围内的垃圾进行清运。</w:t>
      </w:r>
    </w:p>
    <w:p w14:paraId="03825385">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（三十六）乙方的垃圾清运行为应符合深圳市相关法规的规定及环保政策，如有违法行为导致行政处罚的，乙方</w:t>
      </w:r>
      <w:r>
        <w:rPr>
          <w:rFonts w:hint="eastAsia" w:ascii="仿宋" w:hAnsi="仿宋" w:eastAsia="仿宋" w:cs="仿宋"/>
          <w:color w:val="auto"/>
          <w:sz w:val="24"/>
          <w:szCs w:val="24"/>
          <w:highlight w:val="none"/>
          <w:lang w:val="en-US" w:eastAsia="zh-CN"/>
        </w:rPr>
        <w:t>承担</w:t>
      </w:r>
      <w:r>
        <w:rPr>
          <w:rFonts w:hint="eastAsia" w:ascii="仿宋" w:hAnsi="仿宋" w:eastAsia="仿宋" w:cs="仿宋"/>
          <w:color w:val="auto"/>
          <w:sz w:val="24"/>
          <w:szCs w:val="24"/>
          <w:highlight w:val="none"/>
        </w:rPr>
        <w:t>一切法律及经济责任，同时甲方有权单方面解除合同。</w:t>
      </w:r>
    </w:p>
    <w:p w14:paraId="73120981">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（三十七）乙方在垃圾清运服务过程中应文明处理，保持垃圾桶周围干净整洁，掉落、溢出的垃圾及时清理。</w:t>
      </w:r>
    </w:p>
    <w:p w14:paraId="030EF0E2">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（三十八）乙方在垃圾清运服务过程中造成的乙方人员、甲方及任何第三方人身及财产损害，由乙方负责处理并承担相应的赔偿责任，财产按现行市场价予以赔偿。</w:t>
      </w:r>
    </w:p>
    <w:p w14:paraId="34082331">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（三十九）乙方清运过程中保证做到清运及时、文明操作，每日清运一次，因特殊情况，当日无法收运时，应在次日清运</w:t>
      </w:r>
      <w:r>
        <w:rPr>
          <w:rFonts w:hint="eastAsia" w:ascii="仿宋" w:hAnsi="仿宋" w:eastAsia="仿宋" w:cs="仿宋"/>
          <w:color w:val="auto"/>
          <w:sz w:val="24"/>
          <w:szCs w:val="24"/>
          <w:highlight w:val="none"/>
          <w:lang w:val="en-US" w:eastAsia="zh-CN"/>
        </w:rPr>
        <w:t>完毕</w:t>
      </w:r>
      <w:r>
        <w:rPr>
          <w:rFonts w:hint="eastAsia" w:ascii="仿宋" w:hAnsi="仿宋" w:eastAsia="仿宋" w:cs="仿宋"/>
          <w:color w:val="auto"/>
          <w:sz w:val="24"/>
          <w:szCs w:val="24"/>
          <w:highlight w:val="none"/>
        </w:rPr>
        <w:t>，如果次日未清运完毕，乙方须告知甲方并征得甲方同意，原则上做到垃圾清运不过夜，如遇不可抗力或深圳垃圾围城等特殊因素时除外。</w:t>
      </w:r>
    </w:p>
    <w:p w14:paraId="3BB3190F">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（四十）如甲方存在建筑垃圾、渣土、动物尸体，医疗垃圾、废旧家具、工业垃圾等和有害有毒垃圾，乙方应尽量协助甲方进行清运处理，但如数量巨大超出工作量，</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双方另行协商，在处理过程中，乙方不得以此为由拒绝正常的清运工作。</w:t>
      </w:r>
    </w:p>
    <w:p w14:paraId="58557782">
      <w:pPr>
        <w:keepNext w:val="0"/>
        <w:keepLines w:val="0"/>
        <w:pageBreakBefore w:val="0"/>
        <w:kinsoku/>
        <w:wordWrap/>
        <w:overflowPunct/>
        <w:topLinePunct w:val="0"/>
        <w:bidi w:val="0"/>
        <w:adjustRightInd/>
        <w:snapToGrid/>
        <w:spacing w:line="44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安全责任</w:t>
      </w:r>
    </w:p>
    <w:p w14:paraId="442C422B">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（一）乙方应遵守安全生产有关管理规定，严格按安全标准作业，采取必要的安全防护措施，消除事故隐患，并随时接受行业安全检查人员依法实施的监督检查。</w:t>
      </w:r>
    </w:p>
    <w:p w14:paraId="7DA838CC">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乙方应当为其自有人员提供符合国家标准或者行业标准的劳动防护用品。同时，对作业现场所有自有人员进行安全教育培训，并严格落实持证上岗制度，乙方应始终采取合理的预防措施，维护其员工的健康和安全。</w:t>
      </w:r>
    </w:p>
    <w:p w14:paraId="6D17AAE3">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（二）人身事故、财产事故处理</w:t>
      </w:r>
    </w:p>
    <w:p w14:paraId="2A14692B">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1.乙方员工及其雇佣人员在本合同履行过程中出现人身伤害事故的，应由乙方自行承担医疗及其他一切赔偿费用。</w:t>
      </w:r>
    </w:p>
    <w:p w14:paraId="122E6641">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2.乙方应保证其员工及其雇佣人员出现人身伤害事故后，在出现事故后及时安排人员进行替换，不得耽误作业进度。</w:t>
      </w:r>
    </w:p>
    <w:p w14:paraId="54CB3EDB">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3.如乙方或其员工、雇用人员在本合同履行过程中造成其他第三方人身、财产损害的，应由乙方自行承担损害赔偿责任。</w:t>
      </w:r>
    </w:p>
    <w:p w14:paraId="4D15EC10">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4.乙方或其员工、雇佣人员在本合同履行过程中导致甲方或第三方财产损失的（无论故意或过失），应按照购置价赔偿。赔偿标准以甲方或第三方提供的发票或收款收据或其他可以佐证的凭证为准。</w:t>
      </w:r>
    </w:p>
    <w:p w14:paraId="60AD72BB">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如因乙方违反上述约定或造成甲方先行垫付相关费用的，乙方应在甲方垫付之日起三日内偿还甲方，因乙方拒绝偿还甲方垫付款项而致使甲方产生的维权费用（包括但不限于：律师费、保全费、公证费、鉴定费、差旅费）及其他损失由乙方承担，且甲方可随时解除合同并不承担任何责任。</w:t>
      </w:r>
    </w:p>
    <w:p w14:paraId="5B458199">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（三）行政/刑事责任</w:t>
      </w:r>
    </w:p>
    <w:p w14:paraId="7C21BFAB">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乙方或其员工、雇佣人员在本合同履行过程中因违规操作、操作不当或因资质失效导致甲方或本合同对应项目遭受行政处罚的，乙方应无条件配合甲方处理协调，涉及行政罚款及损失赔偿的，应由乙方承担全部责任。</w:t>
      </w:r>
    </w:p>
    <w:p w14:paraId="65722B06">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乙方在本合同履行过程中造成安全责任事故的（无论最终是否被政府认定为安全生产事故），一切经济责任和其他行政、刑事责任中的金钱给付责任（如：赔偿、罚款、罚金、滞纳金等）均由乙方承担。同时，乙方应无条件配合甲方进行事故后续安排工作，直到全部处理完毕为止。涉及行政责任或刑事责任的，乙方应无条件配合甲方，直到甲方收到政府部门正式结案文件为止。</w:t>
      </w:r>
    </w:p>
    <w:p w14:paraId="55A204D1">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如因乙方违反上述约定或造成甲方先行垫付相关费用的，乙方应在甲方垫付之日起三日内偿还甲方，因乙方拒绝偿还甲方垫付款项而致使甲方产生的维权费用（包括但不限于：律师费、保全费、公证费、鉴定费、差旅费）及其他损失由乙方承担，且甲方可随时解除合同并不承担任何责任。</w:t>
      </w:r>
    </w:p>
    <w:p w14:paraId="60EBEC20">
      <w:pPr>
        <w:pStyle w:val="17"/>
        <w:keepNext w:val="0"/>
        <w:keepLines w:val="0"/>
        <w:pageBreakBefore w:val="0"/>
        <w:tabs>
          <w:tab w:val="left" w:pos="1443"/>
        </w:tabs>
        <w:kinsoku/>
        <w:wordWrap/>
        <w:overflowPunct/>
        <w:topLinePunct w:val="0"/>
        <w:bidi w:val="0"/>
        <w:adjustRightInd w:val="0"/>
        <w:snapToGrid w:val="0"/>
        <w:spacing w:line="44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声明与保证</w:t>
      </w:r>
    </w:p>
    <w:p w14:paraId="67199D15">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（一）各方陈述与保证</w:t>
      </w:r>
    </w:p>
    <w:p w14:paraId="1FE34664">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1.各方具有以其自身名义签订本合同，以及履行并承担本合同项下义务和责任的完全行为能力。</w:t>
      </w:r>
    </w:p>
    <w:p w14:paraId="40D6460E">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2.各方承诺，其在签订本合同时已经履行了必要的公司内部议事和批准程序。代表各方签订本合同的个人已经获得各方充分的授权，有权代表各方签订本合同。</w:t>
      </w:r>
    </w:p>
    <w:p w14:paraId="5A47DD9E">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3.各方签订并履行本合同不违反对其有约束力的判决、裁决、合同、协议或其他法律文件，并且不损害任何第三方权益。</w:t>
      </w:r>
    </w:p>
    <w:p w14:paraId="4AF3EB29">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4.各方承诺遵循国家和所在地现行的法律法规及行业准则，保证合法合规经营。</w:t>
      </w:r>
    </w:p>
    <w:p w14:paraId="78D13251">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（二）乙方关于具备履行本合同所需资质的特别声明与保证</w:t>
      </w:r>
    </w:p>
    <w:p w14:paraId="63D940A5">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1.乙方承诺在本合同有效期内持续拥有符合法律法规及相关政府主管部门规定履行本合同要求的所有资质（包括但不限于公司资质及相关工作人员资质）。</w:t>
      </w:r>
    </w:p>
    <w:p w14:paraId="4FBE6026">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2.乙方承担因资质虚假、失效、被撤销等造成的全部损失；如甲方先行垫付上述损失的，乙方应在甲方垫付后3日内全额偿还甲方。</w:t>
      </w:r>
    </w:p>
    <w:p w14:paraId="766B3C6C">
      <w:pPr>
        <w:pStyle w:val="17"/>
        <w:keepNext w:val="0"/>
        <w:keepLines w:val="0"/>
        <w:pageBreakBefore w:val="0"/>
        <w:tabs>
          <w:tab w:val="left" w:pos="1443"/>
        </w:tabs>
        <w:kinsoku/>
        <w:wordWrap/>
        <w:overflowPunct/>
        <w:topLinePunct w:val="0"/>
        <w:bidi w:val="0"/>
        <w:adjustRightInd w:val="0"/>
        <w:snapToGrid w:val="0"/>
        <w:spacing w:line="44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  工作联系机制</w:t>
      </w:r>
    </w:p>
    <w:p w14:paraId="4342013E">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1、甲、乙双方应建立工作联系制度，相互通报项目所在片区的组织管理架构。每月可定期召开工作联系会议，洽商和协调处理有关工作。</w:t>
      </w:r>
    </w:p>
    <w:p w14:paraId="33D316A2">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2、甲、乙双方派驻管理人员变更应在10日内以书面形式告知对方，并确认相关派驻管理人员紧急联络方式。</w:t>
      </w:r>
    </w:p>
    <w:p w14:paraId="31001815">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3、甲、乙双方工作衔接均以书面形式进行，并由双方全权派驻代表签署意见。</w:t>
      </w:r>
    </w:p>
    <w:p w14:paraId="3F52E78F">
      <w:pPr>
        <w:keepNext w:val="0"/>
        <w:keepLines w:val="0"/>
        <w:pageBreakBefore w:val="0"/>
        <w:tabs>
          <w:tab w:val="left" w:pos="6120"/>
        </w:tabs>
        <w:kinsoku/>
        <w:wordWrap/>
        <w:overflowPunct/>
        <w:topLinePunct w:val="0"/>
        <w:bidi w:val="0"/>
        <w:adjustRightInd w:val="0"/>
        <w:snapToGrid w:val="0"/>
        <w:spacing w:line="440" w:lineRule="exact"/>
        <w:ind w:firstLine="482" w:firstLineChars="200"/>
        <w:jc w:val="left"/>
        <w:textAlignment w:val="auto"/>
        <w:rPr>
          <w:rFonts w:ascii="仿宋" w:hAnsi="仿宋" w:eastAsia="仿宋" w:cs="仿宋"/>
          <w:b/>
          <w:color w:val="auto"/>
          <w:sz w:val="24"/>
          <w:highlight w:val="none"/>
        </w:rPr>
      </w:pPr>
      <w:r>
        <w:rPr>
          <w:rFonts w:ascii="仿宋" w:hAnsi="仿宋" w:eastAsia="仿宋" w:cs="仿宋"/>
          <w:b/>
          <w:color w:val="auto"/>
          <w:sz w:val="24"/>
          <w:highlight w:val="none"/>
        </w:rPr>
        <w:t>第</w:t>
      </w:r>
      <w:r>
        <w:rPr>
          <w:rFonts w:hint="eastAsia" w:ascii="仿宋" w:hAnsi="仿宋" w:eastAsia="仿宋" w:cs="仿宋"/>
          <w:b/>
          <w:color w:val="auto"/>
          <w:sz w:val="24"/>
          <w:highlight w:val="none"/>
        </w:rPr>
        <w:t>九</w:t>
      </w:r>
      <w:r>
        <w:rPr>
          <w:rFonts w:ascii="仿宋" w:hAnsi="仿宋" w:eastAsia="仿宋" w:cs="仿宋"/>
          <w:b/>
          <w:color w:val="auto"/>
          <w:sz w:val="24"/>
          <w:highlight w:val="none"/>
        </w:rPr>
        <w:t>条</w:t>
      </w:r>
      <w:r>
        <w:rPr>
          <w:rFonts w:hint="eastAsia" w:ascii="仿宋" w:hAnsi="仿宋" w:eastAsia="仿宋" w:cs="仿宋"/>
          <w:b/>
          <w:color w:val="auto"/>
          <w:sz w:val="24"/>
          <w:highlight w:val="none"/>
        </w:rPr>
        <w:t xml:space="preserve"> </w:t>
      </w:r>
      <w:r>
        <w:rPr>
          <w:rFonts w:ascii="仿宋" w:hAnsi="仿宋" w:eastAsia="仿宋" w:cs="仿宋"/>
          <w:b/>
          <w:color w:val="auto"/>
          <w:sz w:val="24"/>
          <w:highlight w:val="none"/>
        </w:rPr>
        <w:t xml:space="preserve"> </w:t>
      </w:r>
      <w:r>
        <w:rPr>
          <w:rFonts w:hint="eastAsia" w:ascii="仿宋" w:hAnsi="仿宋" w:eastAsia="仿宋" w:cs="仿宋"/>
          <w:b/>
          <w:color w:val="auto"/>
          <w:sz w:val="24"/>
          <w:highlight w:val="none"/>
        </w:rPr>
        <w:t>保密</w:t>
      </w:r>
    </w:p>
    <w:p w14:paraId="3D4CC15E">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一）为本合同之目的，秘密信息一词指的是任何涉及或与本合同各方有关的未公开的信息，包括但不限于下列信息中的全部或任何部分：任何一方的公司结构、股权结构、业务经营和财务资料、经营或发展计划、市场调研信息、营销渠道、价格、银行账户信息及其他财务记录等资料；一方拥有的客户信息、业主信息、经营信息、方案、数据、标准、程序；一方为本合同目的而签订的任何合同、协议、备忘录、附件、草案或记录（包括但不限于本合同，以及本合同提及、引述之各种文件）；以及一方为本合同之目的而向另一方提供的未公开的信息。</w:t>
      </w:r>
    </w:p>
    <w:p w14:paraId="23B14E0B">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二）一方不得将秘密信息以任何方式泄露给任何第三方，也不得以任何方式向公众、媒体宣布本合同的签订和履行等情况。在本合同履行完毕或因任何原因终止后，对本合同的任何一方而言，本条约定对其仍具有约束力。任何一方有权对其他方故意或过失泄露秘密信息所造成的损失提出赔偿。</w:t>
      </w:r>
    </w:p>
    <w:p w14:paraId="5D02A909">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（三）发生以下情况，任何一方均不被视为披露或泄露秘密信息：</w:t>
      </w:r>
    </w:p>
    <w:p w14:paraId="4B7D8E25">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w:t>
      </w:r>
      <w:r>
        <w:rPr>
          <w:rFonts w:hint="eastAsia" w:ascii="仿宋" w:hAnsi="仿宋" w:eastAsia="仿宋"/>
          <w:color w:val="auto"/>
          <w:sz w:val="24"/>
          <w:highlight w:val="none"/>
        </w:rPr>
        <w:t>秘密信息在泄露之前已为公众所知（但以违反本条款方式泄露的除外）；</w:t>
      </w:r>
    </w:p>
    <w:p w14:paraId="487D8E8F">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w:t>
      </w:r>
      <w:r>
        <w:rPr>
          <w:rFonts w:hint="eastAsia" w:ascii="仿宋" w:hAnsi="仿宋" w:eastAsia="仿宋"/>
          <w:color w:val="auto"/>
          <w:sz w:val="24"/>
          <w:highlight w:val="none"/>
        </w:rPr>
        <w:t>各方事先书面同意；</w:t>
      </w:r>
    </w:p>
    <w:p w14:paraId="0123B730">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w:t>
      </w:r>
      <w:r>
        <w:rPr>
          <w:rFonts w:hint="eastAsia" w:ascii="仿宋" w:hAnsi="仿宋" w:eastAsia="仿宋"/>
          <w:color w:val="auto"/>
          <w:sz w:val="24"/>
          <w:highlight w:val="none"/>
        </w:rPr>
        <w:t>为本次交易之目的将秘密信息披露给各自的有关职员、代理人或专业顾问，并要求其承担保密责任；</w:t>
      </w:r>
    </w:p>
    <w:p w14:paraId="5B205255">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仿宋" w:hAnsi="仿宋" w:eastAsia="仿宋"/>
          <w:color w:val="auto"/>
          <w:sz w:val="24"/>
          <w:highlight w:val="none"/>
        </w:rPr>
      </w:pPr>
      <w:r>
        <w:rPr>
          <w:rFonts w:hint="eastAsia" w:ascii="仿宋" w:hAnsi="仿宋" w:eastAsia="仿宋"/>
          <w:color w:val="auto"/>
          <w:sz w:val="24"/>
          <w:highlight w:val="none"/>
        </w:rPr>
        <w:t>4</w:t>
      </w:r>
      <w:r>
        <w:rPr>
          <w:rFonts w:ascii="仿宋" w:hAnsi="仿宋" w:eastAsia="仿宋"/>
          <w:color w:val="auto"/>
          <w:sz w:val="24"/>
          <w:highlight w:val="none"/>
        </w:rPr>
        <w:t>.</w:t>
      </w:r>
      <w:r>
        <w:rPr>
          <w:rFonts w:hint="eastAsia" w:ascii="仿宋" w:hAnsi="仿宋" w:eastAsia="仿宋"/>
          <w:color w:val="auto"/>
          <w:sz w:val="24"/>
          <w:highlight w:val="none"/>
        </w:rPr>
        <w:t>应法律法规或政府部门的强制性要求而披露，但必须提供正式书面文件，否则一方应当拒绝并不得披露或泄露任何秘密信息。</w:t>
      </w:r>
    </w:p>
    <w:p w14:paraId="020AAF7C">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olor w:val="auto"/>
          <w:sz w:val="24"/>
          <w:szCs w:val="24"/>
          <w:highlight w:val="none"/>
        </w:rPr>
        <w:t>（四）各方均应采取必要措施，将其知悉或了解的秘密信息限制在其有关职员、代理人或专业顾问的范围内，并要求他们严格遵守本条款，不将有关秘密信息泄露予任何第三方。各方均承诺不将从对方取得的秘密信息披露或泄露给其无关的职员、代理人或专业顾问。</w:t>
      </w:r>
    </w:p>
    <w:p w14:paraId="0941DEBA">
      <w:pPr>
        <w:keepNext w:val="0"/>
        <w:keepLines w:val="0"/>
        <w:pageBreakBefore w:val="0"/>
        <w:kinsoku/>
        <w:wordWrap/>
        <w:overflowPunct/>
        <w:topLinePunct w:val="0"/>
        <w:bidi w:val="0"/>
        <w:adjustRightInd w:val="0"/>
        <w:snapToGrid w:val="0"/>
        <w:spacing w:line="44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第十条  违约责任</w:t>
      </w:r>
    </w:p>
    <w:p w14:paraId="644337B2">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（一）未经甲方同意，乙方擅自单方解除合同的，甲方有权要求乙方承担本合同期内合同价款总额20%的违约金，因此给甲方造成损失的，乙方还应赔偿全部损失。</w:t>
      </w:r>
    </w:p>
    <w:p w14:paraId="22A15A10">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二）乙方应服从甲方日常工作安排，接受日常质量检查，并根据检查结果接受相应的奖罚。甲方每月开展的保洁评审主要以日检、周检、月检、随机检查和顾客中心收集到的不合格项为依据，不合格项分为一般不合格项和严重不合格项两类。</w:t>
      </w:r>
    </w:p>
    <w:p w14:paraId="126DDB38">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按照附件1，每发现1个一般不合格项，扣罚当月服务费用50元（记录在甲方《清洁工作评估报告》中并由乙方现场主管人员签字确认，也可以由项目管理处保存不合格项现场的记录、图片为依据），以此类推；在检查中每发现1个严重不合格项，直接扣除当月服务费用100元（记录在甲方《清洁工作评估报告》中并由乙方现场主管人员签字确认，也可以由项目管理处保存不合格项现场的记录、图片为依据），以此类推。</w:t>
      </w:r>
    </w:p>
    <w:p w14:paraId="4973F0AC">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1.一般不合格：</w:t>
      </w:r>
    </w:p>
    <w:p w14:paraId="289F13DB">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按合格清洁质量标准要求实施的，但由于实施不够认真或某些其他原因而导致效果未能达到规定要求，其影响和后果小于严重不合格的情况。</w:t>
      </w:r>
    </w:p>
    <w:p w14:paraId="564F3256">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2.严重不合格：</w:t>
      </w:r>
    </w:p>
    <w:p w14:paraId="739451A6">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（1）在同一天的检查中，发现同一区域(或方圆10平方米)出现严重脏污。</w:t>
      </w:r>
    </w:p>
    <w:p w14:paraId="5DA8091A">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（2）在同一天的检查中，同一区域(或方圆10平方米)出现三次以上同类型清洁服务内容不合格。</w:t>
      </w:r>
    </w:p>
    <w:p w14:paraId="27E67D00">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（3）甲方通过甲方客服中心收集到顾客的有效投诉，或同一不合格清洁服务内容被顾客连续两次反馈，经项目管理处现场确认属实。</w:t>
      </w:r>
    </w:p>
    <w:p w14:paraId="3ABA58C3">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（4）连续三次检查中，同一位置出现两次以上同类型清洁服务内容不合格。</w:t>
      </w:r>
    </w:p>
    <w:p w14:paraId="23CC1387">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（5）在规定的整改时间内未完成整改清洁服务内容(除不可抗力)。</w:t>
      </w:r>
    </w:p>
    <w:p w14:paraId="7D9E30CF">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（6）员工离岗时间超过半小时或当值时间内发生与工作明显无关的行为，如抽烟、睡觉。</w:t>
      </w:r>
    </w:p>
    <w:p w14:paraId="543E2E09">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（7）其他有违职业操守或顾客意见较大，经查证属实的行为或结果等。</w:t>
      </w:r>
    </w:p>
    <w:p w14:paraId="0424139F">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（8）对于业主或顾客方以及甲方不认可的乙方员工，在5个工作日内没有更换。</w:t>
      </w:r>
    </w:p>
    <w:p w14:paraId="05459559">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（9）无论任何原因，乙方员工与甲方顾客、业主、工作人员每发生争吵1次，判定为1个严重不合格项。</w:t>
      </w:r>
    </w:p>
    <w:p w14:paraId="3FE7270A">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（10）乙方招聘清洁人员为本项目的业主或住户，每发现1人次，判定为1个严重不合格项。</w:t>
      </w:r>
    </w:p>
    <w:p w14:paraId="39CF06EF">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（11）乙方招聘清洁人员没有经甲方的现场项目负责人面试并通过，而且不留存员工档案的，每发现1人次，判定为1个严重不合格项。</w:t>
      </w:r>
    </w:p>
    <w:p w14:paraId="0427A173">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（12）乙方员工在上班时间捡拾废品、物品、报纸等。</w:t>
      </w:r>
    </w:p>
    <w:p w14:paraId="0E0D4678">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另，乙方清洁人员相互之间、乙方清洁人员与甲方顾客、业主、工作人员发生打架斗殴行为或其他恶劣行为，乙方应立即调换该清洁人员，并按每发生一次扣除乙方当月清洁服务费500元进行处罚，且承担相应的责任与损失。</w:t>
      </w:r>
    </w:p>
    <w:p w14:paraId="4132D97D">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（三）如乙方服务质量不</w:t>
      </w:r>
      <w:r>
        <w:rPr>
          <w:rFonts w:hint="eastAsia" w:ascii="仿宋" w:hAnsi="仿宋" w:eastAsia="仿宋" w:cs="仿宋"/>
          <w:color w:val="auto"/>
          <w:sz w:val="24"/>
          <w:szCs w:val="24"/>
          <w:highlight w:val="none"/>
        </w:rPr>
        <w:t>符合本合同约定的标准</w:t>
      </w:r>
      <w:r>
        <w:rPr>
          <w:rFonts w:hint="eastAsia" w:ascii="仿宋" w:hAnsi="仿宋" w:eastAsia="仿宋"/>
          <w:color w:val="auto"/>
          <w:sz w:val="24"/>
          <w:szCs w:val="24"/>
          <w:highlight w:val="none"/>
        </w:rPr>
        <w:t>，甲方以书面形式通知后四十八小时仍未整改，甲方有权委托任何所需人员进行上述改善，而产生的相关费用从合同款中扣除，且有权</w:t>
      </w:r>
      <w:r>
        <w:rPr>
          <w:rFonts w:hint="eastAsia" w:ascii="仿宋" w:hAnsi="仿宋" w:eastAsia="仿宋" w:cs="仿宋"/>
          <w:color w:val="auto"/>
          <w:sz w:val="24"/>
          <w:szCs w:val="24"/>
          <w:highlight w:val="none"/>
        </w:rPr>
        <w:t>解除本合同并拒付未付款项。</w:t>
      </w:r>
    </w:p>
    <w:p w14:paraId="44A3E208">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四）工作期内如有保洁服务人员短缺，乙方应尽快进行招聘补足缺编人员。乙方有保洁服务人员离职或调动，应在离职或调动的次日向甲方的现场项目负责人报告；如隐瞒不报，在甲方项目现场人员发现保洁服务人员短缺当日，视为本自然月已经过的天数均视为该人员短缺。</w:t>
      </w:r>
    </w:p>
    <w:p w14:paraId="72FF6202">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一旦出现某个工作岗位的人员连续缺编25天及以上，甲方将取消该岗位的人员编制，并减少相应的月度服务费用。</w:t>
      </w:r>
    </w:p>
    <w:p w14:paraId="660DCEBB">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乙方员工有重要事情需要请假的，应由乙方现场主管书面向甲方项目管理处申请，并妥善安排现场工作以保障现场服务品质，经甲方项目负责人书面审批同意后，方可请假。同一时段内请假人数比例不能超过项目总编人数的10%。</w:t>
      </w:r>
    </w:p>
    <w:p w14:paraId="507A3615">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清洁工作符合本合同约定的标准的前提下，甲方须按时支付服务费用，否则乙方可向甲方发出书面催款通知，要求限期在十个工作日内支付；若甲方在该限期内仍拒绝付款，每延期一天，乙方有权按当次应付费用的万分之三要求甲方支付违约金。</w:t>
      </w:r>
    </w:p>
    <w:p w14:paraId="33CCD152">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六）任何一方违约的，守约方因维权付出的所有费用，包括但不限于律师代理费、诉讼费、担保费、保全费、差旅费、材料费、调查费、评估费、鉴定费等均由违约方支付，给守约方造成损失的，违约方还应另行赔偿。</w:t>
      </w:r>
    </w:p>
    <w:p w14:paraId="7E9160F1">
      <w:pPr>
        <w:keepNext w:val="0"/>
        <w:keepLines w:val="0"/>
        <w:pageBreakBefore w:val="0"/>
        <w:kinsoku/>
        <w:wordWrap/>
        <w:overflowPunct/>
        <w:topLinePunct w:val="0"/>
        <w:bidi w:val="0"/>
        <w:adjustRightInd w:val="0"/>
        <w:snapToGrid w:val="0"/>
        <w:spacing w:line="440" w:lineRule="exact"/>
        <w:ind w:firstLine="482" w:firstLineChars="200"/>
        <w:textAlignment w:val="auto"/>
        <w:rPr>
          <w:rFonts w:ascii="仿宋" w:hAnsi="仿宋" w:eastAsia="仿宋" w:cs="仿宋"/>
          <w:b/>
          <w:color w:val="auto"/>
          <w:sz w:val="24"/>
          <w:highlight w:val="none"/>
        </w:rPr>
      </w:pPr>
      <w:r>
        <w:rPr>
          <w:rFonts w:hint="eastAsia" w:ascii="仿宋" w:hAnsi="仿宋" w:eastAsia="仿宋" w:cs="仿宋"/>
          <w:b/>
          <w:color w:val="auto"/>
          <w:sz w:val="24"/>
          <w:highlight w:val="none"/>
        </w:rPr>
        <w:t>第十一条  不可抗力</w:t>
      </w:r>
    </w:p>
    <w:p w14:paraId="56638609">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一）“不可抗力”是指本合同双方不能合理控制、不可预见、亦无法避免的事件，该事件妨碍、影响或延误任何一方根据本合同履行其全部或部分义务。该事件包括但不限于地震、台风、洪水、火灾或其他天灾、战争、重大疫情并因疫情防控而无法履行合同或任何其他类似事件。</w:t>
      </w:r>
    </w:p>
    <w:p w14:paraId="0FA43AE9">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二）若发生不可抗力事件直接影响本合同的履行或使本合同不能履行，遭受不可抗力事件的一方应在事件发生后（因不可抗力事件导致通讯中断的，则为恢复通讯之日后）48小时内通过电话或传真将事件的状况通知另一方，并应在事件发生后10日内向另一方提供事件的详情及证明其不能履行，需延期履行，或只能部分履行本合同的有效证明文件。</w:t>
      </w:r>
    </w:p>
    <w:p w14:paraId="65744699">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三）根据不可抗力的影响，因不可抗力事件而不能履行本合同项下义务的任何一方可部分或者全部免除责任，但该方迟延履行后发生不可抗力的，不能免除责任。遭受不可抗力影响的一方有责任采取适当和必要地措施减轻或消除不可抗力的影响，遭受不可抗力影响的一方应当对未尽本项责任造成或扩大的损失承担责任。</w:t>
      </w:r>
    </w:p>
    <w:p w14:paraId="790247BF">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（四）当不可抗力事件对本合同的影响消除后，双方应立即进行磋商，就不可抗力所造成影响程度决定是否继续履行或者终止本合同。</w:t>
      </w:r>
    </w:p>
    <w:p w14:paraId="5D90A5C2">
      <w:pPr>
        <w:pStyle w:val="17"/>
        <w:keepNext w:val="0"/>
        <w:keepLines w:val="0"/>
        <w:pageBreakBefore w:val="0"/>
        <w:tabs>
          <w:tab w:val="left" w:pos="1443"/>
        </w:tabs>
        <w:kinsoku/>
        <w:wordWrap/>
        <w:overflowPunct/>
        <w:topLinePunct w:val="0"/>
        <w:bidi w:val="0"/>
        <w:adjustRightInd w:val="0"/>
        <w:snapToGrid w:val="0"/>
        <w:spacing w:line="440" w:lineRule="exact"/>
        <w:ind w:firstLine="482" w:firstLineChars="200"/>
        <w:textAlignment w:val="auto"/>
        <w:rPr>
          <w:rFonts w:ascii="仿宋" w:hAnsi="仿宋" w:eastAsia="仿宋" w:cs="仿宋"/>
          <w:b/>
          <w:bCs/>
          <w:color w:val="auto"/>
          <w:sz w:val="24"/>
          <w:szCs w:val="24"/>
          <w:highlight w:val="none"/>
          <w:lang w:bidi="en-US"/>
        </w:rPr>
      </w:pPr>
      <w:r>
        <w:rPr>
          <w:rFonts w:hint="eastAsia" w:ascii="仿宋" w:hAnsi="仿宋" w:eastAsia="仿宋" w:cs="仿宋"/>
          <w:b/>
          <w:bCs/>
          <w:color w:val="auto"/>
          <w:sz w:val="24"/>
          <w:szCs w:val="24"/>
          <w:highlight w:val="none"/>
        </w:rPr>
        <w:t xml:space="preserve">第十二条  </w:t>
      </w:r>
      <w:r>
        <w:rPr>
          <w:rFonts w:hint="eastAsia" w:ascii="仿宋" w:hAnsi="仿宋" w:eastAsia="仿宋" w:cs="仿宋"/>
          <w:b/>
          <w:bCs/>
          <w:color w:val="auto"/>
          <w:sz w:val="24"/>
          <w:szCs w:val="24"/>
          <w:highlight w:val="none"/>
          <w:lang w:bidi="en-US"/>
        </w:rPr>
        <w:t>通知与送达</w:t>
      </w:r>
    </w:p>
    <w:p w14:paraId="53022042">
      <w:pPr>
        <w:pStyle w:val="17"/>
        <w:keepNext w:val="0"/>
        <w:keepLines w:val="0"/>
        <w:pageBreakBefore w:val="0"/>
        <w:numPr>
          <w:ilvl w:val="255"/>
          <w:numId w:val="0"/>
        </w:numPr>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en-US"/>
        </w:rPr>
        <w:t>（一）</w:t>
      </w:r>
      <w:r>
        <w:rPr>
          <w:rFonts w:hint="eastAsia" w:ascii="仿宋" w:hAnsi="仿宋" w:eastAsia="仿宋" w:cs="仿宋"/>
          <w:color w:val="auto"/>
          <w:sz w:val="24"/>
          <w:szCs w:val="24"/>
          <w:highlight w:val="none"/>
        </w:rPr>
        <w:t>根据本合同发出的任何通知应当采用书面形式，可以通过专人递送或特</w:t>
      </w:r>
      <w:r>
        <w:rPr>
          <w:rFonts w:hint="eastAsia" w:ascii="仿宋" w:hAnsi="仿宋" w:eastAsia="仿宋" w:cs="仿宋"/>
          <w:color w:val="auto"/>
          <w:sz w:val="24"/>
          <w:szCs w:val="24"/>
          <w:highlight w:val="none"/>
          <w:lang w:bidi="en-US"/>
        </w:rPr>
        <w:t>快专递发送到以下通讯地址（如因本合同履行产生纠纷，各方同意司法机关将相关</w:t>
      </w:r>
      <w:r>
        <w:rPr>
          <w:rFonts w:hint="eastAsia" w:ascii="仿宋" w:hAnsi="仿宋" w:eastAsia="仿宋" w:cs="仿宋"/>
          <w:color w:val="auto"/>
          <w:sz w:val="24"/>
          <w:szCs w:val="24"/>
          <w:highlight w:val="none"/>
        </w:rPr>
        <w:t>法律文书送达至该地址或书面通知变更后的地址）：</w:t>
      </w:r>
    </w:p>
    <w:p w14:paraId="38EB7AC6">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s="仿宋"/>
          <w:color w:val="000000"/>
          <w:sz w:val="24"/>
          <w:szCs w:val="24"/>
          <w:highlight w:val="none"/>
          <w:lang w:bidi="en-US"/>
        </w:rPr>
      </w:pPr>
      <w:r>
        <w:rPr>
          <w:rFonts w:hint="eastAsia" w:ascii="仿宋" w:hAnsi="仿宋" w:eastAsia="仿宋" w:cs="仿宋"/>
          <w:color w:val="000000"/>
          <w:sz w:val="24"/>
          <w:szCs w:val="24"/>
          <w:highlight w:val="none"/>
          <w:lang w:bidi="en-US"/>
        </w:rPr>
        <w:t>甲方通讯地址：</w:t>
      </w:r>
      <w:r>
        <w:rPr>
          <w:rFonts w:hint="eastAsia" w:ascii="仿宋" w:hAnsi="仿宋" w:eastAsia="仿宋" w:cs="仿宋"/>
          <w:color w:val="000000"/>
          <w:sz w:val="24"/>
          <w:szCs w:val="24"/>
          <w:highlight w:val="none"/>
          <w:u w:val="single"/>
          <w:lang w:val="en-US" w:eastAsia="zh-CN" w:bidi="en-US"/>
        </w:rPr>
        <w:t>深圳市龙岗区龙城街道飞扬路天昊华庭19栋商业2楼</w:t>
      </w:r>
    </w:p>
    <w:p w14:paraId="013BF7D0">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s="仿宋"/>
          <w:color w:val="000000"/>
          <w:sz w:val="24"/>
          <w:szCs w:val="24"/>
          <w:highlight w:val="none"/>
          <w:lang w:bidi="en-US"/>
        </w:rPr>
      </w:pPr>
      <w:r>
        <w:rPr>
          <w:rFonts w:hint="eastAsia" w:ascii="仿宋" w:hAnsi="仿宋" w:eastAsia="仿宋" w:cs="仿宋"/>
          <w:color w:val="000000"/>
          <w:sz w:val="24"/>
          <w:szCs w:val="24"/>
          <w:highlight w:val="none"/>
          <w:lang w:bidi="en-US"/>
        </w:rPr>
        <w:t>联系人：</w:t>
      </w:r>
      <w:r>
        <w:rPr>
          <w:rFonts w:hint="eastAsia" w:ascii="仿宋" w:hAnsi="仿宋" w:eastAsia="仿宋" w:cs="仿宋"/>
          <w:color w:val="000000"/>
          <w:sz w:val="24"/>
          <w:szCs w:val="24"/>
          <w:highlight w:val="none"/>
          <w:u w:val="single"/>
          <w:lang w:val="en-US" w:eastAsia="zh-CN" w:bidi="en-US"/>
        </w:rPr>
        <w:t>丁哲斌</w:t>
      </w:r>
    </w:p>
    <w:p w14:paraId="1179E958">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ascii="仿宋" w:hAnsi="仿宋" w:eastAsia="仿宋" w:cs="仿宋"/>
          <w:color w:val="000000"/>
          <w:sz w:val="24"/>
          <w:szCs w:val="24"/>
          <w:highlight w:val="none"/>
          <w:u w:val="single"/>
          <w:lang w:bidi="en-US"/>
        </w:rPr>
      </w:pPr>
      <w:r>
        <w:rPr>
          <w:rFonts w:hint="eastAsia" w:ascii="仿宋" w:hAnsi="仿宋" w:eastAsia="仿宋" w:cs="仿宋"/>
          <w:color w:val="000000"/>
          <w:sz w:val="24"/>
          <w:szCs w:val="24"/>
          <w:highlight w:val="none"/>
          <w:lang w:bidi="en-US"/>
        </w:rPr>
        <w:t>联系方式：</w:t>
      </w:r>
      <w:r>
        <w:rPr>
          <w:rFonts w:hint="eastAsia" w:ascii="仿宋" w:hAnsi="仿宋" w:eastAsia="仿宋" w:cs="仿宋"/>
          <w:color w:val="000000"/>
          <w:sz w:val="24"/>
          <w:szCs w:val="24"/>
          <w:highlight w:val="none"/>
          <w:u w:val="single"/>
          <w:lang w:val="en-US" w:eastAsia="zh-CN" w:bidi="en-US"/>
        </w:rPr>
        <w:t>0755-89939176</w:t>
      </w:r>
    </w:p>
    <w:p w14:paraId="331CD502">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u w:val="single"/>
          <w:lang w:val="en-US" w:eastAsia="zh-CN" w:bidi="en-US"/>
        </w:rPr>
      </w:pPr>
      <w:r>
        <w:rPr>
          <w:rFonts w:hint="eastAsia" w:ascii="仿宋" w:hAnsi="仿宋" w:eastAsia="仿宋" w:cs="仿宋"/>
          <w:color w:val="auto"/>
          <w:sz w:val="24"/>
          <w:szCs w:val="24"/>
          <w:highlight w:val="none"/>
          <w:lang w:bidi="en-US"/>
        </w:rPr>
        <w:t>乙方通讯地址：</w:t>
      </w:r>
      <w:r>
        <w:rPr>
          <w:rFonts w:hint="eastAsia" w:ascii="仿宋" w:hAnsi="仿宋" w:eastAsia="仿宋" w:cs="仿宋"/>
          <w:color w:val="auto"/>
          <w:sz w:val="24"/>
          <w:szCs w:val="24"/>
          <w:highlight w:val="none"/>
          <w:u w:val="single"/>
          <w:lang w:val="en-US" w:eastAsia="zh-CN" w:bidi="en-US"/>
        </w:rPr>
        <w:t xml:space="preserve">               </w:t>
      </w:r>
    </w:p>
    <w:p w14:paraId="2291466B">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hint="default" w:ascii="仿宋" w:hAnsi="仿宋" w:eastAsia="仿宋" w:cs="仿宋"/>
          <w:color w:val="auto"/>
          <w:sz w:val="24"/>
          <w:szCs w:val="24"/>
          <w:highlight w:val="none"/>
          <w:u w:val="single"/>
          <w:lang w:val="en-US" w:eastAsia="zh-CN" w:bidi="en-US"/>
        </w:rPr>
      </w:pPr>
      <w:r>
        <w:rPr>
          <w:rFonts w:hint="eastAsia" w:ascii="仿宋" w:hAnsi="仿宋" w:eastAsia="仿宋" w:cs="仿宋"/>
          <w:color w:val="auto"/>
          <w:sz w:val="24"/>
          <w:szCs w:val="24"/>
          <w:highlight w:val="none"/>
          <w:lang w:bidi="en-US"/>
        </w:rPr>
        <w:t>联系人：</w:t>
      </w:r>
      <w:r>
        <w:rPr>
          <w:rFonts w:hint="eastAsia" w:ascii="仿宋" w:hAnsi="仿宋" w:eastAsia="仿宋" w:cs="仿宋"/>
          <w:color w:val="auto"/>
          <w:sz w:val="24"/>
          <w:szCs w:val="24"/>
          <w:highlight w:val="none"/>
          <w:u w:val="single"/>
          <w:lang w:val="en-US" w:eastAsia="zh-CN" w:bidi="en-US"/>
        </w:rPr>
        <w:t xml:space="preserve">     </w:t>
      </w:r>
    </w:p>
    <w:p w14:paraId="1861D904">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hint="default" w:ascii="仿宋" w:hAnsi="仿宋" w:eastAsia="仿宋" w:cs="仿宋"/>
          <w:color w:val="auto"/>
          <w:sz w:val="24"/>
          <w:szCs w:val="24"/>
          <w:highlight w:val="none"/>
          <w:u w:val="single"/>
          <w:lang w:val="en-US" w:eastAsia="zh-CN" w:bidi="en-US"/>
        </w:rPr>
      </w:pPr>
      <w:r>
        <w:rPr>
          <w:rFonts w:hint="eastAsia" w:ascii="仿宋" w:hAnsi="仿宋" w:eastAsia="仿宋" w:cs="仿宋"/>
          <w:color w:val="auto"/>
          <w:sz w:val="24"/>
          <w:szCs w:val="24"/>
          <w:highlight w:val="none"/>
          <w:lang w:bidi="en-US"/>
        </w:rPr>
        <w:t>联系方式：</w:t>
      </w:r>
      <w:r>
        <w:rPr>
          <w:rFonts w:hint="eastAsia" w:ascii="仿宋" w:hAnsi="仿宋" w:eastAsia="仿宋" w:cs="仿宋"/>
          <w:color w:val="auto"/>
          <w:sz w:val="24"/>
          <w:szCs w:val="24"/>
          <w:highlight w:val="none"/>
          <w:u w:val="single"/>
          <w:lang w:val="en-US" w:eastAsia="zh-CN" w:bidi="en-US"/>
        </w:rPr>
        <w:t xml:space="preserve">               </w:t>
      </w:r>
    </w:p>
    <w:p w14:paraId="3E86C0E5">
      <w:pPr>
        <w:pStyle w:val="17"/>
        <w:keepNext w:val="0"/>
        <w:keepLines w:val="0"/>
        <w:pageBreakBefore w:val="0"/>
        <w:tabs>
          <w:tab w:val="left" w:pos="1443"/>
        </w:tabs>
        <w:kinsoku/>
        <w:wordWrap/>
        <w:overflowPunct/>
        <w:topLinePunct w:val="0"/>
        <w:bidi w:val="0"/>
        <w:adjustRightInd w:val="0"/>
        <w:snapToGrid w:val="0"/>
        <w:spacing w:line="440" w:lineRule="exact"/>
        <w:ind w:firstLine="480" w:firstLineChars="200"/>
        <w:textAlignment w:val="auto"/>
        <w:rPr>
          <w:rFonts w:hint="default" w:ascii="仿宋" w:hAnsi="仿宋" w:eastAsia="仿宋" w:cs="仿宋"/>
          <w:color w:val="auto"/>
          <w:sz w:val="24"/>
          <w:szCs w:val="24"/>
          <w:highlight w:val="none"/>
          <w:u w:val="single"/>
          <w:lang w:val="en-US" w:eastAsia="zh-CN" w:bidi="en-US"/>
        </w:rPr>
      </w:pPr>
      <w:r>
        <w:rPr>
          <w:rFonts w:hint="eastAsia" w:ascii="仿宋" w:hAnsi="仿宋" w:eastAsia="仿宋" w:cs="仿宋"/>
          <w:color w:val="auto"/>
          <w:sz w:val="24"/>
          <w:szCs w:val="24"/>
          <w:highlight w:val="none"/>
          <w:lang w:bidi="en-US"/>
        </w:rPr>
        <w:t>电子邮箱：</w:t>
      </w:r>
      <w:r>
        <w:rPr>
          <w:rFonts w:hint="eastAsia" w:ascii="仿宋" w:hAnsi="仿宋" w:eastAsia="仿宋" w:cs="仿宋"/>
          <w:color w:val="auto"/>
          <w:sz w:val="24"/>
          <w:szCs w:val="24"/>
          <w:highlight w:val="none"/>
          <w:u w:val="single"/>
          <w:lang w:val="en-US" w:eastAsia="zh-CN" w:bidi="en-US"/>
        </w:rPr>
        <w:t xml:space="preserve">               </w:t>
      </w:r>
    </w:p>
    <w:p w14:paraId="27385591">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二）如果通过专人递送，该等通知在接收时即应视为已经送达；如果通过特快专递，该等通知在发出之日后三（3）个工作日即应视为已经送达，快递发出日期以快递公司的收件邮戳或以快递单上注明的寄件日期为准。</w:t>
      </w:r>
    </w:p>
    <w:p w14:paraId="2AF4A56F">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如因合同当事人拒收，或因其预留的通讯地址不详、错误，或无人签收等原因导致通知无法正常送达的，自快递发出之日后三（3）个工作日即应视为已经送达。</w:t>
      </w:r>
    </w:p>
    <w:p w14:paraId="49D27F93">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lang w:bidi="en-US"/>
        </w:rPr>
      </w:pPr>
      <w:r>
        <w:rPr>
          <w:rFonts w:hint="eastAsia" w:ascii="仿宋" w:hAnsi="仿宋" w:eastAsia="仿宋" w:cs="仿宋"/>
          <w:color w:val="auto"/>
          <w:sz w:val="24"/>
          <w:highlight w:val="none"/>
        </w:rPr>
        <w:t>（三）一方变更本条第（一）款所列信息，应提前三（3）个工作日将变更内容书面通知另一方。否则，由未通知方承担不利后果。在紧急情况下，可以采取电话、电子邮件、手机短信等形式通知，但事后应立即专人或者信函邮寄一份书面通知，否则视为未能变更。</w:t>
      </w:r>
    </w:p>
    <w:p w14:paraId="00B81369">
      <w:pPr>
        <w:keepNext w:val="0"/>
        <w:keepLines w:val="0"/>
        <w:pageBreakBefore w:val="0"/>
        <w:kinsoku/>
        <w:wordWrap/>
        <w:overflowPunct/>
        <w:topLinePunct w:val="0"/>
        <w:bidi w:val="0"/>
        <w:adjustRightInd w:val="0"/>
        <w:snapToGrid w:val="0"/>
        <w:spacing w:line="44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第十三条  法律适用与争议解决</w:t>
      </w:r>
    </w:p>
    <w:p w14:paraId="1A537305">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（一）本合同适用中国法律（不含香港特别行政区、澳门特别行政区、台湾地区的法律）。</w:t>
      </w:r>
    </w:p>
    <w:p w14:paraId="493C02EE">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（二）对因本合同引起的或与本合同有关的任何争议，各方应通过友好协商解决。协商不成，应将争议提交甲方住所地人民法院诉讼解决。</w:t>
      </w:r>
    </w:p>
    <w:p w14:paraId="476519DF">
      <w:pPr>
        <w:keepNext w:val="0"/>
        <w:keepLines w:val="0"/>
        <w:pageBreakBefore w:val="0"/>
        <w:kinsoku/>
        <w:wordWrap/>
        <w:overflowPunct/>
        <w:topLinePunct w:val="0"/>
        <w:bidi w:val="0"/>
        <w:adjustRightInd w:val="0"/>
        <w:snapToGrid w:val="0"/>
        <w:spacing w:line="44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第十四条  其他</w:t>
      </w:r>
    </w:p>
    <w:p w14:paraId="53559687">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一）如甲方不再管理本合同项下物业项目则本合同自然终止/如甲方不再管理本合同项下部分物业项目则针对该部分项目的服务合同自然终止，双方根据乙方提交给甲方并经甲方验收合格的实际完成工作量即时结清停止服务项目的费用，甲方不承担任何违约责任。</w:t>
      </w:r>
    </w:p>
    <w:p w14:paraId="70945F09">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二）如甲方组织架构或管理模式在合同期内进行调整，甲方有权根据实际情况与乙方协商合理调整合同条款（合同内容、金额、时间等），如乙方不同意，本合同自动终止，甲乙双方均不承担违约责任；调整以书面的形式签订补充协议，补充协议与本合同具有同等效力。</w:t>
      </w:r>
    </w:p>
    <w:p w14:paraId="40EB11C8">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bidi="en-US"/>
        </w:rPr>
        <w:t>本合同未尽事宜</w:t>
      </w:r>
      <w:r>
        <w:rPr>
          <w:color w:val="auto"/>
          <w:highlight w:val="none"/>
        </w:rPr>
        <w:fldChar w:fldCharType="begin"/>
      </w:r>
      <w:r>
        <w:rPr>
          <w:color w:val="auto"/>
          <w:highlight w:val="none"/>
        </w:rPr>
        <w:instrText xml:space="preserve"> HYPERLINK "http://www.51paper.net" \t "_blank" \o "论文资料网" </w:instrText>
      </w:r>
      <w:r>
        <w:rPr>
          <w:color w:val="auto"/>
          <w:highlight w:val="none"/>
        </w:rPr>
        <w:fldChar w:fldCharType="separate"/>
      </w:r>
      <w:r>
        <w:rPr>
          <w:rFonts w:hint="eastAsia" w:ascii="仿宋" w:hAnsi="仿宋" w:eastAsia="仿宋" w:cs="仿宋"/>
          <w:color w:val="auto"/>
          <w:sz w:val="24"/>
          <w:highlight w:val="none"/>
          <w:lang w:bidi="en-US"/>
        </w:rPr>
        <w:t>，</w:t>
      </w:r>
      <w:r>
        <w:rPr>
          <w:rFonts w:hint="eastAsia" w:ascii="仿宋" w:hAnsi="仿宋" w:eastAsia="仿宋" w:cs="仿宋"/>
          <w:color w:val="auto"/>
          <w:sz w:val="24"/>
          <w:highlight w:val="none"/>
          <w:lang w:bidi="en-US"/>
        </w:rPr>
        <w:fldChar w:fldCharType="end"/>
      </w:r>
      <w:r>
        <w:rPr>
          <w:rFonts w:hint="eastAsia" w:ascii="仿宋" w:hAnsi="仿宋" w:eastAsia="仿宋" w:cs="仿宋"/>
          <w:color w:val="auto"/>
          <w:sz w:val="24"/>
          <w:highlight w:val="none"/>
          <w:lang w:bidi="en-US"/>
        </w:rPr>
        <w:t>甲乙双方可另行协商解决，签订书面补充协议。</w:t>
      </w:r>
    </w:p>
    <w:p w14:paraId="6B193C5A">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（四）本合同自各方的法定代表人或授权代表签字并加盖公司公章或合同专用章之日起生效。本合同壹式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份，甲方执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份，乙方执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份，具有同等法律效力。</w:t>
      </w:r>
    </w:p>
    <w:p w14:paraId="5A3BAD4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（五）在本合同部分条款无效时，合同其他条款仍旧有效，合同各方仍应当遵守。</w:t>
      </w:r>
    </w:p>
    <w:p w14:paraId="45FD4A32">
      <w:pPr>
        <w:keepNext w:val="0"/>
        <w:keepLines w:val="0"/>
        <w:pageBreakBefore w:val="0"/>
        <w:kinsoku/>
        <w:wordWrap/>
        <w:overflowPunct/>
        <w:topLinePunct w:val="0"/>
        <w:bidi w:val="0"/>
        <w:spacing w:line="440" w:lineRule="exact"/>
        <w:textAlignment w:val="auto"/>
        <w:rPr>
          <w:color w:val="auto"/>
          <w:highlight w:val="none"/>
        </w:rPr>
      </w:pPr>
      <w:r>
        <w:rPr>
          <w:color w:val="auto"/>
          <w:highlight w:val="none"/>
        </w:rPr>
        <w:br w:type="page"/>
      </w:r>
    </w:p>
    <w:p w14:paraId="098507D4">
      <w:pPr>
        <w:keepNext w:val="0"/>
        <w:keepLines w:val="0"/>
        <w:pageBreakBefore w:val="0"/>
        <w:kinsoku/>
        <w:wordWrap/>
        <w:overflowPunct/>
        <w:topLinePunct w:val="0"/>
        <w:bidi w:val="0"/>
        <w:spacing w:line="440" w:lineRule="exact"/>
        <w:textAlignment w:val="auto"/>
        <w:rPr>
          <w:color w:val="auto"/>
          <w:highlight w:val="none"/>
        </w:rPr>
      </w:pPr>
    </w:p>
    <w:p w14:paraId="25B12D9B">
      <w:pPr>
        <w:keepNext w:val="0"/>
        <w:keepLines w:val="0"/>
        <w:pageBreakBefore w:val="0"/>
        <w:kinsoku/>
        <w:wordWrap/>
        <w:overflowPunct/>
        <w:topLinePunct w:val="0"/>
        <w:bidi w:val="0"/>
        <w:adjustRightInd w:val="0"/>
        <w:snapToGrid w:val="0"/>
        <w:spacing w:line="440" w:lineRule="exact"/>
        <w:ind w:firstLine="482" w:firstLineChars="20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本合同及附件的全部内容均经各方协商一致，对任何一方均不构成格式条款。各方在签署本合同时，对各自的权利义务内容均充分理解并同意遵照执行。</w:t>
      </w:r>
    </w:p>
    <w:p w14:paraId="73BE9E6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附件1：清洁工作实施细则、质量检查标准及判定标准</w:t>
      </w:r>
    </w:p>
    <w:p w14:paraId="74C1D74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附件2：服务工作考核标准</w:t>
      </w:r>
    </w:p>
    <w:p w14:paraId="1689993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：履约评价表</w:t>
      </w:r>
    </w:p>
    <w:p w14:paraId="398BA17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：廉洁协议</w:t>
      </w:r>
    </w:p>
    <w:p w14:paraId="2574CE83">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：龙岗区进一步规范政商交往行为告知书</w:t>
      </w:r>
    </w:p>
    <w:p w14:paraId="0410DB80">
      <w:pPr>
        <w:keepNext w:val="0"/>
        <w:keepLines w:val="0"/>
        <w:pageBreakBefore w:val="0"/>
        <w:kinsoku/>
        <w:wordWrap/>
        <w:overflowPunct/>
        <w:topLinePunct w:val="0"/>
        <w:bidi w:val="0"/>
        <w:adjustRightInd w:val="0"/>
        <w:snapToGrid w:val="0"/>
        <w:spacing w:line="440" w:lineRule="exact"/>
        <w:textAlignment w:val="auto"/>
        <w:rPr>
          <w:rFonts w:hint="eastAsia" w:asciiTheme="minorEastAsia" w:hAnsiTheme="minorEastAsia" w:cstheme="minorEastAsia"/>
          <w:b/>
          <w:bCs/>
          <w:color w:val="auto"/>
          <w:sz w:val="24"/>
          <w:highlight w:val="none"/>
        </w:rPr>
      </w:pPr>
    </w:p>
    <w:p w14:paraId="24BFA570">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甲乙双方签字盖章：</w:t>
      </w:r>
    </w:p>
    <w:tbl>
      <w:tblPr>
        <w:tblStyle w:val="13"/>
        <w:tblW w:w="9180" w:type="dxa"/>
        <w:tblInd w:w="0" w:type="dxa"/>
        <w:tblLayout w:type="fixed"/>
        <w:tblCellMar>
          <w:top w:w="0" w:type="dxa"/>
          <w:left w:w="108" w:type="dxa"/>
          <w:bottom w:w="0" w:type="dxa"/>
          <w:right w:w="108" w:type="dxa"/>
        </w:tblCellMar>
      </w:tblPr>
      <w:tblGrid>
        <w:gridCol w:w="4590"/>
        <w:gridCol w:w="4590"/>
      </w:tblGrid>
      <w:tr w14:paraId="53E93823">
        <w:tblPrEx>
          <w:tblCellMar>
            <w:top w:w="0" w:type="dxa"/>
            <w:left w:w="108" w:type="dxa"/>
            <w:bottom w:w="0" w:type="dxa"/>
            <w:right w:w="108" w:type="dxa"/>
          </w:tblCellMar>
        </w:tblPrEx>
        <w:trPr>
          <w:trHeight w:val="1113" w:hRule="atLeast"/>
        </w:trPr>
        <w:tc>
          <w:tcPr>
            <w:tcW w:w="4590" w:type="dxa"/>
          </w:tcPr>
          <w:p w14:paraId="5A236E4C">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甲方（盖章）：</w:t>
            </w:r>
          </w:p>
          <w:p w14:paraId="39977ED0">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p>
        </w:tc>
        <w:tc>
          <w:tcPr>
            <w:tcW w:w="4590" w:type="dxa"/>
          </w:tcPr>
          <w:p w14:paraId="654A1F3A">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乙方（盖章）：</w:t>
            </w:r>
          </w:p>
          <w:p w14:paraId="512B2AE1">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p>
        </w:tc>
      </w:tr>
      <w:tr w14:paraId="6E20A529">
        <w:tblPrEx>
          <w:tblCellMar>
            <w:top w:w="0" w:type="dxa"/>
            <w:left w:w="108" w:type="dxa"/>
            <w:bottom w:w="0" w:type="dxa"/>
            <w:right w:w="108" w:type="dxa"/>
          </w:tblCellMar>
        </w:tblPrEx>
        <w:trPr>
          <w:trHeight w:val="1195" w:hRule="atLeast"/>
        </w:trPr>
        <w:tc>
          <w:tcPr>
            <w:tcW w:w="4590" w:type="dxa"/>
          </w:tcPr>
          <w:p w14:paraId="5A1AECE9">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法定代表人（授权代表）签字：</w:t>
            </w:r>
          </w:p>
          <w:p w14:paraId="47133E5D">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p>
        </w:tc>
        <w:tc>
          <w:tcPr>
            <w:tcW w:w="4590" w:type="dxa"/>
          </w:tcPr>
          <w:p w14:paraId="2F93D1DC">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法定代表人（授权代表）签字：</w:t>
            </w:r>
          </w:p>
          <w:p w14:paraId="3BD78EAB">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p>
        </w:tc>
      </w:tr>
      <w:tr w14:paraId="016AA1A5">
        <w:tblPrEx>
          <w:tblCellMar>
            <w:top w:w="0" w:type="dxa"/>
            <w:left w:w="108" w:type="dxa"/>
            <w:bottom w:w="0" w:type="dxa"/>
            <w:right w:w="108" w:type="dxa"/>
          </w:tblCellMar>
        </w:tblPrEx>
        <w:trPr>
          <w:trHeight w:val="713" w:hRule="atLeast"/>
        </w:trPr>
        <w:tc>
          <w:tcPr>
            <w:tcW w:w="4590" w:type="dxa"/>
          </w:tcPr>
          <w:p w14:paraId="5A197849">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u w:val="single"/>
              </w:rPr>
            </w:pPr>
            <w:r>
              <w:rPr>
                <w:rFonts w:hint="eastAsia" w:asciiTheme="minorEastAsia" w:hAnsiTheme="minorEastAsia" w:cstheme="minorEastAsia"/>
                <w:b/>
                <w:color w:val="auto"/>
                <w:sz w:val="24"/>
                <w:highlight w:val="none"/>
              </w:rPr>
              <w:t>签约日期：     年   月   日</w:t>
            </w:r>
          </w:p>
        </w:tc>
        <w:tc>
          <w:tcPr>
            <w:tcW w:w="4590" w:type="dxa"/>
          </w:tcPr>
          <w:p w14:paraId="0AB42A6A">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u w:val="single"/>
              </w:rPr>
            </w:pPr>
            <w:r>
              <w:rPr>
                <w:rFonts w:hint="eastAsia" w:asciiTheme="minorEastAsia" w:hAnsiTheme="minorEastAsia" w:cstheme="minorEastAsia"/>
                <w:b/>
                <w:color w:val="auto"/>
                <w:sz w:val="24"/>
                <w:highlight w:val="none"/>
              </w:rPr>
              <w:t>签约日期：     年   月   日</w:t>
            </w:r>
          </w:p>
        </w:tc>
      </w:tr>
    </w:tbl>
    <w:p w14:paraId="53FC98A7">
      <w:pPr>
        <w:keepNext w:val="0"/>
        <w:keepLines w:val="0"/>
        <w:pageBreakBefore w:val="0"/>
        <w:kinsoku/>
        <w:wordWrap/>
        <w:overflowPunct/>
        <w:topLinePunct w:val="0"/>
        <w:bidi w:val="0"/>
        <w:adjustRightInd w:val="0"/>
        <w:snapToGrid w:val="0"/>
        <w:spacing w:line="440" w:lineRule="exact"/>
        <w:textAlignment w:val="auto"/>
        <w:rPr>
          <w:rFonts w:hint="eastAsia" w:ascii="仿宋" w:hAnsi="仿宋" w:eastAsia="仿宋" w:cs="仿宋"/>
          <w:color w:val="auto"/>
          <w:sz w:val="24"/>
          <w:highlight w:val="none"/>
        </w:rPr>
        <w:sectPr>
          <w:footerReference r:id="rId3" w:type="default"/>
          <w:pgSz w:w="11906" w:h="16838"/>
          <w:pgMar w:top="1440" w:right="1576" w:bottom="1446" w:left="1576" w:header="851" w:footer="992" w:gutter="0"/>
          <w:cols w:space="720" w:num="1"/>
          <w:docGrid w:type="lines" w:linePitch="312" w:charSpace="0"/>
        </w:sectPr>
      </w:pPr>
    </w:p>
    <w:p w14:paraId="1D555531">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附件1：</w:t>
      </w:r>
    </w:p>
    <w:p w14:paraId="160C0844">
      <w:pPr>
        <w:keepNext w:val="0"/>
        <w:keepLines w:val="0"/>
        <w:pageBreakBefore w:val="0"/>
        <w:kinsoku/>
        <w:wordWrap/>
        <w:overflowPunct/>
        <w:topLinePunct w:val="0"/>
        <w:bidi w:val="0"/>
        <w:adjustRightInd w:val="0"/>
        <w:snapToGrid w:val="0"/>
        <w:spacing w:line="440" w:lineRule="exact"/>
        <w:jc w:val="center"/>
        <w:textAlignment w:val="auto"/>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lang w:eastAsia="zh-CN"/>
        </w:rPr>
        <w:t>清洁</w:t>
      </w:r>
      <w:r>
        <w:rPr>
          <w:rFonts w:hint="eastAsia" w:asciiTheme="minorEastAsia" w:hAnsiTheme="minorEastAsia" w:cstheme="minorEastAsia"/>
          <w:b/>
          <w:bCs/>
          <w:color w:val="auto"/>
          <w:sz w:val="28"/>
          <w:szCs w:val="28"/>
          <w:highlight w:val="none"/>
        </w:rPr>
        <w:t>工作实施细则、质量检查标准及判定标准</w:t>
      </w:r>
    </w:p>
    <w:p w14:paraId="15528FCD">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（一）室内</w:t>
      </w:r>
      <w:r>
        <w:rPr>
          <w:rFonts w:hint="eastAsia" w:asciiTheme="minorEastAsia" w:hAnsiTheme="minorEastAsia" w:cstheme="minorEastAsia"/>
          <w:color w:val="auto"/>
          <w:sz w:val="24"/>
          <w:highlight w:val="none"/>
          <w:lang w:eastAsia="zh-CN"/>
        </w:rPr>
        <w:t>清洁</w:t>
      </w:r>
      <w:r>
        <w:rPr>
          <w:rFonts w:hint="eastAsia" w:asciiTheme="minorEastAsia" w:hAnsiTheme="minorEastAsia" w:cstheme="minorEastAsia"/>
          <w:color w:val="auto"/>
          <w:sz w:val="24"/>
          <w:highlight w:val="none"/>
        </w:rPr>
        <w:t>工作实施细则、质量检查标准及判定标准</w:t>
      </w:r>
    </w:p>
    <w:tbl>
      <w:tblPr>
        <w:tblStyle w:val="13"/>
        <w:tblW w:w="14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375"/>
        <w:gridCol w:w="761"/>
        <w:gridCol w:w="1134"/>
        <w:gridCol w:w="851"/>
        <w:gridCol w:w="850"/>
        <w:gridCol w:w="851"/>
        <w:gridCol w:w="850"/>
        <w:gridCol w:w="1134"/>
        <w:gridCol w:w="993"/>
        <w:gridCol w:w="1842"/>
        <w:gridCol w:w="3969"/>
      </w:tblGrid>
      <w:tr w14:paraId="5C03E391">
        <w:tblPrEx>
          <w:tblCellMar>
            <w:top w:w="0" w:type="dxa"/>
            <w:left w:w="108" w:type="dxa"/>
            <w:bottom w:w="0" w:type="dxa"/>
            <w:right w:w="108" w:type="dxa"/>
          </w:tblCellMar>
        </w:tblPrEx>
        <w:trPr>
          <w:trHeight w:val="380" w:hRule="atLeast"/>
        </w:trPr>
        <w:tc>
          <w:tcPr>
            <w:tcW w:w="1706" w:type="dxa"/>
            <w:gridSpan w:val="3"/>
            <w:vMerge w:val="restart"/>
            <w:vAlign w:val="center"/>
          </w:tcPr>
          <w:p w14:paraId="19C4B0F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lang w:eastAsia="zh-CN"/>
              </w:rPr>
              <w:t>清洁</w:t>
            </w:r>
            <w:r>
              <w:rPr>
                <w:rFonts w:hint="eastAsia" w:asciiTheme="minorEastAsia" w:hAnsiTheme="minorEastAsia" w:cstheme="minorEastAsia"/>
                <w:b/>
                <w:color w:val="auto"/>
                <w:szCs w:val="21"/>
                <w:highlight w:val="none"/>
              </w:rPr>
              <w:t>项目</w:t>
            </w:r>
          </w:p>
        </w:tc>
        <w:tc>
          <w:tcPr>
            <w:tcW w:w="4536" w:type="dxa"/>
            <w:gridSpan w:val="5"/>
            <w:vAlign w:val="center"/>
          </w:tcPr>
          <w:p w14:paraId="64821CE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实施细则</w:t>
            </w:r>
          </w:p>
        </w:tc>
        <w:tc>
          <w:tcPr>
            <w:tcW w:w="1134" w:type="dxa"/>
            <w:vMerge w:val="restart"/>
            <w:vAlign w:val="center"/>
          </w:tcPr>
          <w:p w14:paraId="0D0D22E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lang w:eastAsia="zh-CN"/>
              </w:rPr>
              <w:t>清洁</w:t>
            </w:r>
            <w:r>
              <w:rPr>
                <w:rFonts w:hint="eastAsia" w:asciiTheme="minorEastAsia" w:hAnsiTheme="minorEastAsia" w:cstheme="minorEastAsia"/>
                <w:b/>
                <w:color w:val="auto"/>
                <w:szCs w:val="21"/>
                <w:highlight w:val="none"/>
              </w:rPr>
              <w:t>质量标准</w:t>
            </w:r>
          </w:p>
        </w:tc>
        <w:tc>
          <w:tcPr>
            <w:tcW w:w="993" w:type="dxa"/>
            <w:vMerge w:val="restart"/>
            <w:vAlign w:val="center"/>
          </w:tcPr>
          <w:p w14:paraId="3E39C64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检查方法</w:t>
            </w:r>
          </w:p>
        </w:tc>
        <w:tc>
          <w:tcPr>
            <w:tcW w:w="1842" w:type="dxa"/>
            <w:vMerge w:val="restart"/>
            <w:vAlign w:val="center"/>
          </w:tcPr>
          <w:p w14:paraId="3B02B3A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一般不合格定义</w:t>
            </w:r>
          </w:p>
        </w:tc>
        <w:tc>
          <w:tcPr>
            <w:tcW w:w="3969" w:type="dxa"/>
            <w:vMerge w:val="restart"/>
            <w:vAlign w:val="center"/>
          </w:tcPr>
          <w:p w14:paraId="55D8EE4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严重不合格定义</w:t>
            </w:r>
          </w:p>
        </w:tc>
      </w:tr>
      <w:tr w14:paraId="7183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706" w:type="dxa"/>
            <w:gridSpan w:val="3"/>
            <w:vMerge w:val="continue"/>
            <w:vAlign w:val="center"/>
          </w:tcPr>
          <w:p w14:paraId="0601884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4" w:type="dxa"/>
            <w:vAlign w:val="center"/>
          </w:tcPr>
          <w:p w14:paraId="6252F3D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每日至少</w:t>
            </w:r>
          </w:p>
        </w:tc>
        <w:tc>
          <w:tcPr>
            <w:tcW w:w="851" w:type="dxa"/>
            <w:vAlign w:val="center"/>
          </w:tcPr>
          <w:p w14:paraId="31A828C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每周至少</w:t>
            </w:r>
          </w:p>
        </w:tc>
        <w:tc>
          <w:tcPr>
            <w:tcW w:w="850" w:type="dxa"/>
            <w:vAlign w:val="center"/>
          </w:tcPr>
          <w:p w14:paraId="59D5B0F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每月至少</w:t>
            </w:r>
          </w:p>
        </w:tc>
        <w:tc>
          <w:tcPr>
            <w:tcW w:w="851" w:type="dxa"/>
            <w:vAlign w:val="center"/>
          </w:tcPr>
          <w:p w14:paraId="460FD95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每季至少</w:t>
            </w:r>
          </w:p>
        </w:tc>
        <w:tc>
          <w:tcPr>
            <w:tcW w:w="850" w:type="dxa"/>
            <w:vAlign w:val="center"/>
          </w:tcPr>
          <w:p w14:paraId="2AE73B6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巡视周期</w:t>
            </w:r>
          </w:p>
        </w:tc>
        <w:tc>
          <w:tcPr>
            <w:tcW w:w="1134" w:type="dxa"/>
            <w:vMerge w:val="continue"/>
            <w:vAlign w:val="center"/>
          </w:tcPr>
          <w:p w14:paraId="653BA43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993" w:type="dxa"/>
            <w:vMerge w:val="continue"/>
            <w:vAlign w:val="center"/>
          </w:tcPr>
          <w:p w14:paraId="313F42B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42" w:type="dxa"/>
            <w:vMerge w:val="continue"/>
            <w:vAlign w:val="center"/>
          </w:tcPr>
          <w:p w14:paraId="143E01C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3969" w:type="dxa"/>
            <w:vMerge w:val="continue"/>
            <w:vAlign w:val="center"/>
          </w:tcPr>
          <w:p w14:paraId="4C16AE6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r>
      <w:tr w14:paraId="745A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restart"/>
            <w:vAlign w:val="center"/>
          </w:tcPr>
          <w:p w14:paraId="5C62BBE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办公室内</w:t>
            </w:r>
          </w:p>
          <w:p w14:paraId="4D178CE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p w14:paraId="6008E3DC">
            <w:pPr>
              <w:keepNext w:val="0"/>
              <w:keepLines w:val="0"/>
              <w:pageBreakBefore w:val="0"/>
              <w:widowControl/>
              <w:kinsoku/>
              <w:wordWrap/>
              <w:overflowPunct/>
              <w:topLinePunct w:val="0"/>
              <w:bidi w:val="0"/>
              <w:spacing w:line="440" w:lineRule="exact"/>
              <w:textAlignment w:val="auto"/>
              <w:rPr>
                <w:rFonts w:asciiTheme="minorEastAsia" w:hAnsiTheme="minorEastAsia" w:cstheme="minorEastAsia"/>
                <w:color w:val="auto"/>
                <w:szCs w:val="21"/>
                <w:highlight w:val="none"/>
              </w:rPr>
            </w:pPr>
          </w:p>
          <w:p w14:paraId="4A0A78E3">
            <w:pPr>
              <w:keepNext w:val="0"/>
              <w:keepLines w:val="0"/>
              <w:pageBreakBefore w:val="0"/>
              <w:widowControl/>
              <w:kinsoku/>
              <w:wordWrap/>
              <w:overflowPunct/>
              <w:topLinePunct w:val="0"/>
              <w:bidi w:val="0"/>
              <w:spacing w:line="440" w:lineRule="exact"/>
              <w:textAlignment w:val="auto"/>
              <w:rPr>
                <w:rFonts w:asciiTheme="minorEastAsia" w:hAnsiTheme="minorEastAsia" w:cstheme="minorEastAsia"/>
                <w:color w:val="auto"/>
                <w:szCs w:val="21"/>
                <w:highlight w:val="none"/>
              </w:rPr>
            </w:pPr>
          </w:p>
          <w:p w14:paraId="2AB6AF28">
            <w:pPr>
              <w:keepNext w:val="0"/>
              <w:keepLines w:val="0"/>
              <w:pageBreakBefore w:val="0"/>
              <w:widowControl/>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7D678E7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门</w:t>
            </w:r>
          </w:p>
        </w:tc>
        <w:tc>
          <w:tcPr>
            <w:tcW w:w="1134" w:type="dxa"/>
            <w:vAlign w:val="center"/>
          </w:tcPr>
          <w:p w14:paraId="75F90493">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tc>
        <w:tc>
          <w:tcPr>
            <w:tcW w:w="851" w:type="dxa"/>
            <w:vAlign w:val="center"/>
          </w:tcPr>
          <w:p w14:paraId="5EC8C0B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850" w:type="dxa"/>
            <w:vAlign w:val="center"/>
          </w:tcPr>
          <w:p w14:paraId="439BBD2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剂清抹一次</w:t>
            </w:r>
          </w:p>
        </w:tc>
        <w:tc>
          <w:tcPr>
            <w:tcW w:w="851" w:type="dxa"/>
            <w:vAlign w:val="center"/>
          </w:tcPr>
          <w:p w14:paraId="64BC600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2C360E17">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1134" w:type="dxa"/>
            <w:vAlign w:val="center"/>
          </w:tcPr>
          <w:p w14:paraId="0C184AE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无尘、无污物、无手印</w:t>
            </w:r>
          </w:p>
        </w:tc>
        <w:tc>
          <w:tcPr>
            <w:tcW w:w="993" w:type="dxa"/>
            <w:vAlign w:val="center"/>
          </w:tcPr>
          <w:p w14:paraId="5CF611D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0788601C">
            <w:pPr>
              <w:keepNext w:val="0"/>
              <w:keepLines w:val="0"/>
              <w:pageBreakBefore w:val="0"/>
              <w:widowControl/>
              <w:kinsoku/>
              <w:wordWrap/>
              <w:overflowPunct/>
              <w:topLinePunct w:val="0"/>
              <w:bidi w:val="0"/>
              <w:spacing w:line="440" w:lineRule="exact"/>
              <w:jc w:val="lef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按合格</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质量标准要求实施的，但由于实施不够认真或某些其他原因而导致效果未能达到规定要求，其影响和后果小于严重不合格情况的，定义为一般不合格。每出现一次扣罚50元，以此类推。</w:t>
            </w:r>
          </w:p>
        </w:tc>
        <w:tc>
          <w:tcPr>
            <w:tcW w:w="3969" w:type="dxa"/>
            <w:vAlign w:val="center"/>
          </w:tcPr>
          <w:p w14:paraId="2F89179F">
            <w:pPr>
              <w:keepNext w:val="0"/>
              <w:keepLines w:val="0"/>
              <w:pageBreakBefore w:val="0"/>
              <w:widowControl/>
              <w:kinsoku/>
              <w:wordWrap/>
              <w:overflowPunct/>
              <w:topLinePunct w:val="0"/>
              <w:bidi w:val="0"/>
              <w:spacing w:line="440" w:lineRule="exact"/>
              <w:jc w:val="lef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A</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rPr>
              <w:t>在同一天的检查中，发现同一区域（或方圆10平方米）出现两次严重脏污；B、在同一天的检查中，同一区域（或方圆10平方米）出现三次以上同类型</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服务内容不合格；C、甲方通过甲方客服中心收集到顾客的有效投诉，或同一不合格</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服务内容被顾客连续两次反馈，经项目管理处现场确认属实；D、连续三次检查中，同一位置出现两次以上同类型</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服务内容不合格；E、在规定的整改时间内未完成整改</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服务内容（除不可抗力）等。对出现有“严重不合格”，每出现一次扣罚100元，以此类推。</w:t>
            </w:r>
          </w:p>
        </w:tc>
      </w:tr>
      <w:tr w14:paraId="49D4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2147553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1CABB85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玻璃窗</w:t>
            </w:r>
          </w:p>
        </w:tc>
        <w:tc>
          <w:tcPr>
            <w:tcW w:w="1134" w:type="dxa"/>
            <w:vAlign w:val="center"/>
          </w:tcPr>
          <w:p w14:paraId="0E342DB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851" w:type="dxa"/>
            <w:vAlign w:val="center"/>
          </w:tcPr>
          <w:p w14:paraId="0E5D6F24">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1D45E84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剂清抹一次</w:t>
            </w:r>
          </w:p>
        </w:tc>
        <w:tc>
          <w:tcPr>
            <w:tcW w:w="851" w:type="dxa"/>
            <w:vAlign w:val="center"/>
          </w:tcPr>
          <w:p w14:paraId="5D34AA41">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30D165D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0213463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无尘、无污物、无手印</w:t>
            </w:r>
          </w:p>
        </w:tc>
        <w:tc>
          <w:tcPr>
            <w:tcW w:w="993" w:type="dxa"/>
            <w:vAlign w:val="center"/>
          </w:tcPr>
          <w:p w14:paraId="5796081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以纸巾擦拭</w:t>
            </w:r>
          </w:p>
        </w:tc>
        <w:tc>
          <w:tcPr>
            <w:tcW w:w="1842" w:type="dxa"/>
            <w:vAlign w:val="center"/>
          </w:tcPr>
          <w:p w14:paraId="1EDD98E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7F9CED4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B4F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155A940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7180835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桌、台面</w:t>
            </w:r>
          </w:p>
        </w:tc>
        <w:tc>
          <w:tcPr>
            <w:tcW w:w="1134" w:type="dxa"/>
            <w:vAlign w:val="center"/>
          </w:tcPr>
          <w:p w14:paraId="1E676E7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851" w:type="dxa"/>
            <w:vAlign w:val="center"/>
          </w:tcPr>
          <w:p w14:paraId="5F2CFE66">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7F4532F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851" w:type="dxa"/>
            <w:vAlign w:val="center"/>
          </w:tcPr>
          <w:p w14:paraId="3594990E">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24B5B7B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3DF6F45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无灰尘、污迹</w:t>
            </w:r>
          </w:p>
        </w:tc>
        <w:tc>
          <w:tcPr>
            <w:tcW w:w="993" w:type="dxa"/>
            <w:vAlign w:val="center"/>
          </w:tcPr>
          <w:p w14:paraId="3089900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以纸巾擦拭</w:t>
            </w:r>
          </w:p>
        </w:tc>
        <w:tc>
          <w:tcPr>
            <w:tcW w:w="1842" w:type="dxa"/>
            <w:vAlign w:val="center"/>
          </w:tcPr>
          <w:p w14:paraId="5A6AF3F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77B6F88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3BD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6F6C308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7905B0C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沙发、桌椅</w:t>
            </w:r>
          </w:p>
        </w:tc>
        <w:tc>
          <w:tcPr>
            <w:tcW w:w="1134" w:type="dxa"/>
            <w:vAlign w:val="center"/>
          </w:tcPr>
          <w:p w14:paraId="312E3F1A">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配合</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剂擦</w:t>
            </w:r>
          </w:p>
          <w:p w14:paraId="6D643F9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抹一次，并随时</w:t>
            </w:r>
            <w:r>
              <w:rPr>
                <w:rFonts w:hint="eastAsia" w:asciiTheme="minorEastAsia" w:hAnsiTheme="minorEastAsia" w:cstheme="minorEastAsia"/>
                <w:color w:val="auto"/>
                <w:szCs w:val="21"/>
                <w:highlight w:val="none"/>
                <w:lang w:eastAsia="zh-CN"/>
              </w:rPr>
              <w:t>清洁</w:t>
            </w:r>
          </w:p>
        </w:tc>
        <w:tc>
          <w:tcPr>
            <w:tcW w:w="851" w:type="dxa"/>
            <w:vAlign w:val="center"/>
          </w:tcPr>
          <w:p w14:paraId="7DEF0BF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63E1196">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1E7890E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1614708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6034B4E5">
            <w:pPr>
              <w:keepNext w:val="0"/>
              <w:keepLines w:val="0"/>
              <w:pageBreakBefore w:val="0"/>
              <w:kinsoku/>
              <w:wordWrap/>
              <w:overflowPunct/>
              <w:topLinePunct w:val="0"/>
              <w:bidi w:val="0"/>
              <w:adjustRightInd w:val="0"/>
              <w:snapToGrid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无灰尘、无污渍、光洁如新</w:t>
            </w:r>
          </w:p>
        </w:tc>
        <w:tc>
          <w:tcPr>
            <w:tcW w:w="993" w:type="dxa"/>
            <w:vAlign w:val="center"/>
          </w:tcPr>
          <w:p w14:paraId="0463FF3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525ABA2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6B4E15C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47FE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632720D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51CE64FC">
            <w:pPr>
              <w:keepNext w:val="0"/>
              <w:keepLines w:val="0"/>
              <w:pageBreakBefore w:val="0"/>
              <w:kinsoku/>
              <w:wordWrap/>
              <w:overflowPunct/>
              <w:topLinePunct w:val="0"/>
              <w:bidi w:val="0"/>
              <w:adjustRightInd w:val="0"/>
              <w:snapToGrid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饮水机</w:t>
            </w:r>
          </w:p>
        </w:tc>
        <w:tc>
          <w:tcPr>
            <w:tcW w:w="1134" w:type="dxa"/>
            <w:vAlign w:val="center"/>
          </w:tcPr>
          <w:p w14:paraId="17D1BA09">
            <w:pPr>
              <w:keepNext w:val="0"/>
              <w:keepLines w:val="0"/>
              <w:pageBreakBefore w:val="0"/>
              <w:kinsoku/>
              <w:wordWrap/>
              <w:overflowPunct/>
              <w:topLinePunct w:val="0"/>
              <w:bidi w:val="0"/>
              <w:adjustRightInd w:val="0"/>
              <w:snapToGrid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保持周围地面</w:t>
            </w:r>
            <w:r>
              <w:rPr>
                <w:rFonts w:hint="eastAsia" w:asciiTheme="minorEastAsia" w:hAnsiTheme="minorEastAsia" w:cstheme="minorEastAsia"/>
                <w:color w:val="auto"/>
                <w:szCs w:val="21"/>
                <w:highlight w:val="none"/>
                <w:lang w:eastAsia="zh-CN"/>
              </w:rPr>
              <w:t>清洁</w:t>
            </w:r>
          </w:p>
        </w:tc>
        <w:tc>
          <w:tcPr>
            <w:tcW w:w="851" w:type="dxa"/>
            <w:vAlign w:val="center"/>
          </w:tcPr>
          <w:p w14:paraId="75FD19D7">
            <w:pPr>
              <w:keepNext w:val="0"/>
              <w:keepLines w:val="0"/>
              <w:pageBreakBefore w:val="0"/>
              <w:widowControl/>
              <w:kinsoku/>
              <w:wordWrap/>
              <w:overflowPunct/>
              <w:topLinePunct w:val="0"/>
              <w:bidi w:val="0"/>
              <w:spacing w:line="44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EF45819">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6E4E151E">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369F2B4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63AABA9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无水迹、无污渍</w:t>
            </w:r>
          </w:p>
        </w:tc>
        <w:tc>
          <w:tcPr>
            <w:tcW w:w="993" w:type="dxa"/>
            <w:vAlign w:val="center"/>
          </w:tcPr>
          <w:p w14:paraId="62D2676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01B397F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073A5F9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AF0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7895964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5A5493D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风口、灯饰</w:t>
            </w:r>
          </w:p>
        </w:tc>
        <w:tc>
          <w:tcPr>
            <w:tcW w:w="1134" w:type="dxa"/>
            <w:vAlign w:val="center"/>
          </w:tcPr>
          <w:p w14:paraId="07974FC6">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随时</w:t>
            </w:r>
            <w:r>
              <w:rPr>
                <w:rFonts w:hint="eastAsia" w:asciiTheme="minorEastAsia" w:hAnsiTheme="minorEastAsia" w:cstheme="minorEastAsia"/>
                <w:color w:val="auto"/>
                <w:szCs w:val="21"/>
                <w:highlight w:val="none"/>
                <w:lang w:eastAsia="zh-CN"/>
              </w:rPr>
              <w:t>清洁</w:t>
            </w:r>
          </w:p>
        </w:tc>
        <w:tc>
          <w:tcPr>
            <w:tcW w:w="851" w:type="dxa"/>
            <w:vAlign w:val="center"/>
          </w:tcPr>
          <w:p w14:paraId="3C04BD69">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32F3970F">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851" w:type="dxa"/>
            <w:vAlign w:val="center"/>
          </w:tcPr>
          <w:p w14:paraId="0090E5E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EBE4AC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4269B2B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无灰尘、污渍</w:t>
            </w:r>
          </w:p>
        </w:tc>
        <w:tc>
          <w:tcPr>
            <w:tcW w:w="993" w:type="dxa"/>
            <w:vAlign w:val="center"/>
          </w:tcPr>
          <w:p w14:paraId="78959AA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6804C4F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51CCFB0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5A7F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75DF905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532AA81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花盆</w:t>
            </w:r>
          </w:p>
        </w:tc>
        <w:tc>
          <w:tcPr>
            <w:tcW w:w="1134" w:type="dxa"/>
            <w:vAlign w:val="center"/>
          </w:tcPr>
          <w:p w14:paraId="2005126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随时</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花盆</w:t>
            </w:r>
          </w:p>
        </w:tc>
        <w:tc>
          <w:tcPr>
            <w:tcW w:w="851" w:type="dxa"/>
            <w:vAlign w:val="center"/>
          </w:tcPr>
          <w:p w14:paraId="317B164A">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4A8E09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851" w:type="dxa"/>
            <w:vAlign w:val="center"/>
          </w:tcPr>
          <w:p w14:paraId="369C502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5FD4B6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705297A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保持植物干净</w:t>
            </w:r>
          </w:p>
        </w:tc>
        <w:tc>
          <w:tcPr>
            <w:tcW w:w="993" w:type="dxa"/>
            <w:vAlign w:val="center"/>
          </w:tcPr>
          <w:p w14:paraId="15B2574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42" w:type="dxa"/>
            <w:vAlign w:val="center"/>
          </w:tcPr>
          <w:p w14:paraId="442B07C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409CB4B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28D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623D7E4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390F7CD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地面</w:t>
            </w:r>
          </w:p>
        </w:tc>
        <w:tc>
          <w:tcPr>
            <w:tcW w:w="1134" w:type="dxa"/>
            <w:vAlign w:val="center"/>
          </w:tcPr>
          <w:p w14:paraId="34684B5A">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随时</w:t>
            </w:r>
            <w:r>
              <w:rPr>
                <w:rFonts w:hint="eastAsia" w:asciiTheme="minorEastAsia" w:hAnsiTheme="minorEastAsia" w:cstheme="minorEastAsia"/>
                <w:color w:val="auto"/>
                <w:szCs w:val="21"/>
                <w:highlight w:val="none"/>
                <w:lang w:eastAsia="zh-CN"/>
              </w:rPr>
              <w:t>清洁</w:t>
            </w:r>
          </w:p>
        </w:tc>
        <w:tc>
          <w:tcPr>
            <w:tcW w:w="851" w:type="dxa"/>
            <w:vAlign w:val="center"/>
          </w:tcPr>
          <w:p w14:paraId="71004CB1">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1AEC268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吸尘、清洗</w:t>
            </w:r>
          </w:p>
        </w:tc>
        <w:tc>
          <w:tcPr>
            <w:tcW w:w="851" w:type="dxa"/>
            <w:vAlign w:val="center"/>
          </w:tcPr>
          <w:p w14:paraId="4232E378">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DC7EA4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4DC99D8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保持地面干净、无污渍</w:t>
            </w:r>
          </w:p>
        </w:tc>
        <w:tc>
          <w:tcPr>
            <w:tcW w:w="993" w:type="dxa"/>
            <w:vAlign w:val="center"/>
          </w:tcPr>
          <w:p w14:paraId="09CD2E3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07564DE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7FA84A1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04C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49A7817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7E05C2D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会议室、培训室桌面、地面</w:t>
            </w:r>
          </w:p>
        </w:tc>
        <w:tc>
          <w:tcPr>
            <w:tcW w:w="1134" w:type="dxa"/>
            <w:vAlign w:val="center"/>
          </w:tcPr>
          <w:p w14:paraId="1719D3C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拖拭一次</w:t>
            </w:r>
          </w:p>
          <w:p w14:paraId="6792662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并清扫一次</w:t>
            </w:r>
          </w:p>
        </w:tc>
        <w:tc>
          <w:tcPr>
            <w:tcW w:w="851" w:type="dxa"/>
            <w:vAlign w:val="center"/>
          </w:tcPr>
          <w:p w14:paraId="0382BCF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有会议或培训前</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一次，会后或培训后根据需要</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一次，地毯每周至少吸尘2次。</w:t>
            </w:r>
          </w:p>
        </w:tc>
        <w:tc>
          <w:tcPr>
            <w:tcW w:w="850" w:type="dxa"/>
            <w:vAlign w:val="center"/>
          </w:tcPr>
          <w:p w14:paraId="17BE7224">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1E9CC3E9">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58B2A52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7135238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无灰尘、污迹</w:t>
            </w:r>
          </w:p>
        </w:tc>
        <w:tc>
          <w:tcPr>
            <w:tcW w:w="993" w:type="dxa"/>
            <w:vAlign w:val="center"/>
          </w:tcPr>
          <w:p w14:paraId="60E503D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739517D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22786AD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DC2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restart"/>
            <w:vAlign w:val="center"/>
          </w:tcPr>
          <w:p w14:paraId="4BD8553F">
            <w:pPr>
              <w:keepNext w:val="0"/>
              <w:keepLines w:val="0"/>
              <w:pageBreakBefore w:val="0"/>
              <w:widowControl/>
              <w:kinsoku/>
              <w:wordWrap/>
              <w:overflowPunct/>
              <w:topLinePunct w:val="0"/>
              <w:bidi w:val="0"/>
              <w:spacing w:line="440" w:lineRule="exact"/>
              <w:textAlignment w:val="auto"/>
              <w:rPr>
                <w:rFonts w:asciiTheme="minorEastAsia" w:hAnsiTheme="minorEastAsia" w:cstheme="minorEastAsia"/>
                <w:color w:val="auto"/>
                <w:szCs w:val="21"/>
                <w:highlight w:val="none"/>
              </w:rPr>
            </w:pPr>
          </w:p>
          <w:p w14:paraId="6F01F40D">
            <w:pPr>
              <w:keepNext w:val="0"/>
              <w:keepLines w:val="0"/>
              <w:pageBreakBefore w:val="0"/>
              <w:widowControl/>
              <w:kinsoku/>
              <w:wordWrap/>
              <w:overflowPunct/>
              <w:topLinePunct w:val="0"/>
              <w:bidi w:val="0"/>
              <w:spacing w:line="440" w:lineRule="exact"/>
              <w:textAlignment w:val="auto"/>
              <w:rPr>
                <w:rFonts w:asciiTheme="minorEastAsia" w:hAnsiTheme="minorEastAsia" w:cstheme="minorEastAsia"/>
                <w:color w:val="auto"/>
                <w:szCs w:val="21"/>
                <w:highlight w:val="none"/>
              </w:rPr>
            </w:pPr>
          </w:p>
          <w:p w14:paraId="096CA5CD">
            <w:pPr>
              <w:keepNext w:val="0"/>
              <w:keepLines w:val="0"/>
              <w:pageBreakBefore w:val="0"/>
              <w:widowControl/>
              <w:kinsoku/>
              <w:wordWrap/>
              <w:overflowPunct/>
              <w:topLinePunct w:val="0"/>
              <w:bidi w:val="0"/>
              <w:spacing w:line="440" w:lineRule="exact"/>
              <w:textAlignment w:val="auto"/>
              <w:rPr>
                <w:rFonts w:asciiTheme="minorEastAsia" w:hAnsiTheme="minorEastAsia" w:cstheme="minorEastAsia"/>
                <w:color w:val="auto"/>
                <w:szCs w:val="21"/>
                <w:highlight w:val="none"/>
              </w:rPr>
            </w:pPr>
          </w:p>
          <w:p w14:paraId="1469A56F">
            <w:pPr>
              <w:keepNext w:val="0"/>
              <w:keepLines w:val="0"/>
              <w:pageBreakBefore w:val="0"/>
              <w:widowControl/>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大厦楼层内</w:t>
            </w:r>
            <w:r>
              <w:rPr>
                <w:rFonts w:hint="eastAsia" w:asciiTheme="minorEastAsia" w:hAnsiTheme="minorEastAsia" w:cstheme="minorEastAsia"/>
                <w:color w:val="auto"/>
                <w:szCs w:val="21"/>
                <w:highlight w:val="none"/>
                <w:lang w:eastAsia="zh-CN"/>
              </w:rPr>
              <w:t>清洁</w:t>
            </w:r>
          </w:p>
          <w:p w14:paraId="57716D7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59F94F4F">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茶水间</w:t>
            </w:r>
          </w:p>
        </w:tc>
        <w:tc>
          <w:tcPr>
            <w:tcW w:w="1134" w:type="dxa"/>
            <w:vAlign w:val="center"/>
          </w:tcPr>
          <w:p w14:paraId="0EC958FD">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一次、并随时</w:t>
            </w:r>
            <w:r>
              <w:rPr>
                <w:rFonts w:hint="eastAsia" w:asciiTheme="minorEastAsia" w:hAnsiTheme="minorEastAsia" w:cstheme="minorEastAsia"/>
                <w:color w:val="auto"/>
                <w:szCs w:val="21"/>
                <w:highlight w:val="none"/>
                <w:lang w:eastAsia="zh-CN"/>
              </w:rPr>
              <w:t>清洁</w:t>
            </w:r>
          </w:p>
        </w:tc>
        <w:tc>
          <w:tcPr>
            <w:tcW w:w="851" w:type="dxa"/>
            <w:vAlign w:val="center"/>
          </w:tcPr>
          <w:p w14:paraId="3A96F246">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剂重点</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污渍两次</w:t>
            </w:r>
          </w:p>
        </w:tc>
        <w:tc>
          <w:tcPr>
            <w:tcW w:w="850" w:type="dxa"/>
            <w:vAlign w:val="center"/>
          </w:tcPr>
          <w:p w14:paraId="15395B81">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彻底清理一次</w:t>
            </w:r>
          </w:p>
        </w:tc>
        <w:tc>
          <w:tcPr>
            <w:tcW w:w="851" w:type="dxa"/>
            <w:vAlign w:val="center"/>
          </w:tcPr>
          <w:p w14:paraId="118EFFB8">
            <w:pPr>
              <w:keepNext w:val="0"/>
              <w:keepLines w:val="0"/>
              <w:pageBreakBefore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6AB682B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120分钟</w:t>
            </w:r>
          </w:p>
        </w:tc>
        <w:tc>
          <w:tcPr>
            <w:tcW w:w="1134" w:type="dxa"/>
            <w:vAlign w:val="center"/>
          </w:tcPr>
          <w:p w14:paraId="0437F8DE">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干净、无水渍无灰尘、污渍、无异味、</w:t>
            </w:r>
          </w:p>
        </w:tc>
        <w:tc>
          <w:tcPr>
            <w:tcW w:w="993" w:type="dxa"/>
            <w:vAlign w:val="center"/>
          </w:tcPr>
          <w:p w14:paraId="2A3681E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3702219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5EE97C2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8A8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39DAC90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375" w:type="dxa"/>
            <w:vMerge w:val="restart"/>
            <w:vAlign w:val="center"/>
          </w:tcPr>
          <w:p w14:paraId="058AF3E5">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洗手间</w:t>
            </w:r>
          </w:p>
        </w:tc>
        <w:tc>
          <w:tcPr>
            <w:tcW w:w="761" w:type="dxa"/>
            <w:vAlign w:val="center"/>
          </w:tcPr>
          <w:p w14:paraId="09276557">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门</w:t>
            </w:r>
          </w:p>
        </w:tc>
        <w:tc>
          <w:tcPr>
            <w:tcW w:w="1134" w:type="dxa"/>
            <w:vAlign w:val="center"/>
          </w:tcPr>
          <w:p w14:paraId="063F7C33">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用消毒剂清抹一次，</w:t>
            </w:r>
            <w:r>
              <w:rPr>
                <w:rFonts w:hint="eastAsia" w:asciiTheme="minorEastAsia" w:hAnsiTheme="minorEastAsia" w:cstheme="minorEastAsia"/>
                <w:color w:val="auto"/>
                <w:szCs w:val="21"/>
                <w:highlight w:val="none"/>
                <w:lang w:eastAsia="zh-CN"/>
              </w:rPr>
              <w:t>清洁</w:t>
            </w:r>
          </w:p>
        </w:tc>
        <w:tc>
          <w:tcPr>
            <w:tcW w:w="851" w:type="dxa"/>
            <w:vAlign w:val="center"/>
          </w:tcPr>
          <w:p w14:paraId="46DA9626">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6912167B">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4C967DA3">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DAF8E1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120分钟</w:t>
            </w:r>
          </w:p>
        </w:tc>
        <w:tc>
          <w:tcPr>
            <w:tcW w:w="1134" w:type="dxa"/>
            <w:vAlign w:val="center"/>
          </w:tcPr>
          <w:p w14:paraId="5C658BA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无灰尘、无污渍手印、卫生间木隔板无尘</w:t>
            </w:r>
          </w:p>
        </w:tc>
        <w:tc>
          <w:tcPr>
            <w:tcW w:w="993" w:type="dxa"/>
            <w:vAlign w:val="center"/>
          </w:tcPr>
          <w:p w14:paraId="47F7BF1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42" w:type="dxa"/>
            <w:vAlign w:val="center"/>
          </w:tcPr>
          <w:p w14:paraId="40DA39E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2D74B8A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2083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645CB86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375" w:type="dxa"/>
            <w:vMerge w:val="continue"/>
            <w:vAlign w:val="center"/>
          </w:tcPr>
          <w:p w14:paraId="08A77DB6">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761" w:type="dxa"/>
            <w:vAlign w:val="center"/>
          </w:tcPr>
          <w:p w14:paraId="7CEB2CA3">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地面</w:t>
            </w:r>
          </w:p>
        </w:tc>
        <w:tc>
          <w:tcPr>
            <w:tcW w:w="1134" w:type="dxa"/>
            <w:vAlign w:val="center"/>
          </w:tcPr>
          <w:p w14:paraId="7D497AE2">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用消毒剂拖一次</w:t>
            </w:r>
          </w:p>
        </w:tc>
        <w:tc>
          <w:tcPr>
            <w:tcW w:w="851" w:type="dxa"/>
            <w:vAlign w:val="center"/>
          </w:tcPr>
          <w:p w14:paraId="5BABC974">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787D800">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冲洗地面一次</w:t>
            </w:r>
          </w:p>
        </w:tc>
        <w:tc>
          <w:tcPr>
            <w:tcW w:w="851" w:type="dxa"/>
            <w:vAlign w:val="center"/>
          </w:tcPr>
          <w:p w14:paraId="3D9939FD">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313D2C4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120分钟</w:t>
            </w:r>
          </w:p>
        </w:tc>
        <w:tc>
          <w:tcPr>
            <w:tcW w:w="1134" w:type="dxa"/>
            <w:vAlign w:val="center"/>
          </w:tcPr>
          <w:p w14:paraId="07A951E9">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下水道口无积水，无水迹、无污迹、无异味，无杂物</w:t>
            </w:r>
          </w:p>
        </w:tc>
        <w:tc>
          <w:tcPr>
            <w:tcW w:w="993" w:type="dxa"/>
            <w:vAlign w:val="center"/>
          </w:tcPr>
          <w:p w14:paraId="41B153F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0A57163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508AFDF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F24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06E93AE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375" w:type="dxa"/>
            <w:vMerge w:val="continue"/>
            <w:vAlign w:val="center"/>
          </w:tcPr>
          <w:p w14:paraId="7341D9F0">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761" w:type="dxa"/>
            <w:vAlign w:val="center"/>
          </w:tcPr>
          <w:p w14:paraId="0A500F69">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墙身</w:t>
            </w:r>
          </w:p>
        </w:tc>
        <w:tc>
          <w:tcPr>
            <w:tcW w:w="1134" w:type="dxa"/>
            <w:vAlign w:val="center"/>
          </w:tcPr>
          <w:p w14:paraId="5070CC91">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用消毒剂清抹一次，</w:t>
            </w:r>
            <w:r>
              <w:rPr>
                <w:rFonts w:hint="eastAsia" w:asciiTheme="minorEastAsia" w:hAnsiTheme="minorEastAsia" w:cstheme="minorEastAsia"/>
                <w:color w:val="auto"/>
                <w:szCs w:val="21"/>
                <w:highlight w:val="none"/>
                <w:lang w:eastAsia="zh-CN"/>
              </w:rPr>
              <w:t>清洁</w:t>
            </w:r>
          </w:p>
        </w:tc>
        <w:tc>
          <w:tcPr>
            <w:tcW w:w="851" w:type="dxa"/>
            <w:vAlign w:val="center"/>
          </w:tcPr>
          <w:p w14:paraId="3C68C796">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剂清洗一次</w:t>
            </w:r>
          </w:p>
        </w:tc>
        <w:tc>
          <w:tcPr>
            <w:tcW w:w="850" w:type="dxa"/>
            <w:vAlign w:val="center"/>
          </w:tcPr>
          <w:p w14:paraId="39BE7400">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7171F086">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140096F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120分钟</w:t>
            </w:r>
          </w:p>
        </w:tc>
        <w:tc>
          <w:tcPr>
            <w:tcW w:w="1134" w:type="dxa"/>
            <w:vAlign w:val="center"/>
          </w:tcPr>
          <w:p w14:paraId="514CAF1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无蛛网、无灰尘、无污渍、水渍、洁净</w:t>
            </w:r>
          </w:p>
        </w:tc>
        <w:tc>
          <w:tcPr>
            <w:tcW w:w="993" w:type="dxa"/>
            <w:vAlign w:val="center"/>
          </w:tcPr>
          <w:p w14:paraId="26E9247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5BD9034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57F3CDA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433C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3F9D7EC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375" w:type="dxa"/>
            <w:vMerge w:val="continue"/>
            <w:vAlign w:val="center"/>
          </w:tcPr>
          <w:p w14:paraId="1603D527">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761" w:type="dxa"/>
            <w:vAlign w:val="center"/>
          </w:tcPr>
          <w:p w14:paraId="17EED981">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玻璃镜</w:t>
            </w:r>
          </w:p>
        </w:tc>
        <w:tc>
          <w:tcPr>
            <w:tcW w:w="1134" w:type="dxa"/>
            <w:vAlign w:val="center"/>
          </w:tcPr>
          <w:p w14:paraId="3F03B493">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用玻璃水清洗一次，</w:t>
            </w:r>
            <w:r>
              <w:rPr>
                <w:rFonts w:hint="eastAsia" w:asciiTheme="minorEastAsia" w:hAnsiTheme="minorEastAsia" w:cstheme="minorEastAsia"/>
                <w:color w:val="auto"/>
                <w:szCs w:val="21"/>
                <w:highlight w:val="none"/>
                <w:lang w:eastAsia="zh-CN"/>
              </w:rPr>
              <w:t>清洁</w:t>
            </w:r>
          </w:p>
        </w:tc>
        <w:tc>
          <w:tcPr>
            <w:tcW w:w="851" w:type="dxa"/>
            <w:vAlign w:val="center"/>
          </w:tcPr>
          <w:p w14:paraId="233060B5">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3523340B">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3A4857DC">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096A7D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120分钟</w:t>
            </w:r>
          </w:p>
        </w:tc>
        <w:tc>
          <w:tcPr>
            <w:tcW w:w="1134" w:type="dxa"/>
            <w:vAlign w:val="center"/>
          </w:tcPr>
          <w:p w14:paraId="7FE3164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光亮、无灰尘、无污渍、无手印、</w:t>
            </w:r>
          </w:p>
        </w:tc>
        <w:tc>
          <w:tcPr>
            <w:tcW w:w="993" w:type="dxa"/>
            <w:vAlign w:val="center"/>
          </w:tcPr>
          <w:p w14:paraId="63EF95F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1F9346B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454FF72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941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431C34E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375" w:type="dxa"/>
            <w:vMerge w:val="continue"/>
            <w:vAlign w:val="center"/>
          </w:tcPr>
          <w:p w14:paraId="0408F7D6">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761" w:type="dxa"/>
            <w:vAlign w:val="center"/>
          </w:tcPr>
          <w:p w14:paraId="44E868A8">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洗手盆、台面、水池</w:t>
            </w:r>
          </w:p>
        </w:tc>
        <w:tc>
          <w:tcPr>
            <w:tcW w:w="1134" w:type="dxa"/>
            <w:vAlign w:val="center"/>
          </w:tcPr>
          <w:p w14:paraId="7C1401BC">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用消毒剂清抹一次</w:t>
            </w:r>
            <w:r>
              <w:rPr>
                <w:rFonts w:hint="eastAsia" w:asciiTheme="minorEastAsia" w:hAnsiTheme="minorEastAsia" w:cstheme="minorEastAsia"/>
                <w:color w:val="auto"/>
                <w:szCs w:val="21"/>
                <w:highlight w:val="none"/>
                <w:lang w:eastAsia="zh-CN"/>
              </w:rPr>
              <w:t>清洁</w:t>
            </w:r>
          </w:p>
        </w:tc>
        <w:tc>
          <w:tcPr>
            <w:tcW w:w="851" w:type="dxa"/>
            <w:vAlign w:val="center"/>
          </w:tcPr>
          <w:p w14:paraId="614B0781">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CB16423">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649AF8C4">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25DE369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120分钟</w:t>
            </w:r>
          </w:p>
        </w:tc>
        <w:tc>
          <w:tcPr>
            <w:tcW w:w="1134" w:type="dxa"/>
            <w:vAlign w:val="center"/>
          </w:tcPr>
          <w:p w14:paraId="60538D68">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无灰尘、无污渍无痰渍</w:t>
            </w:r>
          </w:p>
        </w:tc>
        <w:tc>
          <w:tcPr>
            <w:tcW w:w="993" w:type="dxa"/>
            <w:vAlign w:val="center"/>
          </w:tcPr>
          <w:p w14:paraId="75C9ABE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1A7A56E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15F9A0B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759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3AC9454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375" w:type="dxa"/>
            <w:vMerge w:val="continue"/>
            <w:vAlign w:val="center"/>
          </w:tcPr>
          <w:p w14:paraId="46A06914">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761" w:type="dxa"/>
            <w:vAlign w:val="center"/>
          </w:tcPr>
          <w:p w14:paraId="24202969">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水龙头等电镀设备</w:t>
            </w:r>
          </w:p>
        </w:tc>
        <w:tc>
          <w:tcPr>
            <w:tcW w:w="1134" w:type="dxa"/>
            <w:vAlign w:val="center"/>
          </w:tcPr>
          <w:p w14:paraId="6E06183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851" w:type="dxa"/>
            <w:vAlign w:val="center"/>
          </w:tcPr>
          <w:p w14:paraId="5BA8D71B">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2FB52C46">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7C709825">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707AACB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120分钟</w:t>
            </w:r>
          </w:p>
        </w:tc>
        <w:tc>
          <w:tcPr>
            <w:tcW w:w="1134" w:type="dxa"/>
            <w:vAlign w:val="center"/>
          </w:tcPr>
          <w:p w14:paraId="0AF879A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保持光亮</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rPr>
              <w:t>无浮尘</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rPr>
              <w:t>无水痕</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rPr>
              <w:t>无锈斑</w:t>
            </w:r>
          </w:p>
        </w:tc>
        <w:tc>
          <w:tcPr>
            <w:tcW w:w="993" w:type="dxa"/>
            <w:vAlign w:val="center"/>
          </w:tcPr>
          <w:p w14:paraId="5F3BE59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38F8B00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78DBB5B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33D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2C59A49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375" w:type="dxa"/>
            <w:vMerge w:val="continue"/>
            <w:vAlign w:val="center"/>
          </w:tcPr>
          <w:p w14:paraId="1B3F292B">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761" w:type="dxa"/>
            <w:vAlign w:val="center"/>
          </w:tcPr>
          <w:p w14:paraId="3B68854F">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大小便器</w:t>
            </w:r>
          </w:p>
        </w:tc>
        <w:tc>
          <w:tcPr>
            <w:tcW w:w="1134" w:type="dxa"/>
            <w:vAlign w:val="center"/>
          </w:tcPr>
          <w:p w14:paraId="7FB0EE47">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用消毒</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剂清洗一次，随时</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，定时放卫生球和喷空气清新剂</w:t>
            </w:r>
          </w:p>
        </w:tc>
        <w:tc>
          <w:tcPr>
            <w:tcW w:w="851" w:type="dxa"/>
            <w:vAlign w:val="center"/>
          </w:tcPr>
          <w:p w14:paraId="4A8C1C00">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用消毒剂全面大</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850" w:type="dxa"/>
            <w:vAlign w:val="center"/>
          </w:tcPr>
          <w:p w14:paraId="7F3BF215">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定时检查管道畅通情况，发现堵塞及时处理</w:t>
            </w:r>
          </w:p>
        </w:tc>
        <w:tc>
          <w:tcPr>
            <w:tcW w:w="851" w:type="dxa"/>
            <w:vAlign w:val="center"/>
          </w:tcPr>
          <w:p w14:paraId="0CC77DE7">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22672DF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120分钟</w:t>
            </w:r>
          </w:p>
        </w:tc>
        <w:tc>
          <w:tcPr>
            <w:tcW w:w="1134" w:type="dxa"/>
            <w:vAlign w:val="center"/>
          </w:tcPr>
          <w:p w14:paraId="004DD1EE">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无污渍无垢、干净</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，保持卫生间空气清新</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rPr>
              <w:t>无异味</w:t>
            </w:r>
          </w:p>
          <w:p w14:paraId="3D6C3C3F">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保证有足够厕纸、香精球及洗手液</w:t>
            </w:r>
          </w:p>
        </w:tc>
        <w:tc>
          <w:tcPr>
            <w:tcW w:w="993" w:type="dxa"/>
            <w:vAlign w:val="center"/>
          </w:tcPr>
          <w:p w14:paraId="162B235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17B8B8E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7876669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C91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5DDC349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20B54D2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扶手、护栏</w:t>
            </w:r>
          </w:p>
        </w:tc>
        <w:tc>
          <w:tcPr>
            <w:tcW w:w="1134" w:type="dxa"/>
            <w:vAlign w:val="center"/>
          </w:tcPr>
          <w:p w14:paraId="57BD94B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扶手清抹一次</w:t>
            </w:r>
          </w:p>
        </w:tc>
        <w:tc>
          <w:tcPr>
            <w:tcW w:w="851" w:type="dxa"/>
            <w:vAlign w:val="center"/>
          </w:tcPr>
          <w:p w14:paraId="17DD631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护栏每周擦一次</w:t>
            </w:r>
          </w:p>
        </w:tc>
        <w:tc>
          <w:tcPr>
            <w:tcW w:w="850" w:type="dxa"/>
            <w:vAlign w:val="center"/>
          </w:tcPr>
          <w:p w14:paraId="6F466D57">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47CE27C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25BC55B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7C3A1F9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无灰尘、污迹</w:t>
            </w:r>
          </w:p>
        </w:tc>
        <w:tc>
          <w:tcPr>
            <w:tcW w:w="993" w:type="dxa"/>
            <w:vAlign w:val="center"/>
          </w:tcPr>
          <w:p w14:paraId="24160FB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以纸巾擦拭</w:t>
            </w:r>
          </w:p>
        </w:tc>
        <w:tc>
          <w:tcPr>
            <w:tcW w:w="1842" w:type="dxa"/>
            <w:vAlign w:val="center"/>
          </w:tcPr>
          <w:p w14:paraId="4E92273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4F0800B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1DA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4727E82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346A2BEA">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楼层楼梯</w:t>
            </w:r>
          </w:p>
        </w:tc>
        <w:tc>
          <w:tcPr>
            <w:tcW w:w="1134" w:type="dxa"/>
            <w:vAlign w:val="center"/>
          </w:tcPr>
          <w:p w14:paraId="6B4CC6DE">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扫、拖</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一次，去污迹</w:t>
            </w:r>
          </w:p>
        </w:tc>
        <w:tc>
          <w:tcPr>
            <w:tcW w:w="851" w:type="dxa"/>
            <w:vAlign w:val="center"/>
          </w:tcPr>
          <w:p w14:paraId="4B6403EC">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B29A8C5">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每月全面清洗一次</w:t>
            </w:r>
          </w:p>
        </w:tc>
        <w:tc>
          <w:tcPr>
            <w:tcW w:w="851" w:type="dxa"/>
            <w:vAlign w:val="center"/>
          </w:tcPr>
          <w:p w14:paraId="5F67E864">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281CCB1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46B274E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目视地面无烟头、纸屑、杂物等，无明显污渍</w:t>
            </w:r>
          </w:p>
        </w:tc>
        <w:tc>
          <w:tcPr>
            <w:tcW w:w="993" w:type="dxa"/>
            <w:vAlign w:val="center"/>
          </w:tcPr>
          <w:p w14:paraId="75A8733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3178A20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170B82E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446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5AD5A76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4ACCF43E">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墙身</w:t>
            </w:r>
          </w:p>
        </w:tc>
        <w:tc>
          <w:tcPr>
            <w:tcW w:w="1134" w:type="dxa"/>
            <w:vAlign w:val="center"/>
          </w:tcPr>
          <w:p w14:paraId="4D669E42">
            <w:pPr>
              <w:keepNext w:val="0"/>
              <w:keepLines w:val="0"/>
              <w:pageBreakBefore w:val="0"/>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tc>
        <w:tc>
          <w:tcPr>
            <w:tcW w:w="851" w:type="dxa"/>
            <w:vAlign w:val="center"/>
          </w:tcPr>
          <w:p w14:paraId="229CB50F">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850" w:type="dxa"/>
            <w:vAlign w:val="center"/>
          </w:tcPr>
          <w:p w14:paraId="5FA02283">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028387DE">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076039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1134" w:type="dxa"/>
            <w:vAlign w:val="center"/>
          </w:tcPr>
          <w:p w14:paraId="7339E08B">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无灰尘及无污渍、蜘蛛网等</w:t>
            </w:r>
          </w:p>
        </w:tc>
        <w:tc>
          <w:tcPr>
            <w:tcW w:w="993" w:type="dxa"/>
            <w:vAlign w:val="center"/>
          </w:tcPr>
          <w:p w14:paraId="2EDFCF3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02C7EEB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4C1F55E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4B9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2648F5F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0BA7997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玻璃（门、窗）</w:t>
            </w:r>
          </w:p>
        </w:tc>
        <w:tc>
          <w:tcPr>
            <w:tcW w:w="1134" w:type="dxa"/>
            <w:vAlign w:val="center"/>
          </w:tcPr>
          <w:p w14:paraId="338E50F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用玻璃水清抹一次并随时</w:t>
            </w:r>
            <w:r>
              <w:rPr>
                <w:rFonts w:hint="eastAsia" w:asciiTheme="minorEastAsia" w:hAnsiTheme="minorEastAsia" w:cstheme="minorEastAsia"/>
                <w:color w:val="auto"/>
                <w:szCs w:val="21"/>
                <w:highlight w:val="none"/>
                <w:lang w:eastAsia="zh-CN"/>
              </w:rPr>
              <w:t>清洁</w:t>
            </w:r>
          </w:p>
        </w:tc>
        <w:tc>
          <w:tcPr>
            <w:tcW w:w="851" w:type="dxa"/>
            <w:vAlign w:val="center"/>
          </w:tcPr>
          <w:p w14:paraId="1EC1BFF1">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762582CE">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2AED99C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剂清抹一次</w:t>
            </w:r>
          </w:p>
        </w:tc>
        <w:tc>
          <w:tcPr>
            <w:tcW w:w="850" w:type="dxa"/>
            <w:vAlign w:val="center"/>
          </w:tcPr>
          <w:p w14:paraId="4188436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67312E3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平无尘、无污迹；清洗后无明显污迹</w:t>
            </w:r>
          </w:p>
        </w:tc>
        <w:tc>
          <w:tcPr>
            <w:tcW w:w="993" w:type="dxa"/>
            <w:vAlign w:val="center"/>
          </w:tcPr>
          <w:p w14:paraId="4B3E4C0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以纸巾擦拭</w:t>
            </w:r>
          </w:p>
        </w:tc>
        <w:tc>
          <w:tcPr>
            <w:tcW w:w="1842" w:type="dxa"/>
            <w:vAlign w:val="center"/>
          </w:tcPr>
          <w:p w14:paraId="13966E5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030B585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5A2C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04EB668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4C67B85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公共走廊玻璃墙面  （外侧）</w:t>
            </w:r>
          </w:p>
        </w:tc>
        <w:tc>
          <w:tcPr>
            <w:tcW w:w="1134" w:type="dxa"/>
            <w:vAlign w:val="center"/>
          </w:tcPr>
          <w:p w14:paraId="31471FA1">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tc>
        <w:tc>
          <w:tcPr>
            <w:tcW w:w="851" w:type="dxa"/>
            <w:vAlign w:val="center"/>
          </w:tcPr>
          <w:p w14:paraId="79E470B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用玻璃水清洗一次</w:t>
            </w:r>
          </w:p>
        </w:tc>
        <w:tc>
          <w:tcPr>
            <w:tcW w:w="850" w:type="dxa"/>
            <w:vAlign w:val="center"/>
          </w:tcPr>
          <w:p w14:paraId="2D5FC18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7B716603">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516F524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2DC7CA1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无灰尘、污渍、手印、光洁明亮</w:t>
            </w:r>
          </w:p>
        </w:tc>
        <w:tc>
          <w:tcPr>
            <w:tcW w:w="993" w:type="dxa"/>
            <w:vAlign w:val="center"/>
          </w:tcPr>
          <w:p w14:paraId="163AB36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35D95E5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7020CEE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17E9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2D81F87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79E7EEB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水泥地面</w:t>
            </w:r>
          </w:p>
        </w:tc>
        <w:tc>
          <w:tcPr>
            <w:tcW w:w="1134" w:type="dxa"/>
            <w:vAlign w:val="center"/>
          </w:tcPr>
          <w:p w14:paraId="604619E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清扫一次</w:t>
            </w:r>
          </w:p>
        </w:tc>
        <w:tc>
          <w:tcPr>
            <w:tcW w:w="851" w:type="dxa"/>
            <w:vAlign w:val="center"/>
          </w:tcPr>
          <w:p w14:paraId="6FACB4E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拖拭一次</w:t>
            </w:r>
          </w:p>
        </w:tc>
        <w:tc>
          <w:tcPr>
            <w:tcW w:w="850" w:type="dxa"/>
            <w:vAlign w:val="center"/>
          </w:tcPr>
          <w:p w14:paraId="0F81C3E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冲洗一次</w:t>
            </w:r>
          </w:p>
        </w:tc>
        <w:tc>
          <w:tcPr>
            <w:tcW w:w="851" w:type="dxa"/>
            <w:vAlign w:val="center"/>
          </w:tcPr>
          <w:p w14:paraId="5B225D0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7CA8BCB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00E1035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无杂物、明显油迹、污迹/沙子</w:t>
            </w:r>
          </w:p>
        </w:tc>
        <w:tc>
          <w:tcPr>
            <w:tcW w:w="993" w:type="dxa"/>
            <w:vAlign w:val="center"/>
          </w:tcPr>
          <w:p w14:paraId="36043D1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47BBB5D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00E3335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C6B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3931A33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4E4D5C9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瓷砖地面</w:t>
            </w:r>
          </w:p>
        </w:tc>
        <w:tc>
          <w:tcPr>
            <w:tcW w:w="1134" w:type="dxa"/>
            <w:vAlign w:val="center"/>
          </w:tcPr>
          <w:p w14:paraId="01E3B3F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拖拭一次</w:t>
            </w:r>
          </w:p>
          <w:p w14:paraId="5E0B408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并清扫一次</w:t>
            </w:r>
          </w:p>
        </w:tc>
        <w:tc>
          <w:tcPr>
            <w:tcW w:w="851" w:type="dxa"/>
            <w:vAlign w:val="center"/>
          </w:tcPr>
          <w:p w14:paraId="6A538D22">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BDD297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用洗地机擦洗地板污渍一次</w:t>
            </w:r>
          </w:p>
        </w:tc>
        <w:tc>
          <w:tcPr>
            <w:tcW w:w="851" w:type="dxa"/>
            <w:vAlign w:val="center"/>
          </w:tcPr>
          <w:p w14:paraId="5CA78E9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D78A36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0FA56D6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无杂物、油迹、污迹/沙子、水渍</w:t>
            </w:r>
          </w:p>
        </w:tc>
        <w:tc>
          <w:tcPr>
            <w:tcW w:w="993" w:type="dxa"/>
            <w:vAlign w:val="center"/>
          </w:tcPr>
          <w:p w14:paraId="73AB1E0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42" w:type="dxa"/>
            <w:vAlign w:val="center"/>
          </w:tcPr>
          <w:p w14:paraId="752DEEE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3BD8BD5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18C4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67C7284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7D54522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大理石地面</w:t>
            </w:r>
          </w:p>
        </w:tc>
        <w:tc>
          <w:tcPr>
            <w:tcW w:w="1134" w:type="dxa"/>
            <w:vAlign w:val="center"/>
          </w:tcPr>
          <w:p w14:paraId="029859D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用尘推配合静电除尘剂拖扫地面并随时</w:t>
            </w:r>
            <w:r>
              <w:rPr>
                <w:rFonts w:hint="eastAsia" w:asciiTheme="minorEastAsia" w:hAnsiTheme="minorEastAsia" w:cstheme="minorEastAsia"/>
                <w:color w:val="auto"/>
                <w:szCs w:val="21"/>
                <w:highlight w:val="none"/>
                <w:lang w:eastAsia="zh-CN"/>
              </w:rPr>
              <w:t>清洁</w:t>
            </w:r>
          </w:p>
        </w:tc>
        <w:tc>
          <w:tcPr>
            <w:tcW w:w="851" w:type="dxa"/>
            <w:vAlign w:val="center"/>
          </w:tcPr>
          <w:p w14:paraId="4BEC6DC4">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1B6B086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用抛光机抛光补蜡一次</w:t>
            </w:r>
          </w:p>
        </w:tc>
        <w:tc>
          <w:tcPr>
            <w:tcW w:w="851" w:type="dxa"/>
            <w:vAlign w:val="center"/>
          </w:tcPr>
          <w:p w14:paraId="7849FF3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起蜡重新打蜡保养一次</w:t>
            </w:r>
          </w:p>
        </w:tc>
        <w:tc>
          <w:tcPr>
            <w:tcW w:w="850" w:type="dxa"/>
            <w:vAlign w:val="center"/>
          </w:tcPr>
          <w:p w14:paraId="0813A49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7295534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无灰尘、无污渍、秽迹，地板光洁如镜</w:t>
            </w:r>
          </w:p>
        </w:tc>
        <w:tc>
          <w:tcPr>
            <w:tcW w:w="993" w:type="dxa"/>
            <w:vAlign w:val="center"/>
          </w:tcPr>
          <w:p w14:paraId="3034835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7430A93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349F041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2B3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70EF45D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5DADB4B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垃圾桶（箱）</w:t>
            </w:r>
          </w:p>
        </w:tc>
        <w:tc>
          <w:tcPr>
            <w:tcW w:w="1134" w:type="dxa"/>
            <w:vAlign w:val="center"/>
          </w:tcPr>
          <w:p w14:paraId="13A008B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清抹一次，收换垃圾袋</w:t>
            </w:r>
          </w:p>
        </w:tc>
        <w:tc>
          <w:tcPr>
            <w:tcW w:w="851" w:type="dxa"/>
            <w:vAlign w:val="center"/>
          </w:tcPr>
          <w:p w14:paraId="3982C5A3">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0E9BF6D">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75730C2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522CFF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7CEF8FE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垃圾不过满、无异味、无蚊蝇飞舞</w:t>
            </w:r>
          </w:p>
        </w:tc>
        <w:tc>
          <w:tcPr>
            <w:tcW w:w="993" w:type="dxa"/>
            <w:vAlign w:val="center"/>
          </w:tcPr>
          <w:p w14:paraId="27DB495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08C20D9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5B63BBB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95E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77DDE4E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0AB5170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日光灯</w:t>
            </w:r>
          </w:p>
        </w:tc>
        <w:tc>
          <w:tcPr>
            <w:tcW w:w="1134" w:type="dxa"/>
            <w:vAlign w:val="center"/>
          </w:tcPr>
          <w:p w14:paraId="0FABD9B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4558022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850" w:type="dxa"/>
            <w:vAlign w:val="center"/>
          </w:tcPr>
          <w:p w14:paraId="58BA3AB8">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3D2BC5A4">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670A587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一周</w:t>
            </w:r>
          </w:p>
        </w:tc>
        <w:tc>
          <w:tcPr>
            <w:tcW w:w="1134" w:type="dxa"/>
            <w:vAlign w:val="center"/>
          </w:tcPr>
          <w:p w14:paraId="13AE5D9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无灰尘、污迹</w:t>
            </w:r>
          </w:p>
        </w:tc>
        <w:tc>
          <w:tcPr>
            <w:tcW w:w="993" w:type="dxa"/>
            <w:vAlign w:val="center"/>
          </w:tcPr>
          <w:p w14:paraId="07E7EC1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42" w:type="dxa"/>
            <w:vAlign w:val="center"/>
          </w:tcPr>
          <w:p w14:paraId="0898FEC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11BB115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30F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5CCD0F6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4B5EE95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开关、消防报警按钮</w:t>
            </w:r>
          </w:p>
        </w:tc>
        <w:tc>
          <w:tcPr>
            <w:tcW w:w="1134" w:type="dxa"/>
            <w:vAlign w:val="center"/>
          </w:tcPr>
          <w:p w14:paraId="2181ED7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851" w:type="dxa"/>
            <w:vAlign w:val="center"/>
          </w:tcPr>
          <w:p w14:paraId="1A09D4B9">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6EEA35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3CE19D8D">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5F1782B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5D2AF4C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无灰尘、污迹</w:t>
            </w:r>
          </w:p>
        </w:tc>
        <w:tc>
          <w:tcPr>
            <w:tcW w:w="993" w:type="dxa"/>
            <w:vAlign w:val="center"/>
          </w:tcPr>
          <w:p w14:paraId="350583B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手摸</w:t>
            </w:r>
          </w:p>
        </w:tc>
        <w:tc>
          <w:tcPr>
            <w:tcW w:w="1842" w:type="dxa"/>
            <w:vAlign w:val="center"/>
          </w:tcPr>
          <w:p w14:paraId="68ECF20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69A0209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1E9F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6B0EFD8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56D9F744">
            <w:pPr>
              <w:keepNext w:val="0"/>
              <w:keepLines w:val="0"/>
              <w:pageBreakBefore w:val="0"/>
              <w:kinsoku/>
              <w:wordWrap/>
              <w:overflowPunct/>
              <w:topLinePunct w:val="0"/>
              <w:bidi w:val="0"/>
              <w:adjustRightInd w:val="0"/>
              <w:snapToGrid w:val="0"/>
              <w:spacing w:line="440" w:lineRule="exact"/>
              <w:jc w:val="lef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不锈钢指示牌</w:t>
            </w:r>
          </w:p>
        </w:tc>
        <w:tc>
          <w:tcPr>
            <w:tcW w:w="1134" w:type="dxa"/>
            <w:vAlign w:val="center"/>
          </w:tcPr>
          <w:p w14:paraId="56901C4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配合不锈钢保养剂擦抹一次</w:t>
            </w:r>
          </w:p>
        </w:tc>
        <w:tc>
          <w:tcPr>
            <w:tcW w:w="851" w:type="dxa"/>
            <w:vAlign w:val="center"/>
          </w:tcPr>
          <w:p w14:paraId="027500B8">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698C1928">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3641B447">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65E0E8D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106A3A0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w:t>
            </w:r>
          </w:p>
        </w:tc>
        <w:tc>
          <w:tcPr>
            <w:tcW w:w="993" w:type="dxa"/>
            <w:vAlign w:val="center"/>
          </w:tcPr>
          <w:p w14:paraId="0335215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42" w:type="dxa"/>
            <w:vAlign w:val="center"/>
          </w:tcPr>
          <w:p w14:paraId="77DA932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6BE50FF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42E8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26A0485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13E9D181">
            <w:pPr>
              <w:keepNext w:val="0"/>
              <w:keepLines w:val="0"/>
              <w:pageBreakBefore w:val="0"/>
              <w:kinsoku/>
              <w:wordWrap/>
              <w:overflowPunct/>
              <w:topLinePunct w:val="0"/>
              <w:bidi w:val="0"/>
              <w:adjustRightInd w:val="0"/>
              <w:snapToGrid w:val="0"/>
              <w:spacing w:line="440" w:lineRule="exact"/>
              <w:jc w:val="lef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信报箱、</w:t>
            </w:r>
          </w:p>
          <w:p w14:paraId="78738A52">
            <w:pPr>
              <w:keepNext w:val="0"/>
              <w:keepLines w:val="0"/>
              <w:pageBreakBefore w:val="0"/>
              <w:kinsoku/>
              <w:wordWrap/>
              <w:overflowPunct/>
              <w:topLinePunct w:val="0"/>
              <w:bidi w:val="0"/>
              <w:adjustRightInd w:val="0"/>
              <w:snapToGrid w:val="0"/>
              <w:spacing w:line="440" w:lineRule="exact"/>
              <w:jc w:val="lef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不锈钢设施</w:t>
            </w:r>
          </w:p>
        </w:tc>
        <w:tc>
          <w:tcPr>
            <w:tcW w:w="1134" w:type="dxa"/>
            <w:vAlign w:val="center"/>
          </w:tcPr>
          <w:p w14:paraId="6C56791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用不锈钢保养剂</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一次，随时</w:t>
            </w:r>
            <w:r>
              <w:rPr>
                <w:rFonts w:hint="eastAsia" w:asciiTheme="minorEastAsia" w:hAnsiTheme="minorEastAsia" w:cstheme="minorEastAsia"/>
                <w:color w:val="auto"/>
                <w:szCs w:val="21"/>
                <w:highlight w:val="none"/>
                <w:lang w:eastAsia="zh-CN"/>
              </w:rPr>
              <w:t>清洁</w:t>
            </w:r>
          </w:p>
        </w:tc>
        <w:tc>
          <w:tcPr>
            <w:tcW w:w="851" w:type="dxa"/>
            <w:vAlign w:val="center"/>
          </w:tcPr>
          <w:p w14:paraId="078810F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上不锈钢油两次</w:t>
            </w:r>
          </w:p>
        </w:tc>
        <w:tc>
          <w:tcPr>
            <w:tcW w:w="850" w:type="dxa"/>
            <w:vAlign w:val="center"/>
          </w:tcPr>
          <w:p w14:paraId="2D9CA43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4D152017">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5349B2E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2AC3AF0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无灰尘、无污渍无痕印、手印</w:t>
            </w:r>
          </w:p>
        </w:tc>
        <w:tc>
          <w:tcPr>
            <w:tcW w:w="993" w:type="dxa"/>
            <w:vAlign w:val="center"/>
          </w:tcPr>
          <w:p w14:paraId="7970076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42" w:type="dxa"/>
            <w:vAlign w:val="center"/>
          </w:tcPr>
          <w:p w14:paraId="271EE25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323C60D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02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70" w:type="dxa"/>
            <w:vMerge w:val="continue"/>
            <w:vAlign w:val="center"/>
          </w:tcPr>
          <w:p w14:paraId="14246BF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0CDD3CD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天花</w:t>
            </w:r>
          </w:p>
        </w:tc>
        <w:tc>
          <w:tcPr>
            <w:tcW w:w="1134" w:type="dxa"/>
            <w:vAlign w:val="center"/>
          </w:tcPr>
          <w:p w14:paraId="7A7EB42D">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3E577AC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850" w:type="dxa"/>
            <w:vAlign w:val="center"/>
          </w:tcPr>
          <w:p w14:paraId="188C680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6E36DCD2">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CB4F32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6AAE5FD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无明显蛛网、积尘</w:t>
            </w:r>
          </w:p>
        </w:tc>
        <w:tc>
          <w:tcPr>
            <w:tcW w:w="993" w:type="dxa"/>
            <w:vAlign w:val="center"/>
          </w:tcPr>
          <w:p w14:paraId="276700A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01CCF45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319FBC6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95B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58E25B9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3F6C5D8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墙面（涂料）</w:t>
            </w:r>
          </w:p>
        </w:tc>
        <w:tc>
          <w:tcPr>
            <w:tcW w:w="1134" w:type="dxa"/>
            <w:vAlign w:val="center"/>
          </w:tcPr>
          <w:p w14:paraId="2669FB56">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6DB902C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850" w:type="dxa"/>
            <w:vAlign w:val="center"/>
          </w:tcPr>
          <w:p w14:paraId="474A7262">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622AAF7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4EF9A2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6E0E96F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无明显污迹、脚印</w:t>
            </w:r>
          </w:p>
        </w:tc>
        <w:tc>
          <w:tcPr>
            <w:tcW w:w="993" w:type="dxa"/>
            <w:vAlign w:val="center"/>
          </w:tcPr>
          <w:p w14:paraId="2B4F334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355AD24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7D13108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A71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5D6CE40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61C0372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灭火器、消火栓</w:t>
            </w:r>
          </w:p>
        </w:tc>
        <w:tc>
          <w:tcPr>
            <w:tcW w:w="1134" w:type="dxa"/>
            <w:vAlign w:val="center"/>
          </w:tcPr>
          <w:p w14:paraId="3415D53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69EF12E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擦抹一次</w:t>
            </w:r>
          </w:p>
        </w:tc>
        <w:tc>
          <w:tcPr>
            <w:tcW w:w="850" w:type="dxa"/>
            <w:vAlign w:val="center"/>
          </w:tcPr>
          <w:p w14:paraId="6EB4068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249980A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272836C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一周</w:t>
            </w:r>
          </w:p>
        </w:tc>
        <w:tc>
          <w:tcPr>
            <w:tcW w:w="1134" w:type="dxa"/>
            <w:vAlign w:val="center"/>
          </w:tcPr>
          <w:p w14:paraId="69587B5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无灰尘、污迹</w:t>
            </w:r>
          </w:p>
        </w:tc>
        <w:tc>
          <w:tcPr>
            <w:tcW w:w="993" w:type="dxa"/>
            <w:vAlign w:val="center"/>
          </w:tcPr>
          <w:p w14:paraId="5795F8B4">
            <w:pPr>
              <w:keepNext w:val="0"/>
              <w:keepLines w:val="0"/>
              <w:pageBreakBefore w:val="0"/>
              <w:widowControl/>
              <w:tabs>
                <w:tab w:val="right" w:pos="1824"/>
              </w:tabs>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手摸</w:t>
            </w:r>
          </w:p>
        </w:tc>
        <w:tc>
          <w:tcPr>
            <w:tcW w:w="1842" w:type="dxa"/>
            <w:vAlign w:val="center"/>
          </w:tcPr>
          <w:p w14:paraId="41D3E1C0">
            <w:pPr>
              <w:keepNext w:val="0"/>
              <w:keepLines w:val="0"/>
              <w:pageBreakBefore w:val="0"/>
              <w:widowControl/>
              <w:tabs>
                <w:tab w:val="right" w:pos="1824"/>
              </w:tabs>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417A9CBB">
            <w:pPr>
              <w:keepNext w:val="0"/>
              <w:keepLines w:val="0"/>
              <w:pageBreakBefore w:val="0"/>
              <w:widowControl/>
              <w:tabs>
                <w:tab w:val="right" w:pos="1824"/>
              </w:tabs>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4934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28ED454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0C223AE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标识牌</w:t>
            </w:r>
          </w:p>
        </w:tc>
        <w:tc>
          <w:tcPr>
            <w:tcW w:w="1134" w:type="dxa"/>
            <w:vAlign w:val="center"/>
          </w:tcPr>
          <w:p w14:paraId="39B27606">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735E4D1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擦抹一次</w:t>
            </w:r>
          </w:p>
        </w:tc>
        <w:tc>
          <w:tcPr>
            <w:tcW w:w="850" w:type="dxa"/>
            <w:vAlign w:val="center"/>
          </w:tcPr>
          <w:p w14:paraId="78D38E8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0EBCBA5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E9CD65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4DFAB2E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无明显污迹、灰尘</w:t>
            </w:r>
          </w:p>
        </w:tc>
        <w:tc>
          <w:tcPr>
            <w:tcW w:w="993" w:type="dxa"/>
            <w:vAlign w:val="center"/>
          </w:tcPr>
          <w:p w14:paraId="09921CE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以纸巾擦拭或手摸</w:t>
            </w:r>
          </w:p>
        </w:tc>
        <w:tc>
          <w:tcPr>
            <w:tcW w:w="1842" w:type="dxa"/>
            <w:vAlign w:val="center"/>
          </w:tcPr>
          <w:p w14:paraId="60C03C9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70D29F9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0E9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70" w:type="dxa"/>
            <w:vMerge w:val="continue"/>
            <w:vAlign w:val="center"/>
          </w:tcPr>
          <w:p w14:paraId="74678AC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136" w:type="dxa"/>
            <w:gridSpan w:val="2"/>
            <w:vAlign w:val="center"/>
          </w:tcPr>
          <w:p w14:paraId="785A487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玻璃天顶</w:t>
            </w:r>
          </w:p>
        </w:tc>
        <w:tc>
          <w:tcPr>
            <w:tcW w:w="1134" w:type="dxa"/>
            <w:vAlign w:val="center"/>
          </w:tcPr>
          <w:p w14:paraId="4E20A9D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851" w:type="dxa"/>
            <w:vAlign w:val="center"/>
          </w:tcPr>
          <w:p w14:paraId="3CA921C4">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EFA2C87">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2C0E2B2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602A08F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4845753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无明显蛛网、积尘</w:t>
            </w:r>
          </w:p>
        </w:tc>
        <w:tc>
          <w:tcPr>
            <w:tcW w:w="993" w:type="dxa"/>
            <w:vAlign w:val="center"/>
          </w:tcPr>
          <w:p w14:paraId="569130F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478F96D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4CCC71D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5CD6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restart"/>
            <w:vAlign w:val="center"/>
          </w:tcPr>
          <w:p w14:paraId="199ED33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电梯</w:t>
            </w:r>
          </w:p>
        </w:tc>
        <w:tc>
          <w:tcPr>
            <w:tcW w:w="1136" w:type="dxa"/>
            <w:gridSpan w:val="2"/>
            <w:vAlign w:val="center"/>
          </w:tcPr>
          <w:p w14:paraId="05A3E8FF">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垂直电梯外门</w:t>
            </w:r>
          </w:p>
          <w:p w14:paraId="2B30465F">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（含门框及按钮）</w:t>
            </w:r>
          </w:p>
        </w:tc>
        <w:tc>
          <w:tcPr>
            <w:tcW w:w="1134" w:type="dxa"/>
            <w:vAlign w:val="center"/>
          </w:tcPr>
          <w:p w14:paraId="24610482">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打进口不锈钢油一次，随时清抹</w:t>
            </w:r>
            <w:r>
              <w:rPr>
                <w:rFonts w:hint="eastAsia" w:asciiTheme="minorEastAsia" w:hAnsiTheme="minorEastAsia" w:cstheme="minorEastAsia"/>
                <w:color w:val="auto"/>
                <w:szCs w:val="21"/>
                <w:highlight w:val="none"/>
                <w:lang w:eastAsia="zh-CN"/>
              </w:rPr>
              <w:t>清洁</w:t>
            </w:r>
          </w:p>
        </w:tc>
        <w:tc>
          <w:tcPr>
            <w:tcW w:w="851" w:type="dxa"/>
            <w:vAlign w:val="center"/>
          </w:tcPr>
          <w:p w14:paraId="57DF2995">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用中性</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剂清洗后打钢油一次</w:t>
            </w:r>
          </w:p>
        </w:tc>
        <w:tc>
          <w:tcPr>
            <w:tcW w:w="850" w:type="dxa"/>
            <w:vAlign w:val="center"/>
          </w:tcPr>
          <w:p w14:paraId="154F83FA">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0F349932">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C51647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5DD4576B">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镜面光洁、明亮，无垃圾、灰尘、无污渍手印、无钢锈</w:t>
            </w:r>
          </w:p>
        </w:tc>
        <w:tc>
          <w:tcPr>
            <w:tcW w:w="993" w:type="dxa"/>
            <w:vAlign w:val="center"/>
          </w:tcPr>
          <w:p w14:paraId="088A49E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154EF90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4008BBE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7EC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6524971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7A235B6E">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垂直电梯门槽</w:t>
            </w:r>
          </w:p>
        </w:tc>
        <w:tc>
          <w:tcPr>
            <w:tcW w:w="1134" w:type="dxa"/>
            <w:vAlign w:val="center"/>
          </w:tcPr>
          <w:p w14:paraId="450C3A75">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使用工具清理门槽内的灰尘、沙泥、垃圾、杂物一次，</w:t>
            </w:r>
            <w:r>
              <w:rPr>
                <w:rFonts w:hint="eastAsia" w:asciiTheme="minorEastAsia" w:hAnsiTheme="minorEastAsia" w:cstheme="minorEastAsia"/>
                <w:color w:val="auto"/>
                <w:szCs w:val="21"/>
                <w:highlight w:val="none"/>
                <w:lang w:eastAsia="zh-CN"/>
              </w:rPr>
              <w:t>清洁</w:t>
            </w:r>
          </w:p>
        </w:tc>
        <w:tc>
          <w:tcPr>
            <w:tcW w:w="851" w:type="dxa"/>
            <w:vAlign w:val="center"/>
          </w:tcPr>
          <w:p w14:paraId="5C35540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用中性</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剂清抹门槽两次</w:t>
            </w:r>
          </w:p>
        </w:tc>
        <w:tc>
          <w:tcPr>
            <w:tcW w:w="850" w:type="dxa"/>
            <w:vAlign w:val="center"/>
          </w:tcPr>
          <w:p w14:paraId="751E3E67">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全面</w:t>
            </w:r>
            <w:r>
              <w:rPr>
                <w:rFonts w:hint="eastAsia" w:asciiTheme="minorEastAsia" w:hAnsiTheme="minorEastAsia" w:cstheme="minorEastAsia"/>
                <w:color w:val="auto"/>
                <w:szCs w:val="21"/>
                <w:highlight w:val="none"/>
                <w:lang w:eastAsia="zh-CN"/>
              </w:rPr>
              <w:t>清洁</w:t>
            </w:r>
          </w:p>
          <w:p w14:paraId="255EA1D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851" w:type="dxa"/>
            <w:vAlign w:val="center"/>
          </w:tcPr>
          <w:p w14:paraId="0929A8CB">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6F4B10B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0177D19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无灰尘沙泥、无垃圾杂物、梯门能正常关闭</w:t>
            </w:r>
          </w:p>
        </w:tc>
        <w:tc>
          <w:tcPr>
            <w:tcW w:w="993" w:type="dxa"/>
            <w:vAlign w:val="center"/>
          </w:tcPr>
          <w:p w14:paraId="76B8BF5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5F4CD1F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0C4614C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5681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15003C52">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5DE5799E">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垂直</w:t>
            </w:r>
            <w:r>
              <w:rPr>
                <w:rFonts w:hint="eastAsia" w:asciiTheme="minorEastAsia" w:hAnsiTheme="minorEastAsia" w:cstheme="minorEastAsia"/>
                <w:color w:val="auto"/>
                <w:szCs w:val="21"/>
                <w:highlight w:val="none"/>
                <w:lang w:eastAsia="zh-CN"/>
              </w:rPr>
              <w:t>电梯轿厢内</w:t>
            </w:r>
          </w:p>
        </w:tc>
        <w:tc>
          <w:tcPr>
            <w:tcW w:w="1134" w:type="dxa"/>
            <w:vAlign w:val="center"/>
          </w:tcPr>
          <w:p w14:paraId="07C9A1C7">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每天拖一次地板，定时</w:t>
            </w:r>
            <w:r>
              <w:rPr>
                <w:rFonts w:hint="eastAsia" w:asciiTheme="minorEastAsia" w:hAnsiTheme="minorEastAsia" w:cstheme="minorEastAsia"/>
                <w:color w:val="auto"/>
                <w:szCs w:val="21"/>
                <w:highlight w:val="none"/>
                <w:lang w:eastAsia="zh-CN"/>
              </w:rPr>
              <w:t>清洁</w:t>
            </w:r>
          </w:p>
        </w:tc>
        <w:tc>
          <w:tcPr>
            <w:tcW w:w="851" w:type="dxa"/>
            <w:vAlign w:val="center"/>
          </w:tcPr>
          <w:p w14:paraId="1DC5985E">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用适量中性</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剂清洗地板一次</w:t>
            </w:r>
          </w:p>
        </w:tc>
        <w:tc>
          <w:tcPr>
            <w:tcW w:w="850" w:type="dxa"/>
            <w:vAlign w:val="center"/>
          </w:tcPr>
          <w:p w14:paraId="50FCA3F5">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撤换地毡</w:t>
            </w:r>
          </w:p>
          <w:p w14:paraId="72600347">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851" w:type="dxa"/>
            <w:vAlign w:val="center"/>
          </w:tcPr>
          <w:p w14:paraId="4E576C55">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3D00E15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14E6A0C8">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无灰尘杂物、无污渍、地板洁净光亮</w:t>
            </w:r>
          </w:p>
        </w:tc>
        <w:tc>
          <w:tcPr>
            <w:tcW w:w="993" w:type="dxa"/>
            <w:vAlign w:val="center"/>
          </w:tcPr>
          <w:p w14:paraId="5C1C4F1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1720909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4303051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15E8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427022A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7C49A617">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垂直电梯不锈钢围身</w:t>
            </w:r>
          </w:p>
        </w:tc>
        <w:tc>
          <w:tcPr>
            <w:tcW w:w="1134" w:type="dxa"/>
            <w:vAlign w:val="center"/>
          </w:tcPr>
          <w:p w14:paraId="078976A4">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打进口不锈钢油1次，随时</w:t>
            </w:r>
            <w:r>
              <w:rPr>
                <w:rFonts w:hint="eastAsia" w:asciiTheme="minorEastAsia" w:hAnsiTheme="minorEastAsia" w:cstheme="minorEastAsia"/>
                <w:color w:val="auto"/>
                <w:szCs w:val="21"/>
                <w:highlight w:val="none"/>
                <w:lang w:eastAsia="zh-CN"/>
              </w:rPr>
              <w:t>清洁</w:t>
            </w:r>
          </w:p>
        </w:tc>
        <w:tc>
          <w:tcPr>
            <w:tcW w:w="851" w:type="dxa"/>
            <w:vAlign w:val="center"/>
          </w:tcPr>
          <w:p w14:paraId="775732F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打钢油3次</w:t>
            </w:r>
          </w:p>
        </w:tc>
        <w:tc>
          <w:tcPr>
            <w:tcW w:w="850" w:type="dxa"/>
            <w:vAlign w:val="center"/>
          </w:tcPr>
          <w:p w14:paraId="245E689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全面保养</w:t>
            </w:r>
          </w:p>
        </w:tc>
        <w:tc>
          <w:tcPr>
            <w:tcW w:w="851" w:type="dxa"/>
            <w:vAlign w:val="center"/>
          </w:tcPr>
          <w:p w14:paraId="05FBF191">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386D2B5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41724AE2">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电梯门、厢内四周不锈钢明亮、不油腻，无手印，无灰尘、污渍、手印、钢锈</w:t>
            </w:r>
          </w:p>
        </w:tc>
        <w:tc>
          <w:tcPr>
            <w:tcW w:w="993" w:type="dxa"/>
            <w:vAlign w:val="center"/>
          </w:tcPr>
          <w:p w14:paraId="68B3DC0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39BA6E9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08D76BB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098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36F800F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623B345F">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垂直电梯内的天花（过滤网）、风机、灯饰等</w:t>
            </w:r>
          </w:p>
        </w:tc>
        <w:tc>
          <w:tcPr>
            <w:tcW w:w="1134" w:type="dxa"/>
            <w:vAlign w:val="center"/>
          </w:tcPr>
          <w:p w14:paraId="78B375B2">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tc>
        <w:tc>
          <w:tcPr>
            <w:tcW w:w="851" w:type="dxa"/>
            <w:vAlign w:val="center"/>
          </w:tcPr>
          <w:p w14:paraId="5BDE1137">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2次</w:t>
            </w:r>
          </w:p>
        </w:tc>
        <w:tc>
          <w:tcPr>
            <w:tcW w:w="850" w:type="dxa"/>
            <w:vAlign w:val="center"/>
          </w:tcPr>
          <w:p w14:paraId="6DE113F9">
            <w:pPr>
              <w:keepNext w:val="0"/>
              <w:keepLines w:val="0"/>
              <w:pageBreakBefore w:val="0"/>
              <w:kinsoku/>
              <w:wordWrap/>
              <w:overflowPunct/>
              <w:topLinePunct w:val="0"/>
              <w:bidi w:val="0"/>
              <w:snapToGrid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全面</w:t>
            </w:r>
            <w:r>
              <w:rPr>
                <w:rFonts w:hint="eastAsia" w:asciiTheme="minorEastAsia" w:hAnsiTheme="minorEastAsia" w:cstheme="minorEastAsia"/>
                <w:color w:val="auto"/>
                <w:szCs w:val="21"/>
                <w:highlight w:val="none"/>
                <w:lang w:eastAsia="zh-CN"/>
              </w:rPr>
              <w:t>清洁</w:t>
            </w:r>
          </w:p>
          <w:p w14:paraId="1C4D7EC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851" w:type="dxa"/>
            <w:vAlign w:val="center"/>
          </w:tcPr>
          <w:p w14:paraId="66CB2930">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AD4156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22B6B20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无灰尘、无污渍无蜘蛛网</w:t>
            </w:r>
          </w:p>
        </w:tc>
        <w:tc>
          <w:tcPr>
            <w:tcW w:w="993" w:type="dxa"/>
            <w:vAlign w:val="center"/>
          </w:tcPr>
          <w:p w14:paraId="3A47D75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03A7A9A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32ED218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899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7BCBFB4F">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4352EE29">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扶梯</w:t>
            </w:r>
          </w:p>
        </w:tc>
        <w:tc>
          <w:tcPr>
            <w:tcW w:w="1134" w:type="dxa"/>
            <w:vAlign w:val="center"/>
          </w:tcPr>
          <w:p w14:paraId="1C7A96E8">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每天清扫一次，随时</w:t>
            </w:r>
            <w:r>
              <w:rPr>
                <w:rFonts w:hint="eastAsia" w:asciiTheme="minorEastAsia" w:hAnsiTheme="minorEastAsia" w:cstheme="minorEastAsia"/>
                <w:color w:val="auto"/>
                <w:szCs w:val="21"/>
                <w:highlight w:val="none"/>
                <w:lang w:eastAsia="zh-CN"/>
              </w:rPr>
              <w:t>清洁</w:t>
            </w:r>
          </w:p>
        </w:tc>
        <w:tc>
          <w:tcPr>
            <w:tcW w:w="851" w:type="dxa"/>
            <w:vAlign w:val="center"/>
          </w:tcPr>
          <w:p w14:paraId="66CBCF2F">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擦拭扶手、扶栏2次</w:t>
            </w:r>
          </w:p>
        </w:tc>
        <w:tc>
          <w:tcPr>
            <w:tcW w:w="850" w:type="dxa"/>
            <w:vAlign w:val="center"/>
          </w:tcPr>
          <w:p w14:paraId="24D51881">
            <w:pPr>
              <w:keepNext w:val="0"/>
              <w:keepLines w:val="0"/>
              <w:pageBreakBefore w:val="0"/>
              <w:kinsoku/>
              <w:wordWrap/>
              <w:overflowPunct/>
              <w:topLinePunct w:val="0"/>
              <w:bidi w:val="0"/>
              <w:snapToGrid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全面</w:t>
            </w:r>
            <w:r>
              <w:rPr>
                <w:rFonts w:hint="eastAsia" w:asciiTheme="minorEastAsia" w:hAnsiTheme="minorEastAsia" w:cstheme="minorEastAsia"/>
                <w:color w:val="auto"/>
                <w:szCs w:val="21"/>
                <w:highlight w:val="none"/>
                <w:lang w:eastAsia="zh-CN"/>
              </w:rPr>
              <w:t>清洁</w:t>
            </w:r>
          </w:p>
        </w:tc>
        <w:tc>
          <w:tcPr>
            <w:tcW w:w="851" w:type="dxa"/>
            <w:vAlign w:val="center"/>
          </w:tcPr>
          <w:p w14:paraId="4BC4DE8A">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7ADB89E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134" w:type="dxa"/>
            <w:vAlign w:val="center"/>
          </w:tcPr>
          <w:p w14:paraId="39A080B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无杂物、无灰尘、无污渍</w:t>
            </w:r>
          </w:p>
        </w:tc>
        <w:tc>
          <w:tcPr>
            <w:tcW w:w="993" w:type="dxa"/>
            <w:vAlign w:val="center"/>
          </w:tcPr>
          <w:p w14:paraId="15AD556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120A160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1A8B03B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FF5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Align w:val="center"/>
          </w:tcPr>
          <w:p w14:paraId="56D9DAB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5F2D6A52">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电梯间内外地毯</w:t>
            </w:r>
          </w:p>
        </w:tc>
        <w:tc>
          <w:tcPr>
            <w:tcW w:w="1134" w:type="dxa"/>
            <w:vAlign w:val="center"/>
          </w:tcPr>
          <w:p w14:paraId="6BB5BA06">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07AF7875">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清洗1次</w:t>
            </w:r>
          </w:p>
        </w:tc>
        <w:tc>
          <w:tcPr>
            <w:tcW w:w="850" w:type="dxa"/>
            <w:vAlign w:val="center"/>
          </w:tcPr>
          <w:p w14:paraId="7FF15228">
            <w:pPr>
              <w:keepNext w:val="0"/>
              <w:keepLines w:val="0"/>
              <w:pageBreakBefore w:val="0"/>
              <w:kinsoku/>
              <w:wordWrap/>
              <w:overflowPunct/>
              <w:topLinePunct w:val="0"/>
              <w:bidi w:val="0"/>
              <w:snapToGrid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17D00B34">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57DC398A">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1134" w:type="dxa"/>
            <w:vAlign w:val="center"/>
          </w:tcPr>
          <w:p w14:paraId="4F42EBE0">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993" w:type="dxa"/>
            <w:vAlign w:val="center"/>
          </w:tcPr>
          <w:p w14:paraId="5CFFD2F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5BD2E2A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1AC2F5F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2A2E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restart"/>
            <w:vAlign w:val="center"/>
          </w:tcPr>
          <w:p w14:paraId="1C1E84B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厨房</w:t>
            </w:r>
          </w:p>
        </w:tc>
        <w:tc>
          <w:tcPr>
            <w:tcW w:w="1136" w:type="dxa"/>
            <w:gridSpan w:val="2"/>
            <w:vAlign w:val="center"/>
          </w:tcPr>
          <w:p w14:paraId="0263A66C">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外围</w:t>
            </w:r>
            <w:r>
              <w:rPr>
                <w:rFonts w:hint="eastAsia" w:asciiTheme="minorEastAsia" w:hAnsiTheme="minorEastAsia" w:cstheme="minorEastAsia"/>
                <w:color w:val="auto"/>
                <w:szCs w:val="21"/>
                <w:highlight w:val="none"/>
              </w:rPr>
              <w:t>地面</w:t>
            </w:r>
          </w:p>
        </w:tc>
        <w:tc>
          <w:tcPr>
            <w:tcW w:w="1134" w:type="dxa"/>
            <w:vAlign w:val="center"/>
          </w:tcPr>
          <w:p w14:paraId="19F1C96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随时清拖</w:t>
            </w:r>
          </w:p>
          <w:p w14:paraId="05498CA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清洗一次</w:t>
            </w:r>
          </w:p>
        </w:tc>
        <w:tc>
          <w:tcPr>
            <w:tcW w:w="851" w:type="dxa"/>
            <w:vAlign w:val="center"/>
          </w:tcPr>
          <w:p w14:paraId="52B3EFAE">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消毒一次</w:t>
            </w:r>
          </w:p>
        </w:tc>
        <w:tc>
          <w:tcPr>
            <w:tcW w:w="850" w:type="dxa"/>
            <w:vAlign w:val="center"/>
          </w:tcPr>
          <w:p w14:paraId="026FBC79">
            <w:pPr>
              <w:keepNext w:val="0"/>
              <w:keepLines w:val="0"/>
              <w:pageBreakBefore w:val="0"/>
              <w:kinsoku/>
              <w:wordWrap/>
              <w:overflowPunct/>
              <w:topLinePunct w:val="0"/>
              <w:bidi w:val="0"/>
              <w:snapToGrid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181B8D67">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A4601D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11177596">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干净、无污渍、无杂物</w:t>
            </w:r>
          </w:p>
        </w:tc>
        <w:tc>
          <w:tcPr>
            <w:tcW w:w="993" w:type="dxa"/>
          </w:tcPr>
          <w:p w14:paraId="0DC471F1">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17EE10EB">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61B186DD">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1DE4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0D1155E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30EDAEE7">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墙壁</w:t>
            </w:r>
          </w:p>
        </w:tc>
        <w:tc>
          <w:tcPr>
            <w:tcW w:w="1134" w:type="dxa"/>
            <w:vAlign w:val="center"/>
          </w:tcPr>
          <w:p w14:paraId="645CD86B">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851" w:type="dxa"/>
            <w:vAlign w:val="center"/>
          </w:tcPr>
          <w:p w14:paraId="00CB2BD6">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剂清洗一次</w:t>
            </w:r>
          </w:p>
        </w:tc>
        <w:tc>
          <w:tcPr>
            <w:tcW w:w="850" w:type="dxa"/>
            <w:vAlign w:val="center"/>
          </w:tcPr>
          <w:p w14:paraId="1F0844AC">
            <w:pPr>
              <w:keepNext w:val="0"/>
              <w:keepLines w:val="0"/>
              <w:pageBreakBefore w:val="0"/>
              <w:kinsoku/>
              <w:wordWrap/>
              <w:overflowPunct/>
              <w:topLinePunct w:val="0"/>
              <w:bidi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一次天花板</w:t>
            </w:r>
          </w:p>
        </w:tc>
        <w:tc>
          <w:tcPr>
            <w:tcW w:w="851" w:type="dxa"/>
            <w:vAlign w:val="center"/>
          </w:tcPr>
          <w:p w14:paraId="533640AA">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7D62369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554A8461">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干净、无污渍、无油污</w:t>
            </w:r>
          </w:p>
        </w:tc>
        <w:tc>
          <w:tcPr>
            <w:tcW w:w="993" w:type="dxa"/>
          </w:tcPr>
          <w:p w14:paraId="69DB5F5D">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6C4A8C5E">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7BB4CE54">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405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013BF4FC">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1E6B0D1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玻璃窗</w:t>
            </w:r>
          </w:p>
        </w:tc>
        <w:tc>
          <w:tcPr>
            <w:tcW w:w="1134" w:type="dxa"/>
            <w:vAlign w:val="center"/>
          </w:tcPr>
          <w:p w14:paraId="3E55C7B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剂清抹一次</w:t>
            </w:r>
          </w:p>
        </w:tc>
        <w:tc>
          <w:tcPr>
            <w:tcW w:w="851" w:type="dxa"/>
            <w:vAlign w:val="center"/>
          </w:tcPr>
          <w:p w14:paraId="17A7FEB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清洗一次</w:t>
            </w:r>
          </w:p>
        </w:tc>
        <w:tc>
          <w:tcPr>
            <w:tcW w:w="850" w:type="dxa"/>
            <w:vAlign w:val="center"/>
          </w:tcPr>
          <w:p w14:paraId="3349C374">
            <w:pPr>
              <w:keepNext w:val="0"/>
              <w:keepLines w:val="0"/>
              <w:pageBreakBefore w:val="0"/>
              <w:kinsoku/>
              <w:wordWrap/>
              <w:overflowPunct/>
              <w:topLinePunct w:val="0"/>
              <w:bidi w:val="0"/>
              <w:snapToGrid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3E56C1CF">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0324231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5BBF3E3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明亮、无尘、无污渍</w:t>
            </w:r>
          </w:p>
        </w:tc>
        <w:tc>
          <w:tcPr>
            <w:tcW w:w="993" w:type="dxa"/>
          </w:tcPr>
          <w:p w14:paraId="48A7E84C">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71F96547">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4A57654E">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500C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74CFC0F9">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42918046">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其他</w:t>
            </w:r>
          </w:p>
        </w:tc>
        <w:tc>
          <w:tcPr>
            <w:tcW w:w="1134" w:type="dxa"/>
            <w:vAlign w:val="center"/>
          </w:tcPr>
          <w:p w14:paraId="4E8B0B06">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7FF87846">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2D7F6943">
            <w:pPr>
              <w:keepNext w:val="0"/>
              <w:keepLines w:val="0"/>
              <w:pageBreakBefore w:val="0"/>
              <w:kinsoku/>
              <w:wordWrap/>
              <w:overflowPunct/>
              <w:topLinePunct w:val="0"/>
              <w:bidi w:val="0"/>
              <w:snapToGrid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61B48A86">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tcPr>
          <w:p w14:paraId="6164F428">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78E48B21">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993" w:type="dxa"/>
          </w:tcPr>
          <w:p w14:paraId="74CCE414">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5047515E">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3DFD1C23">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4235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restart"/>
            <w:vAlign w:val="center"/>
          </w:tcPr>
          <w:p w14:paraId="169887DC">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餐厅</w:t>
            </w:r>
          </w:p>
        </w:tc>
        <w:tc>
          <w:tcPr>
            <w:tcW w:w="1136" w:type="dxa"/>
            <w:gridSpan w:val="2"/>
            <w:vAlign w:val="center"/>
          </w:tcPr>
          <w:p w14:paraId="41AF6FD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地面</w:t>
            </w:r>
          </w:p>
        </w:tc>
        <w:tc>
          <w:tcPr>
            <w:tcW w:w="1134" w:type="dxa"/>
            <w:vAlign w:val="center"/>
          </w:tcPr>
          <w:p w14:paraId="40F9AB9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清拖二次</w:t>
            </w:r>
          </w:p>
        </w:tc>
        <w:tc>
          <w:tcPr>
            <w:tcW w:w="851" w:type="dxa"/>
            <w:vAlign w:val="center"/>
          </w:tcPr>
          <w:p w14:paraId="54D85C71">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清洗一次</w:t>
            </w:r>
          </w:p>
        </w:tc>
        <w:tc>
          <w:tcPr>
            <w:tcW w:w="850" w:type="dxa"/>
            <w:vAlign w:val="center"/>
          </w:tcPr>
          <w:p w14:paraId="06A57294">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3FECD029">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tcPr>
          <w:p w14:paraId="589122A8">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4E5E01F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干净、无污渍、无杂物</w:t>
            </w:r>
          </w:p>
        </w:tc>
        <w:tc>
          <w:tcPr>
            <w:tcW w:w="993" w:type="dxa"/>
          </w:tcPr>
          <w:p w14:paraId="3DB8ACA4">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46B2392B">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23B3766B">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BA4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7EEC5CA7">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55AA368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墙壁</w:t>
            </w:r>
          </w:p>
        </w:tc>
        <w:tc>
          <w:tcPr>
            <w:tcW w:w="1134" w:type="dxa"/>
            <w:vAlign w:val="center"/>
          </w:tcPr>
          <w:p w14:paraId="6C2FFF4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851" w:type="dxa"/>
            <w:vAlign w:val="center"/>
          </w:tcPr>
          <w:p w14:paraId="25DD9B05">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48D1A78B">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剂清洗一次天花板</w:t>
            </w:r>
          </w:p>
        </w:tc>
        <w:tc>
          <w:tcPr>
            <w:tcW w:w="851" w:type="dxa"/>
            <w:vAlign w:val="center"/>
          </w:tcPr>
          <w:p w14:paraId="12A9A42D">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tcPr>
          <w:p w14:paraId="196FFFC9">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0E30C3F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干净、无污渍</w:t>
            </w:r>
          </w:p>
        </w:tc>
        <w:tc>
          <w:tcPr>
            <w:tcW w:w="993" w:type="dxa"/>
          </w:tcPr>
          <w:p w14:paraId="6AB642E8">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3DAD9904">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6AE70F98">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3F7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4B7E7A57">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4D324968">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玻璃窗、门</w:t>
            </w:r>
          </w:p>
        </w:tc>
        <w:tc>
          <w:tcPr>
            <w:tcW w:w="1134" w:type="dxa"/>
            <w:vAlign w:val="center"/>
          </w:tcPr>
          <w:p w14:paraId="43156D98">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851" w:type="dxa"/>
            <w:vAlign w:val="center"/>
          </w:tcPr>
          <w:p w14:paraId="3D4B8DB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剂清抹一次</w:t>
            </w:r>
          </w:p>
        </w:tc>
        <w:tc>
          <w:tcPr>
            <w:tcW w:w="850" w:type="dxa"/>
            <w:vAlign w:val="center"/>
          </w:tcPr>
          <w:p w14:paraId="5577D56C">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5C4F1AA5">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tcPr>
          <w:p w14:paraId="4B6B3BD5">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09803B12">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无尘、无污渍</w:t>
            </w:r>
          </w:p>
        </w:tc>
        <w:tc>
          <w:tcPr>
            <w:tcW w:w="993" w:type="dxa"/>
          </w:tcPr>
          <w:p w14:paraId="68AF759C">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055BA3F6">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08AA887B">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8A5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6CD651FB">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233542D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桌、椅</w:t>
            </w:r>
          </w:p>
        </w:tc>
        <w:tc>
          <w:tcPr>
            <w:tcW w:w="1134" w:type="dxa"/>
            <w:vAlign w:val="center"/>
          </w:tcPr>
          <w:p w14:paraId="65DE7581">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随时清抹</w:t>
            </w:r>
          </w:p>
        </w:tc>
        <w:tc>
          <w:tcPr>
            <w:tcW w:w="851" w:type="dxa"/>
            <w:vAlign w:val="center"/>
          </w:tcPr>
          <w:p w14:paraId="01AE8112">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全面清洗一次</w:t>
            </w:r>
          </w:p>
        </w:tc>
        <w:tc>
          <w:tcPr>
            <w:tcW w:w="850" w:type="dxa"/>
            <w:vAlign w:val="center"/>
          </w:tcPr>
          <w:p w14:paraId="6E321FDB">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015EC16D">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tcPr>
          <w:p w14:paraId="24C9D128">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3D1C8EB1">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干净、无污渍</w:t>
            </w:r>
          </w:p>
        </w:tc>
        <w:tc>
          <w:tcPr>
            <w:tcW w:w="993" w:type="dxa"/>
          </w:tcPr>
          <w:p w14:paraId="3EB48A8F">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43A735CC">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289CB67B">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0AE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720D4853">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3DFBCC36">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地毯</w:t>
            </w:r>
          </w:p>
        </w:tc>
        <w:tc>
          <w:tcPr>
            <w:tcW w:w="1134" w:type="dxa"/>
            <w:vAlign w:val="center"/>
          </w:tcPr>
          <w:p w14:paraId="7993B4A8">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47A0928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清洗一次</w:t>
            </w:r>
          </w:p>
        </w:tc>
        <w:tc>
          <w:tcPr>
            <w:tcW w:w="850" w:type="dxa"/>
            <w:vAlign w:val="center"/>
          </w:tcPr>
          <w:p w14:paraId="3689E36C">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669AF130">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无尘、无污渍</w:t>
            </w:r>
          </w:p>
        </w:tc>
        <w:tc>
          <w:tcPr>
            <w:tcW w:w="850" w:type="dxa"/>
          </w:tcPr>
          <w:p w14:paraId="244A157E">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5D292A1B">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993" w:type="dxa"/>
          </w:tcPr>
          <w:p w14:paraId="095051A0">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0EC3F178">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6880960F">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94B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Merge w:val="continue"/>
            <w:vAlign w:val="center"/>
          </w:tcPr>
          <w:p w14:paraId="680B7FF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136" w:type="dxa"/>
            <w:gridSpan w:val="2"/>
            <w:vAlign w:val="center"/>
          </w:tcPr>
          <w:p w14:paraId="1632A9C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其他</w:t>
            </w:r>
          </w:p>
        </w:tc>
        <w:tc>
          <w:tcPr>
            <w:tcW w:w="1134" w:type="dxa"/>
            <w:vAlign w:val="center"/>
          </w:tcPr>
          <w:p w14:paraId="6D603A29">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29B39638">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vAlign w:val="center"/>
          </w:tcPr>
          <w:p w14:paraId="19463916">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1" w:type="dxa"/>
            <w:vAlign w:val="center"/>
          </w:tcPr>
          <w:p w14:paraId="0D8DF15C">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850" w:type="dxa"/>
          </w:tcPr>
          <w:p w14:paraId="36291834">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134" w:type="dxa"/>
            <w:vAlign w:val="center"/>
          </w:tcPr>
          <w:p w14:paraId="6CB789B6">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993" w:type="dxa"/>
          </w:tcPr>
          <w:p w14:paraId="2D840324">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42" w:type="dxa"/>
            <w:vAlign w:val="center"/>
          </w:tcPr>
          <w:p w14:paraId="697AED41">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3969" w:type="dxa"/>
            <w:vAlign w:val="center"/>
          </w:tcPr>
          <w:p w14:paraId="2873382E">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5BFE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70" w:type="dxa"/>
            <w:vAlign w:val="center"/>
          </w:tcPr>
          <w:p w14:paraId="222823D2">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其他</w:t>
            </w:r>
          </w:p>
        </w:tc>
        <w:tc>
          <w:tcPr>
            <w:tcW w:w="13610" w:type="dxa"/>
            <w:gridSpan w:val="11"/>
            <w:vAlign w:val="center"/>
          </w:tcPr>
          <w:p w14:paraId="4B82FDBC">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snapToGrid w:val="0"/>
                <w:color w:val="auto"/>
                <w:kern w:val="0"/>
                <w:szCs w:val="21"/>
                <w:highlight w:val="none"/>
              </w:rPr>
            </w:pPr>
            <w:r>
              <w:rPr>
                <w:rFonts w:hint="eastAsia" w:asciiTheme="minorEastAsia" w:hAnsiTheme="minorEastAsia" w:cstheme="minorEastAsia"/>
                <w:snapToGrid w:val="0"/>
                <w:color w:val="auto"/>
                <w:kern w:val="0"/>
                <w:szCs w:val="21"/>
                <w:highlight w:val="none"/>
              </w:rPr>
              <w:t>1、电梯间内外地毯、洗手间地毯、门厅地毯、机关食堂防滑地毯每周清洗1次。</w:t>
            </w:r>
          </w:p>
          <w:p w14:paraId="7D3EAF2B">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snapToGrid w:val="0"/>
                <w:color w:val="auto"/>
                <w:kern w:val="0"/>
                <w:szCs w:val="21"/>
                <w:highlight w:val="none"/>
              </w:rPr>
            </w:pPr>
            <w:r>
              <w:rPr>
                <w:rFonts w:hint="eastAsia" w:asciiTheme="minorEastAsia" w:hAnsiTheme="minorEastAsia" w:cstheme="minorEastAsia"/>
                <w:snapToGrid w:val="0"/>
                <w:color w:val="auto"/>
                <w:kern w:val="0"/>
                <w:szCs w:val="21"/>
                <w:highlight w:val="none"/>
              </w:rPr>
              <w:t>2、各会议室内地毯每周至少2次吸尘</w:t>
            </w:r>
            <w:r>
              <w:rPr>
                <w:rFonts w:hint="eastAsia" w:asciiTheme="minorEastAsia" w:hAnsiTheme="minorEastAsia" w:cstheme="minorEastAsia"/>
                <w:snapToGrid w:val="0"/>
                <w:color w:val="auto"/>
                <w:kern w:val="0"/>
                <w:szCs w:val="21"/>
                <w:highlight w:val="none"/>
                <w:lang w:eastAsia="zh-CN"/>
              </w:rPr>
              <w:t>清洁</w:t>
            </w:r>
            <w:r>
              <w:rPr>
                <w:rFonts w:hint="eastAsia" w:asciiTheme="minorEastAsia" w:hAnsiTheme="minorEastAsia" w:cstheme="minorEastAsia"/>
                <w:snapToGrid w:val="0"/>
                <w:color w:val="auto"/>
                <w:kern w:val="0"/>
                <w:szCs w:val="21"/>
                <w:highlight w:val="none"/>
              </w:rPr>
              <w:t>。</w:t>
            </w:r>
          </w:p>
          <w:p w14:paraId="13F2CF4E">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snapToGrid w:val="0"/>
                <w:color w:val="auto"/>
                <w:kern w:val="0"/>
                <w:szCs w:val="21"/>
                <w:highlight w:val="none"/>
              </w:rPr>
              <w:t>3、以上</w:t>
            </w:r>
            <w:r>
              <w:rPr>
                <w:rFonts w:hint="eastAsia" w:asciiTheme="minorEastAsia" w:hAnsiTheme="minorEastAsia" w:cstheme="minorEastAsia"/>
                <w:snapToGrid w:val="0"/>
                <w:color w:val="auto"/>
                <w:kern w:val="0"/>
                <w:szCs w:val="21"/>
                <w:highlight w:val="none"/>
                <w:lang w:eastAsia="zh-CN"/>
              </w:rPr>
              <w:t>清洁</w:t>
            </w:r>
            <w:r>
              <w:rPr>
                <w:rFonts w:hint="eastAsia" w:asciiTheme="minorEastAsia" w:hAnsiTheme="minorEastAsia" w:cstheme="minorEastAsia"/>
                <w:snapToGrid w:val="0"/>
                <w:color w:val="auto"/>
                <w:kern w:val="0"/>
                <w:szCs w:val="21"/>
                <w:highlight w:val="none"/>
              </w:rPr>
              <w:t>频次为最低限度，必要时根据情况增加</w:t>
            </w:r>
            <w:r>
              <w:rPr>
                <w:rFonts w:hint="eastAsia" w:asciiTheme="minorEastAsia" w:hAnsiTheme="minorEastAsia" w:cstheme="minorEastAsia"/>
                <w:snapToGrid w:val="0"/>
                <w:color w:val="auto"/>
                <w:kern w:val="0"/>
                <w:szCs w:val="21"/>
                <w:highlight w:val="none"/>
                <w:lang w:eastAsia="zh-CN"/>
              </w:rPr>
              <w:t>清洁</w:t>
            </w:r>
            <w:r>
              <w:rPr>
                <w:rFonts w:hint="eastAsia" w:asciiTheme="minorEastAsia" w:hAnsiTheme="minorEastAsia" w:cstheme="minorEastAsia"/>
                <w:snapToGrid w:val="0"/>
                <w:color w:val="auto"/>
                <w:kern w:val="0"/>
                <w:szCs w:val="21"/>
                <w:highlight w:val="none"/>
              </w:rPr>
              <w:t>频次。</w:t>
            </w:r>
          </w:p>
        </w:tc>
      </w:tr>
    </w:tbl>
    <w:p w14:paraId="176F10E5">
      <w:pPr>
        <w:keepNext w:val="0"/>
        <w:keepLines w:val="0"/>
        <w:pageBreakBefore w:val="0"/>
        <w:kinsoku/>
        <w:wordWrap/>
        <w:overflowPunct/>
        <w:topLinePunct w:val="0"/>
        <w:bidi w:val="0"/>
        <w:adjustRightInd w:val="0"/>
        <w:snapToGrid w:val="0"/>
        <w:spacing w:line="440" w:lineRule="exact"/>
        <w:textAlignment w:val="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（二）</w:t>
      </w:r>
      <w:r>
        <w:rPr>
          <w:rFonts w:hint="eastAsia" w:asciiTheme="minorEastAsia" w:hAnsiTheme="minorEastAsia" w:cstheme="minorEastAsia"/>
          <w:color w:val="auto"/>
          <w:sz w:val="24"/>
          <w:highlight w:val="none"/>
          <w:lang w:val="en-US" w:eastAsia="zh-CN"/>
        </w:rPr>
        <w:t>室外</w:t>
      </w:r>
      <w:r>
        <w:rPr>
          <w:rFonts w:hint="eastAsia" w:asciiTheme="minorEastAsia" w:hAnsiTheme="minorEastAsia" w:cstheme="minorEastAsia"/>
          <w:color w:val="auto"/>
          <w:sz w:val="24"/>
          <w:highlight w:val="none"/>
        </w:rPr>
        <w:t>工作实施细则、质量检查标准及判定标准</w:t>
      </w:r>
    </w:p>
    <w:p w14:paraId="7D6A4CFB">
      <w:pPr>
        <w:pStyle w:val="7"/>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1.清洁服务</w:t>
      </w:r>
    </w:p>
    <w:tbl>
      <w:tblPr>
        <w:tblStyle w:val="13"/>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835"/>
        <w:gridCol w:w="922"/>
        <w:gridCol w:w="787"/>
        <w:gridCol w:w="787"/>
        <w:gridCol w:w="788"/>
        <w:gridCol w:w="787"/>
        <w:gridCol w:w="1048"/>
        <w:gridCol w:w="657"/>
        <w:gridCol w:w="1836"/>
        <w:gridCol w:w="4198"/>
      </w:tblGrid>
      <w:tr w14:paraId="6FA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358" w:type="dxa"/>
            <w:gridSpan w:val="2"/>
            <w:vMerge w:val="restart"/>
            <w:vAlign w:val="center"/>
          </w:tcPr>
          <w:p w14:paraId="18DCAEC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lang w:eastAsia="zh-CN"/>
              </w:rPr>
              <w:t>清洁</w:t>
            </w:r>
            <w:r>
              <w:rPr>
                <w:rFonts w:hint="eastAsia" w:asciiTheme="minorEastAsia" w:hAnsiTheme="minorEastAsia" w:cstheme="minorEastAsia"/>
                <w:b/>
                <w:color w:val="auto"/>
                <w:szCs w:val="21"/>
                <w:highlight w:val="none"/>
              </w:rPr>
              <w:t>项目</w:t>
            </w:r>
          </w:p>
        </w:tc>
        <w:tc>
          <w:tcPr>
            <w:tcW w:w="4071" w:type="dxa"/>
            <w:gridSpan w:val="5"/>
            <w:vAlign w:val="center"/>
          </w:tcPr>
          <w:p w14:paraId="29A2E92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实施细则</w:t>
            </w:r>
          </w:p>
        </w:tc>
        <w:tc>
          <w:tcPr>
            <w:tcW w:w="1048" w:type="dxa"/>
            <w:vMerge w:val="restart"/>
            <w:vAlign w:val="center"/>
          </w:tcPr>
          <w:p w14:paraId="68D681E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lang w:eastAsia="zh-CN"/>
              </w:rPr>
              <w:t>清洁</w:t>
            </w:r>
            <w:r>
              <w:rPr>
                <w:rFonts w:hint="eastAsia" w:asciiTheme="minorEastAsia" w:hAnsiTheme="minorEastAsia" w:cstheme="minorEastAsia"/>
                <w:b/>
                <w:color w:val="auto"/>
                <w:szCs w:val="21"/>
                <w:highlight w:val="none"/>
              </w:rPr>
              <w:t>质量标准</w:t>
            </w:r>
          </w:p>
        </w:tc>
        <w:tc>
          <w:tcPr>
            <w:tcW w:w="657" w:type="dxa"/>
            <w:vMerge w:val="restart"/>
            <w:vAlign w:val="center"/>
          </w:tcPr>
          <w:p w14:paraId="5C5AC7A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检查方法</w:t>
            </w:r>
          </w:p>
        </w:tc>
        <w:tc>
          <w:tcPr>
            <w:tcW w:w="1836" w:type="dxa"/>
            <w:vMerge w:val="restart"/>
            <w:vAlign w:val="center"/>
          </w:tcPr>
          <w:p w14:paraId="4796655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一般不合格定义</w:t>
            </w:r>
          </w:p>
        </w:tc>
        <w:tc>
          <w:tcPr>
            <w:tcW w:w="4198" w:type="dxa"/>
            <w:vMerge w:val="restart"/>
            <w:vAlign w:val="center"/>
          </w:tcPr>
          <w:p w14:paraId="4A0F11C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严重不合格定义</w:t>
            </w:r>
          </w:p>
        </w:tc>
      </w:tr>
      <w:tr w14:paraId="5B49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358" w:type="dxa"/>
            <w:gridSpan w:val="2"/>
            <w:vMerge w:val="continue"/>
            <w:vAlign w:val="center"/>
          </w:tcPr>
          <w:p w14:paraId="3FB6475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922" w:type="dxa"/>
            <w:vAlign w:val="center"/>
          </w:tcPr>
          <w:p w14:paraId="154ABF5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每日至少</w:t>
            </w:r>
          </w:p>
        </w:tc>
        <w:tc>
          <w:tcPr>
            <w:tcW w:w="787" w:type="dxa"/>
            <w:vAlign w:val="center"/>
          </w:tcPr>
          <w:p w14:paraId="21BE86B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每周至少</w:t>
            </w:r>
          </w:p>
        </w:tc>
        <w:tc>
          <w:tcPr>
            <w:tcW w:w="787" w:type="dxa"/>
            <w:vAlign w:val="center"/>
          </w:tcPr>
          <w:p w14:paraId="7B82D32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每月至少</w:t>
            </w:r>
          </w:p>
        </w:tc>
        <w:tc>
          <w:tcPr>
            <w:tcW w:w="788" w:type="dxa"/>
            <w:vAlign w:val="center"/>
          </w:tcPr>
          <w:p w14:paraId="62A3B18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每季至少</w:t>
            </w:r>
          </w:p>
        </w:tc>
        <w:tc>
          <w:tcPr>
            <w:tcW w:w="787" w:type="dxa"/>
            <w:vAlign w:val="center"/>
          </w:tcPr>
          <w:p w14:paraId="5915A24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b/>
                <w:color w:val="auto"/>
                <w:szCs w:val="21"/>
                <w:highlight w:val="none"/>
              </w:rPr>
            </w:pPr>
            <w:r>
              <w:rPr>
                <w:rFonts w:hint="eastAsia" w:asciiTheme="minorEastAsia" w:hAnsiTheme="minorEastAsia" w:cstheme="minorEastAsia"/>
                <w:b/>
                <w:color w:val="auto"/>
                <w:szCs w:val="21"/>
                <w:highlight w:val="none"/>
              </w:rPr>
              <w:t>巡视周期</w:t>
            </w:r>
          </w:p>
        </w:tc>
        <w:tc>
          <w:tcPr>
            <w:tcW w:w="1048" w:type="dxa"/>
            <w:vMerge w:val="continue"/>
            <w:vAlign w:val="center"/>
          </w:tcPr>
          <w:p w14:paraId="24C8E0A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657" w:type="dxa"/>
            <w:vMerge w:val="continue"/>
            <w:vAlign w:val="center"/>
          </w:tcPr>
          <w:p w14:paraId="6D48A37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6" w:type="dxa"/>
            <w:vMerge w:val="continue"/>
            <w:vAlign w:val="center"/>
          </w:tcPr>
          <w:p w14:paraId="4DEB4D1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4198" w:type="dxa"/>
            <w:vMerge w:val="continue"/>
            <w:vAlign w:val="center"/>
          </w:tcPr>
          <w:p w14:paraId="698C0DE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r>
      <w:tr w14:paraId="0B1E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restart"/>
            <w:vAlign w:val="center"/>
          </w:tcPr>
          <w:p w14:paraId="3DD7FE4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外围</w:t>
            </w:r>
            <w:r>
              <w:rPr>
                <w:rFonts w:hint="eastAsia" w:asciiTheme="minorEastAsia" w:hAnsiTheme="minorEastAsia" w:cstheme="minorEastAsia"/>
                <w:color w:val="auto"/>
                <w:szCs w:val="21"/>
                <w:highlight w:val="none"/>
                <w:lang w:eastAsia="zh-CN"/>
              </w:rPr>
              <w:t>清洁</w:t>
            </w:r>
          </w:p>
        </w:tc>
        <w:tc>
          <w:tcPr>
            <w:tcW w:w="1835" w:type="dxa"/>
            <w:vAlign w:val="center"/>
          </w:tcPr>
          <w:p w14:paraId="2854A282">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地面</w:t>
            </w:r>
          </w:p>
        </w:tc>
        <w:tc>
          <w:tcPr>
            <w:tcW w:w="922" w:type="dxa"/>
            <w:vAlign w:val="center"/>
          </w:tcPr>
          <w:p w14:paraId="608814C5">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每天</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2次，随时</w:t>
            </w:r>
            <w:r>
              <w:rPr>
                <w:rFonts w:hint="eastAsia" w:asciiTheme="minorEastAsia" w:hAnsiTheme="minorEastAsia" w:cstheme="minorEastAsia"/>
                <w:color w:val="auto"/>
                <w:szCs w:val="21"/>
                <w:highlight w:val="none"/>
                <w:lang w:eastAsia="zh-CN"/>
              </w:rPr>
              <w:t>清洁</w:t>
            </w:r>
          </w:p>
        </w:tc>
        <w:tc>
          <w:tcPr>
            <w:tcW w:w="787" w:type="dxa"/>
            <w:vAlign w:val="center"/>
          </w:tcPr>
          <w:p w14:paraId="7F40A5F7">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彻底</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vAlign w:val="center"/>
          </w:tcPr>
          <w:p w14:paraId="28CA8008">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全面清洗一次</w:t>
            </w:r>
          </w:p>
        </w:tc>
        <w:tc>
          <w:tcPr>
            <w:tcW w:w="788" w:type="dxa"/>
            <w:vAlign w:val="center"/>
          </w:tcPr>
          <w:p w14:paraId="194E282F">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6E302BE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048" w:type="dxa"/>
            <w:vAlign w:val="center"/>
          </w:tcPr>
          <w:p w14:paraId="76E23433">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无垃圾杂物</w:t>
            </w:r>
          </w:p>
        </w:tc>
        <w:tc>
          <w:tcPr>
            <w:tcW w:w="657" w:type="dxa"/>
            <w:vAlign w:val="center"/>
          </w:tcPr>
          <w:p w14:paraId="330CC00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5FC903A1">
            <w:pPr>
              <w:keepNext w:val="0"/>
              <w:keepLines w:val="0"/>
              <w:pageBreakBefore w:val="0"/>
              <w:widowControl/>
              <w:kinsoku/>
              <w:wordWrap/>
              <w:overflowPunct/>
              <w:topLinePunct w:val="0"/>
              <w:bidi w:val="0"/>
              <w:spacing w:line="440" w:lineRule="exact"/>
              <w:jc w:val="lef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按合格</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质量标准要求实施的，但由于实施不够认真或某些其他原因而导致效果未能达到规定要求，其影响和后果小于严重不合格情况的，定义为一般不合格。每出现一次处罚50元，以此类推。</w:t>
            </w:r>
          </w:p>
        </w:tc>
        <w:tc>
          <w:tcPr>
            <w:tcW w:w="4198" w:type="dxa"/>
            <w:vAlign w:val="center"/>
          </w:tcPr>
          <w:p w14:paraId="3FDD8907">
            <w:pPr>
              <w:keepNext w:val="0"/>
              <w:keepLines w:val="0"/>
              <w:pageBreakBefore w:val="0"/>
              <w:widowControl/>
              <w:kinsoku/>
              <w:wordWrap/>
              <w:overflowPunct/>
              <w:topLinePunct w:val="0"/>
              <w:bidi w:val="0"/>
              <w:spacing w:line="440" w:lineRule="exact"/>
              <w:jc w:val="lef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A</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rPr>
              <w:t>在同一天的检查中，发现同一区域（或方圆10平方米）出现严重脏污；B、在同一天的检查中，同一区域（或方圆10平方米）出现三次以上同类型</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服务内容不合格；C、甲方通过甲方客服中心收集到顾客的有效投诉，或同一不合格</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服务内容被顾客连续两次反馈，经项目管理处现场确认属实；D、连续三次检查中，同一位置出现两次以上同类型</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服务内容不合格；E、在规定的整改时间内未完成整改</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服务内容（除不可抗力）等。对出现有“严重不合格”，每出现一次处罚100元，以此类推。</w:t>
            </w:r>
          </w:p>
        </w:tc>
      </w:tr>
      <w:tr w14:paraId="2197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61B5DF2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2E7B88BE">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公共设施指示牌、广告牌及灯饰等相关设施</w:t>
            </w:r>
          </w:p>
        </w:tc>
        <w:tc>
          <w:tcPr>
            <w:tcW w:w="922" w:type="dxa"/>
            <w:vAlign w:val="center"/>
          </w:tcPr>
          <w:p w14:paraId="65C7A50A">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tc>
        <w:tc>
          <w:tcPr>
            <w:tcW w:w="787" w:type="dxa"/>
            <w:vAlign w:val="center"/>
          </w:tcPr>
          <w:p w14:paraId="13FA9675">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擦抹去尘一次</w:t>
            </w:r>
          </w:p>
        </w:tc>
        <w:tc>
          <w:tcPr>
            <w:tcW w:w="787" w:type="dxa"/>
            <w:vAlign w:val="center"/>
          </w:tcPr>
          <w:p w14:paraId="13466402">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0D99663D">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38DFF55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048" w:type="dxa"/>
            <w:vAlign w:val="center"/>
          </w:tcPr>
          <w:p w14:paraId="3498C699">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目视干净，无灰尘、无污渍、无蛛网、无小广告</w:t>
            </w:r>
          </w:p>
        </w:tc>
        <w:tc>
          <w:tcPr>
            <w:tcW w:w="657" w:type="dxa"/>
            <w:vAlign w:val="center"/>
          </w:tcPr>
          <w:p w14:paraId="2974BA4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36" w:type="dxa"/>
            <w:vAlign w:val="center"/>
          </w:tcPr>
          <w:p w14:paraId="6B1BD72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14506CC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E92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73B659F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40822F8A">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水沟、管道</w:t>
            </w:r>
          </w:p>
        </w:tc>
        <w:tc>
          <w:tcPr>
            <w:tcW w:w="922" w:type="dxa"/>
            <w:vAlign w:val="center"/>
          </w:tcPr>
          <w:p w14:paraId="51C0AA46">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787" w:type="dxa"/>
            <w:vAlign w:val="center"/>
          </w:tcPr>
          <w:p w14:paraId="4CCD20A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vAlign w:val="center"/>
          </w:tcPr>
          <w:p w14:paraId="17CEC6BE">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63B30323">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2F4BCAE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048" w:type="dxa"/>
            <w:vAlign w:val="center"/>
          </w:tcPr>
          <w:p w14:paraId="6EBCB63F">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无垃圾，无污渍</w:t>
            </w:r>
          </w:p>
        </w:tc>
        <w:tc>
          <w:tcPr>
            <w:tcW w:w="657" w:type="dxa"/>
            <w:vAlign w:val="center"/>
          </w:tcPr>
          <w:p w14:paraId="4D413DD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6C1C090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241FF90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EC3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5291496E">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13C31A5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楼房2米以下墙面</w:t>
            </w:r>
          </w:p>
        </w:tc>
        <w:tc>
          <w:tcPr>
            <w:tcW w:w="922" w:type="dxa"/>
            <w:vAlign w:val="center"/>
          </w:tcPr>
          <w:p w14:paraId="2EE6F312">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局部污渍随时</w:t>
            </w:r>
            <w:r>
              <w:rPr>
                <w:rFonts w:hint="eastAsia" w:asciiTheme="minorEastAsia" w:hAnsiTheme="minorEastAsia" w:cstheme="minorEastAsia"/>
                <w:color w:val="auto"/>
                <w:szCs w:val="21"/>
                <w:highlight w:val="none"/>
                <w:lang w:eastAsia="zh-CN"/>
              </w:rPr>
              <w:t>清洁</w:t>
            </w:r>
          </w:p>
        </w:tc>
        <w:tc>
          <w:tcPr>
            <w:tcW w:w="787" w:type="dxa"/>
            <w:vAlign w:val="center"/>
          </w:tcPr>
          <w:p w14:paraId="516FA4C6">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29B88A62">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7CFF356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vAlign w:val="center"/>
          </w:tcPr>
          <w:p w14:paraId="370E19E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49F7335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无明显污渍</w:t>
            </w:r>
          </w:p>
        </w:tc>
        <w:tc>
          <w:tcPr>
            <w:tcW w:w="657" w:type="dxa"/>
            <w:vAlign w:val="center"/>
          </w:tcPr>
          <w:p w14:paraId="084F09E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339882A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036C441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5807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2C3121A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2F0C8E2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玻璃门、窗</w:t>
            </w:r>
          </w:p>
        </w:tc>
        <w:tc>
          <w:tcPr>
            <w:tcW w:w="922" w:type="dxa"/>
            <w:vAlign w:val="center"/>
          </w:tcPr>
          <w:p w14:paraId="5C77568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配合玻璃</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vAlign w:val="center"/>
          </w:tcPr>
          <w:p w14:paraId="2AC5DDB9">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481FBC9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8" w:type="dxa"/>
            <w:vAlign w:val="center"/>
          </w:tcPr>
          <w:p w14:paraId="6BB07D9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0D77692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5C978C4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无灰尘、无污渍无痕印、手印</w:t>
            </w:r>
          </w:p>
        </w:tc>
        <w:tc>
          <w:tcPr>
            <w:tcW w:w="657" w:type="dxa"/>
            <w:vAlign w:val="center"/>
          </w:tcPr>
          <w:p w14:paraId="326EAB0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以纸巾擦拭、目视</w:t>
            </w:r>
          </w:p>
        </w:tc>
        <w:tc>
          <w:tcPr>
            <w:tcW w:w="1836" w:type="dxa"/>
            <w:vAlign w:val="center"/>
          </w:tcPr>
          <w:p w14:paraId="2EA3A8D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3134B68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BCD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29D8CCC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1C74A93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射灯、路灯</w:t>
            </w:r>
          </w:p>
        </w:tc>
        <w:tc>
          <w:tcPr>
            <w:tcW w:w="922" w:type="dxa"/>
            <w:vAlign w:val="center"/>
          </w:tcPr>
          <w:p w14:paraId="13AE9701">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配合</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剂擦</w:t>
            </w:r>
          </w:p>
          <w:p w14:paraId="6416878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抹一次，并随时</w:t>
            </w:r>
            <w:r>
              <w:rPr>
                <w:rFonts w:hint="eastAsia" w:asciiTheme="minorEastAsia" w:hAnsiTheme="minorEastAsia" w:cstheme="minorEastAsia"/>
                <w:color w:val="auto"/>
                <w:szCs w:val="21"/>
                <w:highlight w:val="none"/>
                <w:lang w:eastAsia="zh-CN"/>
              </w:rPr>
              <w:t>清洁</w:t>
            </w:r>
          </w:p>
        </w:tc>
        <w:tc>
          <w:tcPr>
            <w:tcW w:w="787" w:type="dxa"/>
            <w:vAlign w:val="center"/>
          </w:tcPr>
          <w:p w14:paraId="06947ADC">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全面清</w:t>
            </w:r>
          </w:p>
          <w:p w14:paraId="2B350F2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洗一次</w:t>
            </w:r>
          </w:p>
        </w:tc>
        <w:tc>
          <w:tcPr>
            <w:tcW w:w="787" w:type="dxa"/>
            <w:vAlign w:val="center"/>
          </w:tcPr>
          <w:p w14:paraId="41A0708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4004383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3B56369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4DB192E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w:t>
            </w:r>
          </w:p>
        </w:tc>
        <w:tc>
          <w:tcPr>
            <w:tcW w:w="657" w:type="dxa"/>
            <w:vAlign w:val="center"/>
          </w:tcPr>
          <w:p w14:paraId="7C8F188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1AF94C7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75698AD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11C8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294BA65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47B11E81">
            <w:pPr>
              <w:keepNext w:val="0"/>
              <w:keepLines w:val="0"/>
              <w:pageBreakBefore w:val="0"/>
              <w:kinsoku/>
              <w:wordWrap/>
              <w:overflowPunct/>
              <w:topLinePunct w:val="0"/>
              <w:bidi w:val="0"/>
              <w:adjustRightInd w:val="0"/>
              <w:snapToGrid w:val="0"/>
              <w:spacing w:line="440" w:lineRule="exact"/>
              <w:jc w:val="lef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信报箱、</w:t>
            </w:r>
          </w:p>
          <w:p w14:paraId="0C2B3112">
            <w:pPr>
              <w:keepNext w:val="0"/>
              <w:keepLines w:val="0"/>
              <w:pageBreakBefore w:val="0"/>
              <w:kinsoku/>
              <w:wordWrap/>
              <w:overflowPunct/>
              <w:topLinePunct w:val="0"/>
              <w:bidi w:val="0"/>
              <w:adjustRightInd w:val="0"/>
              <w:snapToGrid w:val="0"/>
              <w:spacing w:line="440" w:lineRule="exact"/>
              <w:jc w:val="lef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不锈钢设施</w:t>
            </w:r>
          </w:p>
        </w:tc>
        <w:tc>
          <w:tcPr>
            <w:tcW w:w="922" w:type="dxa"/>
            <w:vAlign w:val="center"/>
          </w:tcPr>
          <w:p w14:paraId="2E09DA4A">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用不锈钢保养剂</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一次，随时</w:t>
            </w:r>
            <w:r>
              <w:rPr>
                <w:rFonts w:hint="eastAsia" w:asciiTheme="minorEastAsia" w:hAnsiTheme="minorEastAsia" w:cstheme="minorEastAsia"/>
                <w:color w:val="auto"/>
                <w:szCs w:val="21"/>
                <w:highlight w:val="none"/>
                <w:lang w:eastAsia="zh-CN"/>
              </w:rPr>
              <w:t>清洁</w:t>
            </w:r>
          </w:p>
        </w:tc>
        <w:tc>
          <w:tcPr>
            <w:tcW w:w="787" w:type="dxa"/>
            <w:vAlign w:val="center"/>
          </w:tcPr>
          <w:p w14:paraId="111D31A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上不锈钢油两次</w:t>
            </w:r>
          </w:p>
        </w:tc>
        <w:tc>
          <w:tcPr>
            <w:tcW w:w="787" w:type="dxa"/>
            <w:vAlign w:val="center"/>
          </w:tcPr>
          <w:p w14:paraId="727A6BB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0583FA64">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670349C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2F71840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无灰尘、无污渍无痕印、手印</w:t>
            </w:r>
          </w:p>
        </w:tc>
        <w:tc>
          <w:tcPr>
            <w:tcW w:w="657" w:type="dxa"/>
            <w:vAlign w:val="center"/>
          </w:tcPr>
          <w:p w14:paraId="24702C9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36" w:type="dxa"/>
            <w:vAlign w:val="center"/>
          </w:tcPr>
          <w:p w14:paraId="64C0AEE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0A6FC9A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31C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158A1D4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718B63F3">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消防设施及其他设施</w:t>
            </w:r>
          </w:p>
        </w:tc>
        <w:tc>
          <w:tcPr>
            <w:tcW w:w="922" w:type="dxa"/>
            <w:vAlign w:val="center"/>
          </w:tcPr>
          <w:p w14:paraId="0A7A7C9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每天</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vAlign w:val="center"/>
          </w:tcPr>
          <w:p w14:paraId="518800DC">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全面清</w:t>
            </w:r>
          </w:p>
          <w:p w14:paraId="764D8CF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洁一次</w:t>
            </w:r>
          </w:p>
        </w:tc>
        <w:tc>
          <w:tcPr>
            <w:tcW w:w="787" w:type="dxa"/>
            <w:vAlign w:val="center"/>
          </w:tcPr>
          <w:p w14:paraId="41DF135D">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009D12C6">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44EEDD0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424DFE2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无灰尘、无污渍无痕印、手印</w:t>
            </w:r>
          </w:p>
        </w:tc>
        <w:tc>
          <w:tcPr>
            <w:tcW w:w="657" w:type="dxa"/>
            <w:vAlign w:val="center"/>
          </w:tcPr>
          <w:p w14:paraId="2995C6D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36" w:type="dxa"/>
            <w:vAlign w:val="center"/>
          </w:tcPr>
          <w:p w14:paraId="788148F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2E246C6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896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47E3FCE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004AD315">
            <w:pPr>
              <w:keepNext w:val="0"/>
              <w:keepLines w:val="0"/>
              <w:pageBreakBefore w:val="0"/>
              <w:widowControl/>
              <w:kinsoku/>
              <w:wordWrap/>
              <w:overflowPunct/>
              <w:topLinePunct w:val="0"/>
              <w:bidi w:val="0"/>
              <w:adjustRightInd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垃圾桶、垃圾箱</w:t>
            </w:r>
          </w:p>
        </w:tc>
        <w:tc>
          <w:tcPr>
            <w:tcW w:w="922" w:type="dxa"/>
            <w:vAlign w:val="center"/>
          </w:tcPr>
          <w:p w14:paraId="4118A0F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换取垃圾袋一次，</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烟灰缸及时整理清抹箱盖、箱身</w:t>
            </w:r>
          </w:p>
        </w:tc>
        <w:tc>
          <w:tcPr>
            <w:tcW w:w="787" w:type="dxa"/>
            <w:vAlign w:val="center"/>
          </w:tcPr>
          <w:p w14:paraId="4C7C46D5">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全面清</w:t>
            </w:r>
          </w:p>
          <w:p w14:paraId="03813B3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洁一次</w:t>
            </w:r>
          </w:p>
        </w:tc>
        <w:tc>
          <w:tcPr>
            <w:tcW w:w="787" w:type="dxa"/>
            <w:vAlign w:val="center"/>
          </w:tcPr>
          <w:p w14:paraId="446CF42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7ECEE12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52B0A11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5E60024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无溢出垃圾、异味</w:t>
            </w:r>
          </w:p>
        </w:tc>
        <w:tc>
          <w:tcPr>
            <w:tcW w:w="657" w:type="dxa"/>
            <w:vAlign w:val="center"/>
          </w:tcPr>
          <w:p w14:paraId="6FB84AD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0D1E512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479B3B4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8CC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760E389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18A48290">
            <w:pPr>
              <w:keepNext w:val="0"/>
              <w:keepLines w:val="0"/>
              <w:pageBreakBefore w:val="0"/>
              <w:widowControl/>
              <w:kinsoku/>
              <w:wordWrap/>
              <w:overflowPunct/>
              <w:topLinePunct w:val="0"/>
              <w:bidi w:val="0"/>
              <w:adjustRightInd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明沟（井）管道、雨水井、污水井</w:t>
            </w:r>
          </w:p>
        </w:tc>
        <w:tc>
          <w:tcPr>
            <w:tcW w:w="922" w:type="dxa"/>
            <w:vAlign w:val="center"/>
          </w:tcPr>
          <w:p w14:paraId="6B7BBBE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明沟（井）</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垃圾杂物2次并</w:t>
            </w:r>
            <w:r>
              <w:rPr>
                <w:rFonts w:hint="eastAsia" w:asciiTheme="minorEastAsia" w:hAnsiTheme="minorEastAsia" w:cstheme="minorEastAsia"/>
                <w:color w:val="auto"/>
                <w:szCs w:val="21"/>
                <w:highlight w:val="none"/>
                <w:lang w:eastAsia="zh-CN"/>
              </w:rPr>
              <w:t>清洁</w:t>
            </w:r>
          </w:p>
        </w:tc>
        <w:tc>
          <w:tcPr>
            <w:tcW w:w="787" w:type="dxa"/>
            <w:vAlign w:val="center"/>
          </w:tcPr>
          <w:p w14:paraId="2C054AB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管道、雨水井、污水井</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1次</w:t>
            </w:r>
          </w:p>
        </w:tc>
        <w:tc>
          <w:tcPr>
            <w:tcW w:w="787" w:type="dxa"/>
            <w:vAlign w:val="center"/>
          </w:tcPr>
          <w:p w14:paraId="7B89F223">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5E68BB8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0B0F40D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6CF6223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无垃圾、杂物、无积水、畅通无阻</w:t>
            </w:r>
          </w:p>
        </w:tc>
        <w:tc>
          <w:tcPr>
            <w:tcW w:w="657" w:type="dxa"/>
            <w:vAlign w:val="center"/>
          </w:tcPr>
          <w:p w14:paraId="35A5F43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0D69103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22494EE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E04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0CFB433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00ED304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勾井渠盖</w:t>
            </w:r>
          </w:p>
        </w:tc>
        <w:tc>
          <w:tcPr>
            <w:tcW w:w="922" w:type="dxa"/>
            <w:vAlign w:val="center"/>
          </w:tcPr>
          <w:p w14:paraId="00EDBFDD">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tc>
        <w:tc>
          <w:tcPr>
            <w:tcW w:w="787" w:type="dxa"/>
            <w:vAlign w:val="center"/>
          </w:tcPr>
          <w:p w14:paraId="0246D893">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全面清</w:t>
            </w:r>
          </w:p>
          <w:p w14:paraId="1229FE7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洁一次</w:t>
            </w:r>
          </w:p>
        </w:tc>
        <w:tc>
          <w:tcPr>
            <w:tcW w:w="787" w:type="dxa"/>
            <w:vAlign w:val="center"/>
          </w:tcPr>
          <w:p w14:paraId="7A785221">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65D9BAAE">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5882AD0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一周</w:t>
            </w:r>
          </w:p>
        </w:tc>
        <w:tc>
          <w:tcPr>
            <w:tcW w:w="1048" w:type="dxa"/>
            <w:vAlign w:val="center"/>
          </w:tcPr>
          <w:p w14:paraId="2405F4B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无杂物、无污水横流、井盖完整牢固</w:t>
            </w:r>
          </w:p>
        </w:tc>
        <w:tc>
          <w:tcPr>
            <w:tcW w:w="657" w:type="dxa"/>
            <w:vAlign w:val="center"/>
          </w:tcPr>
          <w:p w14:paraId="79E1646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318975F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0EC534B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1113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71D75B7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6CDE9DF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绿化带</w:t>
            </w:r>
          </w:p>
        </w:tc>
        <w:tc>
          <w:tcPr>
            <w:tcW w:w="922" w:type="dxa"/>
            <w:vAlign w:val="center"/>
          </w:tcPr>
          <w:p w14:paraId="2BEA105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tc>
        <w:tc>
          <w:tcPr>
            <w:tcW w:w="787" w:type="dxa"/>
            <w:vAlign w:val="center"/>
          </w:tcPr>
          <w:p w14:paraId="08956F3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全面清扫一次</w:t>
            </w:r>
          </w:p>
        </w:tc>
        <w:tc>
          <w:tcPr>
            <w:tcW w:w="787" w:type="dxa"/>
            <w:vAlign w:val="center"/>
          </w:tcPr>
          <w:p w14:paraId="322A684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3619C99A">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3A7CD3C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32226BC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花坛、草地内无杂物、无枯叶、烟头</w:t>
            </w:r>
          </w:p>
        </w:tc>
        <w:tc>
          <w:tcPr>
            <w:tcW w:w="657" w:type="dxa"/>
            <w:vAlign w:val="center"/>
          </w:tcPr>
          <w:p w14:paraId="615F3BF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74DC960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3DAB53A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409D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restart"/>
            <w:tcBorders>
              <w:top w:val="nil"/>
            </w:tcBorders>
            <w:vAlign w:val="center"/>
          </w:tcPr>
          <w:p w14:paraId="13E43AD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07BB341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隔油池</w:t>
            </w:r>
          </w:p>
        </w:tc>
        <w:tc>
          <w:tcPr>
            <w:tcW w:w="922" w:type="dxa"/>
            <w:vAlign w:val="center"/>
          </w:tcPr>
          <w:p w14:paraId="473857E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5D7FF63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定时检查畅通情况，发现堵塞及时处理</w:t>
            </w:r>
          </w:p>
        </w:tc>
        <w:tc>
          <w:tcPr>
            <w:tcW w:w="787" w:type="dxa"/>
            <w:vAlign w:val="center"/>
          </w:tcPr>
          <w:p w14:paraId="6751463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每月对池内沉淀物进行彻底清理</w:t>
            </w:r>
          </w:p>
        </w:tc>
        <w:tc>
          <w:tcPr>
            <w:tcW w:w="788" w:type="dxa"/>
            <w:vAlign w:val="center"/>
          </w:tcPr>
          <w:p w14:paraId="291F9BD8">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1901EB8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半年</w:t>
            </w:r>
          </w:p>
        </w:tc>
        <w:tc>
          <w:tcPr>
            <w:tcW w:w="1048" w:type="dxa"/>
            <w:vAlign w:val="center"/>
          </w:tcPr>
          <w:p w14:paraId="52ACC34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无臭味、无油垢、无沉淀物</w:t>
            </w:r>
          </w:p>
        </w:tc>
        <w:tc>
          <w:tcPr>
            <w:tcW w:w="657" w:type="dxa"/>
            <w:vAlign w:val="center"/>
          </w:tcPr>
          <w:p w14:paraId="2137762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4B1835D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5B642C9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2331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tcBorders>
              <w:top w:val="nil"/>
            </w:tcBorders>
            <w:vAlign w:val="center"/>
          </w:tcPr>
          <w:p w14:paraId="5AFDF5A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5DB858B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化粪池</w:t>
            </w:r>
          </w:p>
        </w:tc>
        <w:tc>
          <w:tcPr>
            <w:tcW w:w="922" w:type="dxa"/>
            <w:vAlign w:val="center"/>
          </w:tcPr>
          <w:p w14:paraId="3E01304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421CB0C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定时检查畅通情况，发现堵塞及时处理</w:t>
            </w:r>
          </w:p>
        </w:tc>
        <w:tc>
          <w:tcPr>
            <w:tcW w:w="787" w:type="dxa"/>
            <w:vAlign w:val="center"/>
          </w:tcPr>
          <w:p w14:paraId="38F4011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37C3F05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每半年对池内沉淀物进行彻底清理</w:t>
            </w:r>
          </w:p>
        </w:tc>
        <w:tc>
          <w:tcPr>
            <w:tcW w:w="787" w:type="dxa"/>
            <w:vAlign w:val="center"/>
          </w:tcPr>
          <w:p w14:paraId="6101EBF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半年</w:t>
            </w:r>
          </w:p>
        </w:tc>
        <w:tc>
          <w:tcPr>
            <w:tcW w:w="1048" w:type="dxa"/>
            <w:vAlign w:val="center"/>
          </w:tcPr>
          <w:p w14:paraId="227F35B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无臭味、无沉淀物</w:t>
            </w:r>
          </w:p>
        </w:tc>
        <w:tc>
          <w:tcPr>
            <w:tcW w:w="657" w:type="dxa"/>
            <w:vAlign w:val="center"/>
          </w:tcPr>
          <w:p w14:paraId="144E844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22CA257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3C33F00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1F6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restart"/>
            <w:vAlign w:val="center"/>
          </w:tcPr>
          <w:p w14:paraId="14AA612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p w14:paraId="2AFEFBD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p w14:paraId="3730F5C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p w14:paraId="06F7546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地</w:t>
            </w:r>
          </w:p>
          <w:p w14:paraId="1B36741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下</w:t>
            </w:r>
          </w:p>
          <w:p w14:paraId="3DB01E2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车</w:t>
            </w:r>
            <w:r>
              <w:rPr>
                <w:rFonts w:hint="eastAsia" w:asciiTheme="minorEastAsia" w:hAnsiTheme="minorEastAsia" w:cstheme="minorEastAsia"/>
                <w:color w:val="auto"/>
                <w:szCs w:val="21"/>
                <w:highlight w:val="none"/>
              </w:rPr>
              <w:br w:type="textWrapping"/>
            </w:r>
            <w:r>
              <w:rPr>
                <w:rFonts w:hint="eastAsia" w:asciiTheme="minorEastAsia" w:hAnsiTheme="minorEastAsia" w:cstheme="minorEastAsia"/>
                <w:color w:val="auto"/>
                <w:szCs w:val="21"/>
                <w:highlight w:val="none"/>
              </w:rPr>
              <w:t>库</w:t>
            </w:r>
          </w:p>
          <w:p w14:paraId="7FBAE67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p w14:paraId="6BB6777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p w14:paraId="7581BC8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3B1F025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出入口处地面</w:t>
            </w:r>
          </w:p>
        </w:tc>
        <w:tc>
          <w:tcPr>
            <w:tcW w:w="922" w:type="dxa"/>
            <w:vAlign w:val="center"/>
          </w:tcPr>
          <w:p w14:paraId="02225942">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rPr>
              <w:t>清扫2—4次并随时</w:t>
            </w:r>
            <w:r>
              <w:rPr>
                <w:rFonts w:hint="eastAsia" w:asciiTheme="minorEastAsia" w:hAnsiTheme="minorEastAsia" w:cstheme="minorEastAsia"/>
                <w:color w:val="auto"/>
                <w:szCs w:val="21"/>
                <w:highlight w:val="none"/>
                <w:lang w:eastAsia="zh-CN"/>
              </w:rPr>
              <w:t>清洁</w:t>
            </w:r>
          </w:p>
        </w:tc>
        <w:tc>
          <w:tcPr>
            <w:tcW w:w="787" w:type="dxa"/>
            <w:vAlign w:val="center"/>
          </w:tcPr>
          <w:p w14:paraId="5A27FAA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05E4DA0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用</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剂擦洗后再冲洗1次</w:t>
            </w:r>
          </w:p>
        </w:tc>
        <w:tc>
          <w:tcPr>
            <w:tcW w:w="788" w:type="dxa"/>
            <w:vAlign w:val="center"/>
          </w:tcPr>
          <w:p w14:paraId="483A4376">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3BD4F76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半天</w:t>
            </w:r>
          </w:p>
        </w:tc>
        <w:tc>
          <w:tcPr>
            <w:tcW w:w="1048" w:type="dxa"/>
            <w:vAlign w:val="center"/>
          </w:tcPr>
          <w:p w14:paraId="2189E2C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无积尘、污迹、杂物</w:t>
            </w:r>
          </w:p>
        </w:tc>
        <w:tc>
          <w:tcPr>
            <w:tcW w:w="657" w:type="dxa"/>
            <w:vAlign w:val="center"/>
          </w:tcPr>
          <w:p w14:paraId="620269C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255045C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2E8B6A8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452C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5C05199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6757B7F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地下室排水沟</w:t>
            </w:r>
          </w:p>
        </w:tc>
        <w:tc>
          <w:tcPr>
            <w:tcW w:w="922" w:type="dxa"/>
            <w:vAlign w:val="center"/>
          </w:tcPr>
          <w:p w14:paraId="3434356A">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52304C9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清理沙泥杂物1次</w:t>
            </w:r>
          </w:p>
        </w:tc>
        <w:tc>
          <w:tcPr>
            <w:tcW w:w="787" w:type="dxa"/>
            <w:vAlign w:val="center"/>
          </w:tcPr>
          <w:p w14:paraId="5E9A01F4">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7B79BA6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0AC7443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一周两次</w:t>
            </w:r>
          </w:p>
        </w:tc>
        <w:tc>
          <w:tcPr>
            <w:tcW w:w="1048" w:type="dxa"/>
            <w:vAlign w:val="center"/>
          </w:tcPr>
          <w:p w14:paraId="141B9B8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无积水、积沙、杂物、明显油迹、无</w:t>
            </w:r>
            <w:r>
              <w:rPr>
                <w:rFonts w:hint="eastAsia" w:asciiTheme="minorEastAsia" w:hAnsiTheme="minorEastAsia" w:cstheme="minorEastAsia"/>
                <w:color w:val="auto"/>
                <w:szCs w:val="21"/>
                <w:highlight w:val="none"/>
                <w:lang w:eastAsia="zh-CN"/>
              </w:rPr>
              <w:t>蚊蝇滋生</w:t>
            </w:r>
          </w:p>
        </w:tc>
        <w:tc>
          <w:tcPr>
            <w:tcW w:w="657" w:type="dxa"/>
            <w:vAlign w:val="center"/>
          </w:tcPr>
          <w:p w14:paraId="6268C95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6FAC687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751C4FD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2A7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72FC9615">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835" w:type="dxa"/>
            <w:vAlign w:val="center"/>
          </w:tcPr>
          <w:p w14:paraId="072D4B0E">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消防栓</w:t>
            </w:r>
          </w:p>
        </w:tc>
        <w:tc>
          <w:tcPr>
            <w:tcW w:w="922" w:type="dxa"/>
            <w:vAlign w:val="center"/>
          </w:tcPr>
          <w:p w14:paraId="18705A79">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797567A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擦抹一次</w:t>
            </w:r>
          </w:p>
        </w:tc>
        <w:tc>
          <w:tcPr>
            <w:tcW w:w="787" w:type="dxa"/>
            <w:vAlign w:val="center"/>
          </w:tcPr>
          <w:p w14:paraId="079208AE">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01F6B131">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tcPr>
          <w:p w14:paraId="63D8AD1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5862263D">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无灰尘、污迹</w:t>
            </w:r>
          </w:p>
        </w:tc>
        <w:tc>
          <w:tcPr>
            <w:tcW w:w="657" w:type="dxa"/>
            <w:vAlign w:val="center"/>
          </w:tcPr>
          <w:p w14:paraId="28B63E3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手摸</w:t>
            </w:r>
          </w:p>
        </w:tc>
        <w:tc>
          <w:tcPr>
            <w:tcW w:w="1836" w:type="dxa"/>
            <w:vAlign w:val="center"/>
          </w:tcPr>
          <w:p w14:paraId="50C23EA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7FDC725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3E17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23" w:type="dxa"/>
            <w:vMerge w:val="continue"/>
            <w:vAlign w:val="center"/>
          </w:tcPr>
          <w:p w14:paraId="4CC76E29">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1835" w:type="dxa"/>
            <w:vAlign w:val="center"/>
          </w:tcPr>
          <w:p w14:paraId="51093CBF">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排污管、消防管</w:t>
            </w:r>
          </w:p>
        </w:tc>
        <w:tc>
          <w:tcPr>
            <w:tcW w:w="922" w:type="dxa"/>
            <w:vAlign w:val="center"/>
          </w:tcPr>
          <w:p w14:paraId="3EC40D58">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010026B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vAlign w:val="center"/>
          </w:tcPr>
          <w:p w14:paraId="4BD91A77">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28E114E9">
            <w:pPr>
              <w:keepNext w:val="0"/>
              <w:keepLines w:val="0"/>
              <w:pageBreakBefore w:val="0"/>
              <w:kinsoku/>
              <w:wordWrap/>
              <w:overflowPunct/>
              <w:topLinePunct w:val="0"/>
              <w:bidi w:val="0"/>
              <w:spacing w:line="440" w:lineRule="exac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tcPr>
          <w:p w14:paraId="7117B7B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1803764D">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基本无灰尘、污迹</w:t>
            </w:r>
          </w:p>
        </w:tc>
        <w:tc>
          <w:tcPr>
            <w:tcW w:w="657" w:type="dxa"/>
            <w:vAlign w:val="center"/>
          </w:tcPr>
          <w:p w14:paraId="203C863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491BFD0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6FE6204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9CE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0AA1BBE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11935F6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消防模块盒、警铃、电源开关等</w:t>
            </w:r>
          </w:p>
        </w:tc>
        <w:tc>
          <w:tcPr>
            <w:tcW w:w="922" w:type="dxa"/>
            <w:vAlign w:val="center"/>
          </w:tcPr>
          <w:p w14:paraId="6F9317BD">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tc>
        <w:tc>
          <w:tcPr>
            <w:tcW w:w="787" w:type="dxa"/>
            <w:vAlign w:val="center"/>
          </w:tcPr>
          <w:p w14:paraId="642B3A8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2次</w:t>
            </w:r>
          </w:p>
        </w:tc>
        <w:tc>
          <w:tcPr>
            <w:tcW w:w="787" w:type="dxa"/>
            <w:vAlign w:val="center"/>
          </w:tcPr>
          <w:p w14:paraId="5F62291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43DC97A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tcPr>
          <w:p w14:paraId="5BF6803B">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2EC326E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无灰尘、污迹</w:t>
            </w:r>
          </w:p>
        </w:tc>
        <w:tc>
          <w:tcPr>
            <w:tcW w:w="657" w:type="dxa"/>
            <w:vAlign w:val="center"/>
          </w:tcPr>
          <w:p w14:paraId="6726D0F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手摸</w:t>
            </w:r>
          </w:p>
        </w:tc>
        <w:tc>
          <w:tcPr>
            <w:tcW w:w="1836" w:type="dxa"/>
            <w:vAlign w:val="center"/>
          </w:tcPr>
          <w:p w14:paraId="569FFDF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0F0C7FD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bl>
    <w:p w14:paraId="4F3FF47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asciiTheme="minorEastAsia" w:hAnsiTheme="minorEastAsia" w:cstheme="minorEastAsia"/>
          <w:color w:val="auto"/>
          <w:szCs w:val="21"/>
          <w:highlight w:val="none"/>
        </w:rPr>
        <w:br w:type="page"/>
      </w:r>
    </w:p>
    <w:tbl>
      <w:tblPr>
        <w:tblStyle w:val="13"/>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835"/>
        <w:gridCol w:w="922"/>
        <w:gridCol w:w="787"/>
        <w:gridCol w:w="787"/>
        <w:gridCol w:w="788"/>
        <w:gridCol w:w="787"/>
        <w:gridCol w:w="1048"/>
        <w:gridCol w:w="657"/>
        <w:gridCol w:w="1836"/>
        <w:gridCol w:w="4198"/>
      </w:tblGrid>
      <w:tr w14:paraId="5EFD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restart"/>
            <w:vAlign w:val="center"/>
          </w:tcPr>
          <w:p w14:paraId="05BE438F">
            <w:pPr>
              <w:pStyle w:val="5"/>
              <w:keepNext w:val="0"/>
              <w:keepLines w:val="0"/>
              <w:pageBreakBefore w:val="0"/>
              <w:kinsoku/>
              <w:wordWrap/>
              <w:overflowPunct/>
              <w:topLinePunct w:val="0"/>
              <w:bidi w:val="0"/>
              <w:spacing w:line="440" w:lineRule="exact"/>
              <w:textAlignment w:val="auto"/>
            </w:pPr>
          </w:p>
        </w:tc>
        <w:tc>
          <w:tcPr>
            <w:tcW w:w="1835" w:type="dxa"/>
            <w:vAlign w:val="center"/>
          </w:tcPr>
          <w:p w14:paraId="40A8BD3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防火门</w:t>
            </w:r>
          </w:p>
        </w:tc>
        <w:tc>
          <w:tcPr>
            <w:tcW w:w="922" w:type="dxa"/>
            <w:vAlign w:val="center"/>
          </w:tcPr>
          <w:p w14:paraId="7DC9AFA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787" w:type="dxa"/>
            <w:vAlign w:val="center"/>
          </w:tcPr>
          <w:p w14:paraId="621FEEF4">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w:t>
            </w:r>
          </w:p>
        </w:tc>
        <w:tc>
          <w:tcPr>
            <w:tcW w:w="787" w:type="dxa"/>
            <w:vAlign w:val="center"/>
          </w:tcPr>
          <w:p w14:paraId="3C69F62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1E2BC41A">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tcPr>
          <w:p w14:paraId="6D1E5D67">
            <w:pPr>
              <w:keepNext w:val="0"/>
              <w:keepLines w:val="0"/>
              <w:pageBreakBefore w:val="0"/>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5DFAFAD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无污迹、呈本色，无尘</w:t>
            </w:r>
          </w:p>
        </w:tc>
        <w:tc>
          <w:tcPr>
            <w:tcW w:w="657" w:type="dxa"/>
            <w:vAlign w:val="center"/>
          </w:tcPr>
          <w:p w14:paraId="64C63E3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以纸巾擦拭</w:t>
            </w:r>
          </w:p>
        </w:tc>
        <w:tc>
          <w:tcPr>
            <w:tcW w:w="1836" w:type="dxa"/>
            <w:vAlign w:val="center"/>
          </w:tcPr>
          <w:p w14:paraId="75E1625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10BDFD6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F2F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1104613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2093A8D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人防门</w:t>
            </w:r>
          </w:p>
        </w:tc>
        <w:tc>
          <w:tcPr>
            <w:tcW w:w="922" w:type="dxa"/>
            <w:vAlign w:val="center"/>
          </w:tcPr>
          <w:p w14:paraId="3BD5C26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清抹一次</w:t>
            </w:r>
          </w:p>
        </w:tc>
        <w:tc>
          <w:tcPr>
            <w:tcW w:w="787" w:type="dxa"/>
            <w:vAlign w:val="center"/>
          </w:tcPr>
          <w:p w14:paraId="4674DDE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73E2D62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6051A35A">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631FDAD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359BC4D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无灰尘、污迹、夹角内无蜘蛛网</w:t>
            </w:r>
          </w:p>
        </w:tc>
        <w:tc>
          <w:tcPr>
            <w:tcW w:w="657" w:type="dxa"/>
            <w:vAlign w:val="center"/>
          </w:tcPr>
          <w:p w14:paraId="39950D3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手摸或目视</w:t>
            </w:r>
          </w:p>
        </w:tc>
        <w:tc>
          <w:tcPr>
            <w:tcW w:w="1836" w:type="dxa"/>
            <w:vAlign w:val="center"/>
          </w:tcPr>
          <w:p w14:paraId="31DEA09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3752A8F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5ED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23" w:type="dxa"/>
            <w:vMerge w:val="continue"/>
            <w:vAlign w:val="center"/>
          </w:tcPr>
          <w:p w14:paraId="54664E2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28A0FEA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路灯罩</w:t>
            </w:r>
          </w:p>
        </w:tc>
        <w:tc>
          <w:tcPr>
            <w:tcW w:w="922" w:type="dxa"/>
            <w:vAlign w:val="center"/>
          </w:tcPr>
          <w:p w14:paraId="0B61CD88">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0D33598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vAlign w:val="center"/>
          </w:tcPr>
          <w:p w14:paraId="6AEDB956">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22979167">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0178579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一周</w:t>
            </w:r>
          </w:p>
        </w:tc>
        <w:tc>
          <w:tcPr>
            <w:tcW w:w="1048" w:type="dxa"/>
            <w:vAlign w:val="center"/>
          </w:tcPr>
          <w:p w14:paraId="7B41F5E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侧视无灰尘，内无明显死蚊虫</w:t>
            </w:r>
          </w:p>
        </w:tc>
        <w:tc>
          <w:tcPr>
            <w:tcW w:w="657" w:type="dxa"/>
            <w:vAlign w:val="center"/>
          </w:tcPr>
          <w:p w14:paraId="3EDDB71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36" w:type="dxa"/>
            <w:vAlign w:val="center"/>
          </w:tcPr>
          <w:p w14:paraId="01C3E69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06D4D78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5FF9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15BAB57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326F595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日光灯、灯饰</w:t>
            </w:r>
          </w:p>
        </w:tc>
        <w:tc>
          <w:tcPr>
            <w:tcW w:w="922" w:type="dxa"/>
            <w:vAlign w:val="center"/>
          </w:tcPr>
          <w:p w14:paraId="5971727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47F0374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扫除蛛网、灰尘1次</w:t>
            </w:r>
          </w:p>
        </w:tc>
        <w:tc>
          <w:tcPr>
            <w:tcW w:w="787" w:type="dxa"/>
            <w:vAlign w:val="center"/>
          </w:tcPr>
          <w:p w14:paraId="558DDD11">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708F1C61">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01BDD45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一周</w:t>
            </w:r>
          </w:p>
        </w:tc>
        <w:tc>
          <w:tcPr>
            <w:tcW w:w="1048" w:type="dxa"/>
            <w:vAlign w:val="center"/>
          </w:tcPr>
          <w:p w14:paraId="7B4C648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无灰尘、无蛛网、无灰尘等</w:t>
            </w:r>
          </w:p>
        </w:tc>
        <w:tc>
          <w:tcPr>
            <w:tcW w:w="657" w:type="dxa"/>
            <w:vAlign w:val="center"/>
          </w:tcPr>
          <w:p w14:paraId="60DA9C8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3B1A439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7FEE546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CF3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105D206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17A1105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停车场地面</w:t>
            </w:r>
          </w:p>
        </w:tc>
        <w:tc>
          <w:tcPr>
            <w:tcW w:w="922" w:type="dxa"/>
            <w:vAlign w:val="center"/>
          </w:tcPr>
          <w:p w14:paraId="02352BC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vAlign w:val="center"/>
          </w:tcPr>
          <w:p w14:paraId="5EE1D243">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1C5D83C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冲洗一次</w:t>
            </w:r>
          </w:p>
        </w:tc>
        <w:tc>
          <w:tcPr>
            <w:tcW w:w="788" w:type="dxa"/>
            <w:vAlign w:val="center"/>
          </w:tcPr>
          <w:p w14:paraId="0905F3C3">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1D61834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120分钟</w:t>
            </w:r>
          </w:p>
        </w:tc>
        <w:tc>
          <w:tcPr>
            <w:tcW w:w="1048" w:type="dxa"/>
            <w:vAlign w:val="center"/>
          </w:tcPr>
          <w:p w14:paraId="535D7F1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无积水杂物、纸屑、烟头或明显油迹、污迹</w:t>
            </w:r>
          </w:p>
        </w:tc>
        <w:tc>
          <w:tcPr>
            <w:tcW w:w="657" w:type="dxa"/>
            <w:vAlign w:val="center"/>
          </w:tcPr>
          <w:p w14:paraId="6295D33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2EAFD17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4AD76CE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83F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77DDFEB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4011AC7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给、排水管、排风口、冷风口</w:t>
            </w:r>
          </w:p>
        </w:tc>
        <w:tc>
          <w:tcPr>
            <w:tcW w:w="922" w:type="dxa"/>
            <w:vAlign w:val="center"/>
          </w:tcPr>
          <w:p w14:paraId="590CBD19">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tc>
        <w:tc>
          <w:tcPr>
            <w:tcW w:w="787" w:type="dxa"/>
            <w:vAlign w:val="center"/>
          </w:tcPr>
          <w:p w14:paraId="40629E8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1次</w:t>
            </w:r>
          </w:p>
        </w:tc>
        <w:tc>
          <w:tcPr>
            <w:tcW w:w="787" w:type="dxa"/>
            <w:vAlign w:val="center"/>
          </w:tcPr>
          <w:p w14:paraId="4D1C62C7">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5D664C1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341BDE0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一周</w:t>
            </w:r>
          </w:p>
        </w:tc>
        <w:tc>
          <w:tcPr>
            <w:tcW w:w="1048" w:type="dxa"/>
            <w:vAlign w:val="center"/>
          </w:tcPr>
          <w:p w14:paraId="76716FBC">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无灰尘、蜘蛛网</w:t>
            </w:r>
          </w:p>
        </w:tc>
        <w:tc>
          <w:tcPr>
            <w:tcW w:w="657" w:type="dxa"/>
            <w:vAlign w:val="center"/>
          </w:tcPr>
          <w:p w14:paraId="05EF0B9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4269210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7CA534C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7C48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255E015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4645E3B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倒车镜</w:t>
            </w:r>
          </w:p>
        </w:tc>
        <w:tc>
          <w:tcPr>
            <w:tcW w:w="922" w:type="dxa"/>
            <w:vAlign w:val="center"/>
          </w:tcPr>
          <w:p w14:paraId="39F6073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擦抹一次</w:t>
            </w:r>
          </w:p>
        </w:tc>
        <w:tc>
          <w:tcPr>
            <w:tcW w:w="787" w:type="dxa"/>
            <w:vAlign w:val="center"/>
          </w:tcPr>
          <w:p w14:paraId="74262AC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344F3AFD">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8" w:type="dxa"/>
            <w:vAlign w:val="center"/>
          </w:tcPr>
          <w:p w14:paraId="5F34EAA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59B6F6E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一天</w:t>
            </w:r>
          </w:p>
        </w:tc>
        <w:tc>
          <w:tcPr>
            <w:tcW w:w="1048" w:type="dxa"/>
            <w:vAlign w:val="center"/>
          </w:tcPr>
          <w:p w14:paraId="2B69673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无灰尘、无污迹、水渍</w:t>
            </w:r>
          </w:p>
        </w:tc>
        <w:tc>
          <w:tcPr>
            <w:tcW w:w="657" w:type="dxa"/>
            <w:vAlign w:val="center"/>
          </w:tcPr>
          <w:p w14:paraId="33234C0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手摸或以纸巾擦拭</w:t>
            </w:r>
          </w:p>
        </w:tc>
        <w:tc>
          <w:tcPr>
            <w:tcW w:w="1836" w:type="dxa"/>
            <w:vAlign w:val="center"/>
          </w:tcPr>
          <w:p w14:paraId="123B725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20E8DFC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CE7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11B72ED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7A0BFA3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各类标识牌、汽车防撞栏</w:t>
            </w:r>
          </w:p>
        </w:tc>
        <w:tc>
          <w:tcPr>
            <w:tcW w:w="922" w:type="dxa"/>
            <w:vAlign w:val="center"/>
          </w:tcPr>
          <w:p w14:paraId="72C9215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清洁</w:t>
            </w:r>
          </w:p>
        </w:tc>
        <w:tc>
          <w:tcPr>
            <w:tcW w:w="787" w:type="dxa"/>
            <w:vAlign w:val="center"/>
          </w:tcPr>
          <w:p w14:paraId="681FAAA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抹尘两次</w:t>
            </w:r>
          </w:p>
        </w:tc>
        <w:tc>
          <w:tcPr>
            <w:tcW w:w="787" w:type="dxa"/>
            <w:shd w:val="clear" w:color="auto" w:fill="auto"/>
            <w:vAlign w:val="center"/>
          </w:tcPr>
          <w:p w14:paraId="1103EAB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788" w:type="dxa"/>
            <w:shd w:val="clear" w:color="auto" w:fill="auto"/>
            <w:vAlign w:val="center"/>
          </w:tcPr>
          <w:p w14:paraId="3DDB669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787" w:type="dxa"/>
            <w:vAlign w:val="center"/>
          </w:tcPr>
          <w:p w14:paraId="582F7BB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一周</w:t>
            </w:r>
          </w:p>
        </w:tc>
        <w:tc>
          <w:tcPr>
            <w:tcW w:w="1048" w:type="dxa"/>
            <w:vAlign w:val="center"/>
          </w:tcPr>
          <w:p w14:paraId="14AAB1D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无明显污迹、灰尘</w:t>
            </w:r>
          </w:p>
        </w:tc>
        <w:tc>
          <w:tcPr>
            <w:tcW w:w="657" w:type="dxa"/>
            <w:vAlign w:val="center"/>
          </w:tcPr>
          <w:p w14:paraId="0C4FB3D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以纸巾擦拭或手摸</w:t>
            </w:r>
          </w:p>
        </w:tc>
        <w:tc>
          <w:tcPr>
            <w:tcW w:w="1836" w:type="dxa"/>
            <w:vAlign w:val="center"/>
          </w:tcPr>
          <w:p w14:paraId="537F58F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56A4359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FB3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5120C2F2">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631CD41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天花</w:t>
            </w:r>
          </w:p>
        </w:tc>
        <w:tc>
          <w:tcPr>
            <w:tcW w:w="922" w:type="dxa"/>
            <w:vAlign w:val="center"/>
          </w:tcPr>
          <w:p w14:paraId="3E0D11A0">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w:t>
            </w:r>
          </w:p>
        </w:tc>
        <w:tc>
          <w:tcPr>
            <w:tcW w:w="787" w:type="dxa"/>
            <w:vAlign w:val="center"/>
          </w:tcPr>
          <w:p w14:paraId="6CF083E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shd w:val="clear" w:color="auto" w:fill="auto"/>
            <w:vAlign w:val="center"/>
          </w:tcPr>
          <w:p w14:paraId="1F097E15">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788" w:type="dxa"/>
            <w:shd w:val="clear" w:color="auto" w:fill="auto"/>
            <w:vAlign w:val="center"/>
          </w:tcPr>
          <w:p w14:paraId="60AE0E2A">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787" w:type="dxa"/>
            <w:vAlign w:val="center"/>
          </w:tcPr>
          <w:p w14:paraId="6BBB27F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一周</w:t>
            </w:r>
          </w:p>
        </w:tc>
        <w:tc>
          <w:tcPr>
            <w:tcW w:w="1048" w:type="dxa"/>
            <w:vAlign w:val="center"/>
          </w:tcPr>
          <w:p w14:paraId="31D4ECA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无蜘蛛网</w:t>
            </w:r>
          </w:p>
        </w:tc>
        <w:tc>
          <w:tcPr>
            <w:tcW w:w="657" w:type="dxa"/>
            <w:vAlign w:val="center"/>
          </w:tcPr>
          <w:p w14:paraId="4AA5564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w:t>
            </w:r>
          </w:p>
        </w:tc>
        <w:tc>
          <w:tcPr>
            <w:tcW w:w="1836" w:type="dxa"/>
            <w:vAlign w:val="center"/>
          </w:tcPr>
          <w:p w14:paraId="3C17EB1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34E4E60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053F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5BD1708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0664235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配电箱</w:t>
            </w:r>
          </w:p>
        </w:tc>
        <w:tc>
          <w:tcPr>
            <w:tcW w:w="922" w:type="dxa"/>
            <w:vAlign w:val="center"/>
          </w:tcPr>
          <w:p w14:paraId="56EAD0C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w:t>
            </w:r>
          </w:p>
        </w:tc>
        <w:tc>
          <w:tcPr>
            <w:tcW w:w="787" w:type="dxa"/>
            <w:vAlign w:val="center"/>
          </w:tcPr>
          <w:p w14:paraId="549085F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shd w:val="clear" w:color="auto" w:fill="auto"/>
            <w:vAlign w:val="center"/>
          </w:tcPr>
          <w:p w14:paraId="464ACAA2">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788" w:type="dxa"/>
            <w:shd w:val="clear" w:color="auto" w:fill="auto"/>
            <w:vAlign w:val="center"/>
          </w:tcPr>
          <w:p w14:paraId="3235560C">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787" w:type="dxa"/>
            <w:vAlign w:val="center"/>
          </w:tcPr>
          <w:p w14:paraId="2E4D5FC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一周</w:t>
            </w:r>
          </w:p>
        </w:tc>
        <w:tc>
          <w:tcPr>
            <w:tcW w:w="1048" w:type="dxa"/>
            <w:vAlign w:val="center"/>
          </w:tcPr>
          <w:p w14:paraId="12DC991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无积尘、污迹、杂物</w:t>
            </w:r>
          </w:p>
        </w:tc>
        <w:tc>
          <w:tcPr>
            <w:tcW w:w="657" w:type="dxa"/>
            <w:vAlign w:val="center"/>
          </w:tcPr>
          <w:p w14:paraId="5737615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目视或手摸</w:t>
            </w:r>
          </w:p>
        </w:tc>
        <w:tc>
          <w:tcPr>
            <w:tcW w:w="1836" w:type="dxa"/>
            <w:vAlign w:val="center"/>
          </w:tcPr>
          <w:p w14:paraId="0309495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4150ABB0">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同上</w:t>
            </w:r>
          </w:p>
        </w:tc>
      </w:tr>
      <w:tr w14:paraId="6D87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restart"/>
            <w:vAlign w:val="center"/>
          </w:tcPr>
          <w:p w14:paraId="7DF118A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天面</w:t>
            </w:r>
          </w:p>
          <w:p w14:paraId="217C234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w:t>
            </w:r>
          </w:p>
          <w:p w14:paraId="3DF51ED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平台</w:t>
            </w:r>
          </w:p>
        </w:tc>
        <w:tc>
          <w:tcPr>
            <w:tcW w:w="1835" w:type="dxa"/>
            <w:vAlign w:val="center"/>
          </w:tcPr>
          <w:p w14:paraId="613EFEEB">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地面</w:t>
            </w:r>
          </w:p>
        </w:tc>
        <w:tc>
          <w:tcPr>
            <w:tcW w:w="922" w:type="dxa"/>
            <w:vAlign w:val="center"/>
          </w:tcPr>
          <w:p w14:paraId="47F8A3AF">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每天</w:t>
            </w: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vAlign w:val="center"/>
          </w:tcPr>
          <w:p w14:paraId="1B4DC57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每周全面湿拖两次</w:t>
            </w:r>
          </w:p>
        </w:tc>
        <w:tc>
          <w:tcPr>
            <w:tcW w:w="787" w:type="dxa"/>
            <w:vAlign w:val="center"/>
          </w:tcPr>
          <w:p w14:paraId="2AF48D71">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全面清洗一次</w:t>
            </w:r>
          </w:p>
        </w:tc>
        <w:tc>
          <w:tcPr>
            <w:tcW w:w="788" w:type="dxa"/>
            <w:vAlign w:val="center"/>
          </w:tcPr>
          <w:p w14:paraId="54A315DD">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w:t>
            </w:r>
          </w:p>
        </w:tc>
        <w:tc>
          <w:tcPr>
            <w:tcW w:w="787" w:type="dxa"/>
            <w:vAlign w:val="center"/>
          </w:tcPr>
          <w:p w14:paraId="121DFB3E">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szCs w:val="21"/>
                <w:highlight w:val="none"/>
                <w:lang w:val="en-US" w:eastAsia="zh-CN"/>
              </w:rPr>
              <w:t>/</w:t>
            </w:r>
          </w:p>
        </w:tc>
        <w:tc>
          <w:tcPr>
            <w:tcW w:w="1048" w:type="dxa"/>
            <w:vAlign w:val="center"/>
          </w:tcPr>
          <w:p w14:paraId="108A6D2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无垃圾杂物</w:t>
            </w:r>
          </w:p>
        </w:tc>
        <w:tc>
          <w:tcPr>
            <w:tcW w:w="657" w:type="dxa"/>
            <w:vAlign w:val="center"/>
          </w:tcPr>
          <w:p w14:paraId="0699BDB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目视</w:t>
            </w:r>
          </w:p>
        </w:tc>
        <w:tc>
          <w:tcPr>
            <w:tcW w:w="1836" w:type="dxa"/>
            <w:vAlign w:val="center"/>
          </w:tcPr>
          <w:p w14:paraId="537ADE67">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25BB045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szCs w:val="21"/>
                <w:highlight w:val="none"/>
              </w:rPr>
              <w:t>同上</w:t>
            </w:r>
          </w:p>
        </w:tc>
      </w:tr>
      <w:tr w14:paraId="2534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61C0656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3C59C40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相关设施</w:t>
            </w:r>
          </w:p>
        </w:tc>
        <w:tc>
          <w:tcPr>
            <w:tcW w:w="922" w:type="dxa"/>
            <w:vAlign w:val="center"/>
          </w:tcPr>
          <w:p w14:paraId="6BC7EDC5">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每天擦拭一次</w:t>
            </w:r>
          </w:p>
        </w:tc>
        <w:tc>
          <w:tcPr>
            <w:tcW w:w="787" w:type="dxa"/>
            <w:vAlign w:val="center"/>
          </w:tcPr>
          <w:p w14:paraId="455E5E7E">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擦抹去尘一次</w:t>
            </w:r>
          </w:p>
        </w:tc>
        <w:tc>
          <w:tcPr>
            <w:tcW w:w="787" w:type="dxa"/>
            <w:shd w:val="clear" w:color="auto" w:fill="auto"/>
            <w:vAlign w:val="center"/>
          </w:tcPr>
          <w:p w14:paraId="2373362F">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788" w:type="dxa"/>
            <w:shd w:val="clear" w:color="auto" w:fill="auto"/>
            <w:vAlign w:val="center"/>
          </w:tcPr>
          <w:p w14:paraId="2A5C50FB">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787" w:type="dxa"/>
            <w:vAlign w:val="center"/>
          </w:tcPr>
          <w:p w14:paraId="592A9841">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szCs w:val="21"/>
                <w:highlight w:val="none"/>
                <w:lang w:val="en-US" w:eastAsia="zh-CN"/>
              </w:rPr>
              <w:t>/</w:t>
            </w:r>
          </w:p>
        </w:tc>
        <w:tc>
          <w:tcPr>
            <w:tcW w:w="1048" w:type="dxa"/>
            <w:vAlign w:val="center"/>
          </w:tcPr>
          <w:p w14:paraId="04A22DFF">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目视干净，无灰尘，污渍</w:t>
            </w:r>
          </w:p>
        </w:tc>
        <w:tc>
          <w:tcPr>
            <w:tcW w:w="657" w:type="dxa"/>
            <w:vAlign w:val="center"/>
          </w:tcPr>
          <w:p w14:paraId="5934AE4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手摸</w:t>
            </w:r>
          </w:p>
        </w:tc>
        <w:tc>
          <w:tcPr>
            <w:tcW w:w="1836" w:type="dxa"/>
            <w:vAlign w:val="center"/>
          </w:tcPr>
          <w:p w14:paraId="39AE7E95">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4F5A9CA9">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szCs w:val="21"/>
                <w:highlight w:val="none"/>
              </w:rPr>
              <w:t>同上</w:t>
            </w:r>
          </w:p>
        </w:tc>
      </w:tr>
      <w:tr w14:paraId="6BD1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 w:hRule="atLeast"/>
        </w:trPr>
        <w:tc>
          <w:tcPr>
            <w:tcW w:w="523" w:type="dxa"/>
            <w:vMerge w:val="continue"/>
            <w:vAlign w:val="center"/>
          </w:tcPr>
          <w:p w14:paraId="10F6F5C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1835" w:type="dxa"/>
            <w:vAlign w:val="center"/>
          </w:tcPr>
          <w:p w14:paraId="5F4EB54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水沟、管道</w:t>
            </w:r>
          </w:p>
        </w:tc>
        <w:tc>
          <w:tcPr>
            <w:tcW w:w="922" w:type="dxa"/>
            <w:vAlign w:val="center"/>
          </w:tcPr>
          <w:p w14:paraId="6BCF5C5A">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787" w:type="dxa"/>
            <w:vAlign w:val="center"/>
          </w:tcPr>
          <w:p w14:paraId="44E359B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eastAsia="zh-CN"/>
              </w:rPr>
              <w:t>清洁</w:t>
            </w:r>
            <w:r>
              <w:rPr>
                <w:rFonts w:hint="eastAsia" w:asciiTheme="minorEastAsia" w:hAnsiTheme="minorEastAsia" w:cstheme="minorEastAsia"/>
                <w:color w:val="auto"/>
                <w:szCs w:val="21"/>
                <w:highlight w:val="none"/>
              </w:rPr>
              <w:t>一次</w:t>
            </w:r>
          </w:p>
        </w:tc>
        <w:tc>
          <w:tcPr>
            <w:tcW w:w="787" w:type="dxa"/>
            <w:shd w:val="clear" w:color="auto" w:fill="auto"/>
            <w:vAlign w:val="center"/>
          </w:tcPr>
          <w:p w14:paraId="6E3DD9ED">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788" w:type="dxa"/>
            <w:shd w:val="clear" w:color="auto" w:fill="auto"/>
            <w:vAlign w:val="center"/>
          </w:tcPr>
          <w:p w14:paraId="2540FD59">
            <w:pPr>
              <w:keepNext w:val="0"/>
              <w:keepLines w:val="0"/>
              <w:pageBreakBefore w:val="0"/>
              <w:widowControl/>
              <w:kinsoku/>
              <w:wordWrap/>
              <w:overflowPunct/>
              <w:topLinePunct w:val="0"/>
              <w:bidi w:val="0"/>
              <w:spacing w:line="44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787" w:type="dxa"/>
            <w:shd w:val="clear" w:color="auto" w:fill="auto"/>
            <w:vAlign w:val="center"/>
          </w:tcPr>
          <w:p w14:paraId="3D1BD592">
            <w:pPr>
              <w:keepNext w:val="0"/>
              <w:keepLines w:val="0"/>
              <w:pageBreakBefore w:val="0"/>
              <w:widowControl/>
              <w:kinsoku/>
              <w:wordWrap/>
              <w:overflowPunct/>
              <w:topLinePunct w:val="0"/>
              <w:bidi w:val="0"/>
              <w:spacing w:line="440" w:lineRule="exact"/>
              <w:jc w:val="center"/>
              <w:textAlignment w:val="auto"/>
              <w:rPr>
                <w:rFonts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szCs w:val="21"/>
                <w:highlight w:val="none"/>
                <w:lang w:val="en-US" w:eastAsia="zh-CN"/>
              </w:rPr>
              <w:t>/</w:t>
            </w:r>
          </w:p>
        </w:tc>
        <w:tc>
          <w:tcPr>
            <w:tcW w:w="1048" w:type="dxa"/>
            <w:vAlign w:val="center"/>
          </w:tcPr>
          <w:p w14:paraId="359EFD84">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无垃圾，无污渍</w:t>
            </w:r>
          </w:p>
        </w:tc>
        <w:tc>
          <w:tcPr>
            <w:tcW w:w="657" w:type="dxa"/>
            <w:vAlign w:val="center"/>
          </w:tcPr>
          <w:p w14:paraId="53DA75E4">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kern w:val="0"/>
                <w:szCs w:val="21"/>
                <w:highlight w:val="none"/>
              </w:rPr>
              <w:t>目视</w:t>
            </w:r>
          </w:p>
        </w:tc>
        <w:tc>
          <w:tcPr>
            <w:tcW w:w="1836" w:type="dxa"/>
            <w:vAlign w:val="center"/>
          </w:tcPr>
          <w:p w14:paraId="1132D1A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szCs w:val="21"/>
                <w:highlight w:val="none"/>
              </w:rPr>
              <w:t>同上</w:t>
            </w:r>
          </w:p>
        </w:tc>
        <w:tc>
          <w:tcPr>
            <w:tcW w:w="4198" w:type="dxa"/>
            <w:vAlign w:val="center"/>
          </w:tcPr>
          <w:p w14:paraId="2B253E8F">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r>
              <w:rPr>
                <w:rFonts w:hint="eastAsia" w:asciiTheme="minorEastAsia" w:hAnsiTheme="minorEastAsia" w:cstheme="minorEastAsia"/>
                <w:color w:val="auto"/>
                <w:szCs w:val="21"/>
                <w:highlight w:val="none"/>
              </w:rPr>
              <w:t>同上</w:t>
            </w:r>
          </w:p>
        </w:tc>
      </w:tr>
      <w:tr w14:paraId="7257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523" w:type="dxa"/>
            <w:vAlign w:val="center"/>
          </w:tcPr>
          <w:p w14:paraId="274F1B48">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其他</w:t>
            </w:r>
          </w:p>
        </w:tc>
        <w:tc>
          <w:tcPr>
            <w:tcW w:w="1835" w:type="dxa"/>
            <w:vAlign w:val="center"/>
          </w:tcPr>
          <w:p w14:paraId="2500AEF3">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szCs w:val="21"/>
                <w:highlight w:val="none"/>
              </w:rPr>
            </w:pPr>
          </w:p>
        </w:tc>
        <w:tc>
          <w:tcPr>
            <w:tcW w:w="922" w:type="dxa"/>
            <w:vAlign w:val="center"/>
          </w:tcPr>
          <w:p w14:paraId="5C5DE860">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787" w:type="dxa"/>
            <w:vAlign w:val="center"/>
          </w:tcPr>
          <w:p w14:paraId="7205593E">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787" w:type="dxa"/>
            <w:vAlign w:val="center"/>
          </w:tcPr>
          <w:p w14:paraId="7AA6DC5F">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788" w:type="dxa"/>
            <w:vAlign w:val="center"/>
          </w:tcPr>
          <w:p w14:paraId="75085011">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787" w:type="dxa"/>
            <w:vAlign w:val="center"/>
          </w:tcPr>
          <w:p w14:paraId="56BD12EA">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p>
        </w:tc>
        <w:tc>
          <w:tcPr>
            <w:tcW w:w="1048" w:type="dxa"/>
            <w:vAlign w:val="center"/>
          </w:tcPr>
          <w:p w14:paraId="20B4175B">
            <w:pPr>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szCs w:val="21"/>
                <w:highlight w:val="none"/>
              </w:rPr>
            </w:pPr>
          </w:p>
        </w:tc>
        <w:tc>
          <w:tcPr>
            <w:tcW w:w="657" w:type="dxa"/>
            <w:vAlign w:val="center"/>
          </w:tcPr>
          <w:p w14:paraId="76F8EE7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p>
        </w:tc>
        <w:tc>
          <w:tcPr>
            <w:tcW w:w="1836" w:type="dxa"/>
            <w:vAlign w:val="center"/>
          </w:tcPr>
          <w:p w14:paraId="45829C2D">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p>
        </w:tc>
        <w:tc>
          <w:tcPr>
            <w:tcW w:w="4198" w:type="dxa"/>
            <w:vAlign w:val="center"/>
          </w:tcPr>
          <w:p w14:paraId="12D9D006">
            <w:pPr>
              <w:keepNext w:val="0"/>
              <w:keepLines w:val="0"/>
              <w:pageBreakBefore w:val="0"/>
              <w:widowControl/>
              <w:kinsoku/>
              <w:wordWrap/>
              <w:overflowPunct/>
              <w:topLinePunct w:val="0"/>
              <w:bidi w:val="0"/>
              <w:spacing w:line="440" w:lineRule="exact"/>
              <w:jc w:val="center"/>
              <w:textAlignment w:val="auto"/>
              <w:rPr>
                <w:rFonts w:asciiTheme="minorEastAsia" w:hAnsiTheme="minorEastAsia" w:cstheme="minorEastAsia"/>
                <w:color w:val="auto"/>
                <w:kern w:val="0"/>
                <w:szCs w:val="21"/>
                <w:highlight w:val="none"/>
              </w:rPr>
            </w:pPr>
          </w:p>
        </w:tc>
      </w:tr>
    </w:tbl>
    <w:p w14:paraId="7C5C410B">
      <w:pPr>
        <w:keepNext w:val="0"/>
        <w:keepLines w:val="0"/>
        <w:pageBreakBefore w:val="0"/>
        <w:kinsoku/>
        <w:wordWrap/>
        <w:overflowPunct/>
        <w:topLinePunct w:val="0"/>
        <w:bidi w:val="0"/>
        <w:spacing w:line="440" w:lineRule="exact"/>
        <w:textAlignment w:val="auto"/>
        <w:rPr>
          <w:rFonts w:hint="eastAsia" w:asciiTheme="minorEastAsia" w:hAnsiTheme="minorEastAsia" w:cstheme="minorEastAsia"/>
          <w:b/>
          <w:bCs/>
          <w:color w:val="auto"/>
          <w:sz w:val="24"/>
          <w:highlight w:val="none"/>
        </w:rPr>
      </w:pPr>
      <w:r>
        <w:rPr>
          <w:rFonts w:hint="eastAsia" w:asciiTheme="minorEastAsia" w:hAnsiTheme="minorEastAsia" w:cstheme="minorEastAsia"/>
          <w:b/>
          <w:bCs/>
          <w:color w:val="auto"/>
          <w:sz w:val="24"/>
          <w:highlight w:val="none"/>
        </w:rPr>
        <w:br w:type="page"/>
      </w:r>
    </w:p>
    <w:p w14:paraId="6CBF1642">
      <w:pPr>
        <w:pStyle w:val="7"/>
        <w:keepNext w:val="0"/>
        <w:keepLines w:val="0"/>
        <w:pageBreakBefore w:val="0"/>
        <w:kinsoku/>
        <w:wordWrap/>
        <w:overflowPunct/>
        <w:topLinePunct w:val="0"/>
        <w:bidi w:val="0"/>
        <w:spacing w:line="440" w:lineRule="exact"/>
        <w:textAlignment w:val="auto"/>
        <w:rPr>
          <w:rFonts w:hint="eastAsia"/>
          <w:color w:val="auto"/>
          <w:sz w:val="24"/>
          <w:highlight w:val="none"/>
        </w:rPr>
      </w:pPr>
      <w:r>
        <w:rPr>
          <w:rFonts w:hint="eastAsia"/>
          <w:color w:val="auto"/>
          <w:sz w:val="24"/>
          <w:highlight w:val="none"/>
        </w:rPr>
        <w:t>2.垃圾清运</w:t>
      </w:r>
    </w:p>
    <w:tbl>
      <w:tblPr>
        <w:tblStyle w:val="13"/>
        <w:tblW w:w="1375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5625"/>
        <w:gridCol w:w="2872"/>
        <w:gridCol w:w="3969"/>
      </w:tblGrid>
      <w:tr w14:paraId="3F73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7B39AA15">
            <w:pPr>
              <w:keepNext w:val="0"/>
              <w:keepLines w:val="0"/>
              <w:pageBreakBefore w:val="0"/>
              <w:kinsoku/>
              <w:wordWrap/>
              <w:overflowPunct/>
              <w:topLinePunct w:val="0"/>
              <w:bidi w:val="0"/>
              <w:spacing w:after="0"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类别</w:t>
            </w:r>
          </w:p>
        </w:tc>
        <w:tc>
          <w:tcPr>
            <w:tcW w:w="5625" w:type="dxa"/>
            <w:vAlign w:val="center"/>
          </w:tcPr>
          <w:p w14:paraId="6008AE42">
            <w:pPr>
              <w:keepNext w:val="0"/>
              <w:keepLines w:val="0"/>
              <w:pageBreakBefore w:val="0"/>
              <w:kinsoku/>
              <w:wordWrap/>
              <w:overflowPunct/>
              <w:topLinePunct w:val="0"/>
              <w:bidi w:val="0"/>
              <w:spacing w:after="0"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质量标准</w:t>
            </w:r>
          </w:p>
        </w:tc>
        <w:tc>
          <w:tcPr>
            <w:tcW w:w="2872" w:type="dxa"/>
            <w:vAlign w:val="center"/>
          </w:tcPr>
          <w:p w14:paraId="28E4074F">
            <w:pPr>
              <w:keepNext w:val="0"/>
              <w:keepLines w:val="0"/>
              <w:pageBreakBefore w:val="0"/>
              <w:kinsoku/>
              <w:wordWrap/>
              <w:overflowPunct/>
              <w:topLinePunct w:val="0"/>
              <w:bidi w:val="0"/>
              <w:spacing w:after="0" w:line="440" w:lineRule="exact"/>
              <w:jc w:val="center"/>
              <w:textAlignment w:val="auto"/>
              <w:rPr>
                <w:rFonts w:hint="eastAsia" w:ascii="宋体" w:hAnsi="宋体" w:eastAsia="宋体" w:cs="宋体"/>
                <w:b/>
                <w:color w:val="auto"/>
                <w:sz w:val="21"/>
                <w:szCs w:val="21"/>
                <w:highlight w:val="none"/>
              </w:rPr>
            </w:pPr>
            <w:r>
              <w:rPr>
                <w:rFonts w:hint="eastAsia" w:asciiTheme="minorEastAsia" w:hAnsiTheme="minorEastAsia" w:cstheme="minorEastAsia"/>
                <w:b/>
                <w:color w:val="auto"/>
                <w:szCs w:val="21"/>
                <w:highlight w:val="none"/>
              </w:rPr>
              <w:t>一般不合格定义</w:t>
            </w:r>
          </w:p>
        </w:tc>
        <w:tc>
          <w:tcPr>
            <w:tcW w:w="3969" w:type="dxa"/>
            <w:vAlign w:val="center"/>
          </w:tcPr>
          <w:p w14:paraId="2DCFC3C7">
            <w:pPr>
              <w:keepNext w:val="0"/>
              <w:keepLines w:val="0"/>
              <w:pageBreakBefore w:val="0"/>
              <w:kinsoku/>
              <w:wordWrap/>
              <w:overflowPunct/>
              <w:topLinePunct w:val="0"/>
              <w:bidi w:val="0"/>
              <w:spacing w:after="0" w:line="440" w:lineRule="exact"/>
              <w:jc w:val="center"/>
              <w:textAlignment w:val="auto"/>
              <w:rPr>
                <w:rFonts w:hint="eastAsia" w:ascii="宋体" w:hAnsi="宋体" w:eastAsia="宋体" w:cs="宋体"/>
                <w:b/>
                <w:color w:val="auto"/>
                <w:sz w:val="21"/>
                <w:szCs w:val="21"/>
                <w:highlight w:val="none"/>
              </w:rPr>
            </w:pPr>
            <w:r>
              <w:rPr>
                <w:rFonts w:hint="eastAsia" w:asciiTheme="minorEastAsia" w:hAnsiTheme="minorEastAsia" w:cstheme="minorEastAsia"/>
                <w:b/>
                <w:color w:val="auto"/>
                <w:szCs w:val="21"/>
                <w:highlight w:val="none"/>
              </w:rPr>
              <w:t>严重不合格定义</w:t>
            </w:r>
          </w:p>
        </w:tc>
      </w:tr>
      <w:tr w14:paraId="60BA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4" w:type="dxa"/>
            <w:vAlign w:val="center"/>
          </w:tcPr>
          <w:p w14:paraId="25F60B7D">
            <w:pPr>
              <w:keepNext w:val="0"/>
              <w:keepLines w:val="0"/>
              <w:pageBreakBefore w:val="0"/>
              <w:kinsoku/>
              <w:wordWrap/>
              <w:overflowPunct/>
              <w:topLinePunct w:val="0"/>
              <w:bidi w:val="0"/>
              <w:spacing w:after="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垃圾清运</w:t>
            </w:r>
          </w:p>
        </w:tc>
        <w:tc>
          <w:tcPr>
            <w:tcW w:w="5625" w:type="dxa"/>
          </w:tcPr>
          <w:p w14:paraId="52518BBC">
            <w:pPr>
              <w:pStyle w:val="24"/>
              <w:keepNext w:val="0"/>
              <w:keepLines w:val="0"/>
              <w:pageBreakBefore w:val="0"/>
              <w:numPr>
                <w:ilvl w:val="-1"/>
                <w:numId w:val="0"/>
              </w:numPr>
              <w:kinsoku/>
              <w:wordWrap/>
              <w:overflowPunct/>
              <w:topLinePunct w:val="0"/>
              <w:bidi w:val="0"/>
              <w:spacing w:after="0" w:line="440" w:lineRule="exact"/>
              <w:ind w:left="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垃圾必须做到日产日清，按时清运，不得偷倒、乱倒。</w:t>
            </w:r>
          </w:p>
          <w:p w14:paraId="2309F1C8">
            <w:pPr>
              <w:pStyle w:val="24"/>
              <w:keepNext w:val="0"/>
              <w:keepLines w:val="0"/>
              <w:pageBreakBefore w:val="0"/>
              <w:numPr>
                <w:ilvl w:val="-1"/>
                <w:numId w:val="0"/>
              </w:numPr>
              <w:kinsoku/>
              <w:wordWrap/>
              <w:overflowPunct/>
              <w:topLinePunct w:val="0"/>
              <w:bidi w:val="0"/>
              <w:spacing w:line="440" w:lineRule="exact"/>
              <w:ind w:left="0" w:firstLine="0" w:firstLineChars="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装车过程</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垃圾装车时</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垃圾桶的上落）须注意安全，如有垃圾倒出，须及时清理。</w:t>
            </w:r>
          </w:p>
          <w:p w14:paraId="2482E69D">
            <w:pPr>
              <w:pStyle w:val="24"/>
              <w:keepNext w:val="0"/>
              <w:keepLines w:val="0"/>
              <w:pageBreakBefore w:val="0"/>
              <w:numPr>
                <w:ilvl w:val="-1"/>
                <w:numId w:val="0"/>
              </w:numPr>
              <w:kinsoku/>
              <w:wordWrap/>
              <w:overflowPunct/>
              <w:topLinePunct w:val="0"/>
              <w:bidi w:val="0"/>
              <w:spacing w:line="440" w:lineRule="exact"/>
              <w:ind w:left="0" w:firstLine="0" w:firstLineChars="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装运完毕后对散落在地上的垃圾要清扫干净。</w:t>
            </w:r>
          </w:p>
          <w:p w14:paraId="0F859BAA">
            <w:pPr>
              <w:pStyle w:val="24"/>
              <w:keepNext w:val="0"/>
              <w:keepLines w:val="0"/>
              <w:pageBreakBefore w:val="0"/>
              <w:numPr>
                <w:ilvl w:val="-1"/>
                <w:numId w:val="0"/>
              </w:numPr>
              <w:kinsoku/>
              <w:wordWrap/>
              <w:overflowPunct/>
              <w:topLinePunct w:val="0"/>
              <w:bidi w:val="0"/>
              <w:spacing w:after="0" w:line="440" w:lineRule="exact"/>
              <w:ind w:lef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垃圾中转站</w:t>
            </w:r>
            <w:r>
              <w:rPr>
                <w:rFonts w:hint="eastAsia" w:asciiTheme="minorEastAsia" w:hAnsiTheme="minorEastAsia" w:eastAsiaTheme="minorEastAsia" w:cstheme="minorEastAsia"/>
                <w:color w:val="auto"/>
                <w:szCs w:val="21"/>
                <w:highlight w:val="none"/>
              </w:rPr>
              <w:t>无</w:t>
            </w:r>
            <w:r>
              <w:rPr>
                <w:rFonts w:hint="eastAsia" w:asciiTheme="minorEastAsia" w:hAnsiTheme="minorEastAsia" w:eastAsiaTheme="minorEastAsia" w:cstheme="minorEastAsia"/>
                <w:color w:val="auto"/>
                <w:sz w:val="21"/>
                <w:szCs w:val="21"/>
                <w:highlight w:val="none"/>
              </w:rPr>
              <w:t>积水，</w:t>
            </w:r>
            <w:r>
              <w:rPr>
                <w:rFonts w:hint="eastAsia" w:asciiTheme="minorEastAsia" w:hAnsiTheme="minorEastAsia" w:eastAsiaTheme="minorEastAsia" w:cstheme="minorEastAsia"/>
                <w:color w:val="auto"/>
                <w:szCs w:val="21"/>
                <w:highlight w:val="none"/>
              </w:rPr>
              <w:t>中转站</w:t>
            </w:r>
            <w:r>
              <w:rPr>
                <w:rFonts w:hint="eastAsia" w:asciiTheme="minorEastAsia" w:hAnsiTheme="minorEastAsia" w:eastAsiaTheme="minorEastAsia" w:cstheme="minorEastAsia"/>
                <w:color w:val="auto"/>
                <w:sz w:val="21"/>
                <w:szCs w:val="21"/>
                <w:highlight w:val="none"/>
              </w:rPr>
              <w:t>内工具摆放不整齐</w:t>
            </w:r>
            <w:r>
              <w:rPr>
                <w:rFonts w:hint="eastAsia" w:asciiTheme="minorEastAsia" w:hAnsiTheme="minorEastAsia" w:eastAsiaTheme="minorEastAsia" w:cstheme="minorEastAsia"/>
                <w:color w:val="auto"/>
                <w:szCs w:val="21"/>
                <w:highlight w:val="none"/>
              </w:rPr>
              <w:t>。</w:t>
            </w:r>
          </w:p>
          <w:p w14:paraId="4BC688E7">
            <w:pPr>
              <w:pStyle w:val="24"/>
              <w:keepNext w:val="0"/>
              <w:keepLines w:val="0"/>
              <w:pageBreakBefore w:val="0"/>
              <w:numPr>
                <w:ilvl w:val="-1"/>
                <w:numId w:val="0"/>
              </w:numPr>
              <w:kinsoku/>
              <w:wordWrap/>
              <w:overflowPunct/>
              <w:topLinePunct w:val="0"/>
              <w:bidi w:val="0"/>
              <w:spacing w:line="440" w:lineRule="exact"/>
              <w:ind w:left="0" w:firstLine="0" w:firstLineChars="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中标单位应将生活垃圾清运外包给有资质的企业或政府指定的单位进行清运，费用由中标单位承担。</w:t>
            </w:r>
          </w:p>
          <w:p w14:paraId="4794D662">
            <w:pPr>
              <w:pStyle w:val="24"/>
              <w:keepNext w:val="0"/>
              <w:keepLines w:val="0"/>
              <w:pageBreakBefore w:val="0"/>
              <w:numPr>
                <w:ilvl w:val="-1"/>
                <w:numId w:val="0"/>
              </w:numPr>
              <w:kinsoku/>
              <w:wordWrap/>
              <w:overflowPunct/>
              <w:topLinePunct w:val="0"/>
              <w:bidi w:val="0"/>
              <w:spacing w:line="440" w:lineRule="exact"/>
              <w:ind w:left="0" w:firstLine="0" w:firstLineChars="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根据项目实际情况设定垃圾清运时间和线路，要求清运公</w:t>
            </w:r>
            <w:r>
              <w:rPr>
                <w:rFonts w:hint="eastAsia" w:asciiTheme="minorEastAsia" w:hAnsi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司按设定时间和线路进行清运。</w:t>
            </w:r>
          </w:p>
          <w:p w14:paraId="2E8B75F8">
            <w:pPr>
              <w:pStyle w:val="24"/>
              <w:keepNext w:val="0"/>
              <w:keepLines w:val="0"/>
              <w:pageBreakBefore w:val="0"/>
              <w:numPr>
                <w:ilvl w:val="-1"/>
                <w:numId w:val="0"/>
              </w:numPr>
              <w:kinsoku/>
              <w:wordWrap/>
              <w:overflowPunct/>
              <w:topLinePunct w:val="0"/>
              <w:bidi w:val="0"/>
              <w:spacing w:line="440" w:lineRule="exact"/>
              <w:ind w:left="0" w:firstLine="0" w:firstLineChars="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如清运计划因特殊情况要临时调整时，应通知清运公司配合调整。</w:t>
            </w:r>
          </w:p>
          <w:p w14:paraId="01FD805B">
            <w:pPr>
              <w:pStyle w:val="24"/>
              <w:keepNext w:val="0"/>
              <w:keepLines w:val="0"/>
              <w:pageBreakBefore w:val="0"/>
              <w:numPr>
                <w:ilvl w:val="-1"/>
                <w:numId w:val="0"/>
              </w:numPr>
              <w:kinsoku/>
              <w:wordWrap/>
              <w:overflowPunct/>
              <w:topLinePunct w:val="0"/>
              <w:bidi w:val="0"/>
              <w:spacing w:line="440" w:lineRule="exact"/>
              <w:ind w:left="0" w:firstLine="0" w:firstLineChars="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在垃圾清运时间段加大巡查频率，发现垃圾清运公司有以下行为要及时制止。</w:t>
            </w:r>
          </w:p>
          <w:p w14:paraId="7FAC1C4E">
            <w:pPr>
              <w:pStyle w:val="24"/>
              <w:keepNext w:val="0"/>
              <w:keepLines w:val="0"/>
              <w:pageBreakBefore w:val="0"/>
              <w:numPr>
                <w:ilvl w:val="-1"/>
                <w:numId w:val="0"/>
              </w:numPr>
              <w:kinsoku/>
              <w:wordWrap/>
              <w:overflowPunct/>
              <w:topLinePunct w:val="0"/>
              <w:bidi w:val="0"/>
              <w:spacing w:line="440" w:lineRule="exact"/>
              <w:ind w:left="0" w:firstLine="0" w:firstLineChars="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清运过程中不得阻碍消防通道，挪用消防设施。</w:t>
            </w:r>
          </w:p>
          <w:p w14:paraId="134CE261">
            <w:pPr>
              <w:pStyle w:val="7"/>
              <w:keepNext w:val="0"/>
              <w:keepLines w:val="0"/>
              <w:pageBreakBefore w:val="0"/>
              <w:kinsoku/>
              <w:wordWrap/>
              <w:overflowPunct/>
              <w:topLinePunct w:val="0"/>
              <w:bidi w:val="0"/>
              <w:spacing w:line="440" w:lineRule="exact"/>
              <w:ind w:left="0"/>
              <w:textAlignment w:val="auto"/>
              <w:rPr>
                <w:rFonts w:hint="eastAsia" w:hAnsi="宋体" w:eastAsia="宋体" w:cs="宋体"/>
                <w:color w:val="auto"/>
                <w:highlight w:val="none"/>
              </w:rPr>
            </w:pPr>
          </w:p>
        </w:tc>
        <w:tc>
          <w:tcPr>
            <w:tcW w:w="2872" w:type="dxa"/>
            <w:vAlign w:val="center"/>
          </w:tcPr>
          <w:p w14:paraId="1D59A987">
            <w:pPr>
              <w:keepNext w:val="0"/>
              <w:keepLines w:val="0"/>
              <w:pageBreakBefore w:val="0"/>
              <w:kinsoku/>
              <w:wordWrap/>
              <w:overflowPunct/>
              <w:topLinePunct w:val="0"/>
              <w:bidi w:val="0"/>
              <w:spacing w:after="0" w:line="440" w:lineRule="exact"/>
              <w:jc w:val="both"/>
              <w:textAlignment w:val="auto"/>
              <w:rPr>
                <w:rFonts w:hint="eastAsia" w:ascii="宋体" w:hAnsi="宋体" w:eastAsia="宋体" w:cs="宋体"/>
                <w:color w:val="auto"/>
                <w:sz w:val="21"/>
                <w:szCs w:val="21"/>
                <w:highlight w:val="none"/>
              </w:rPr>
            </w:pPr>
            <w:r>
              <w:rPr>
                <w:rFonts w:hint="eastAsia" w:asciiTheme="minorEastAsia" w:hAnsiTheme="minorEastAsia" w:cstheme="minorEastAsia"/>
                <w:color w:val="auto"/>
                <w:szCs w:val="21"/>
                <w:highlight w:val="none"/>
              </w:rPr>
              <w:t>按合格质量标准要求实施的，每发生一次不符合要求，其影响和后果小于严重不合格情况的，定义为一般不合格。每出现一次处罚50元，以此类推。</w:t>
            </w:r>
          </w:p>
        </w:tc>
        <w:tc>
          <w:tcPr>
            <w:tcW w:w="3969" w:type="dxa"/>
            <w:vAlign w:val="center"/>
          </w:tcPr>
          <w:p w14:paraId="20E94B8C">
            <w:pPr>
              <w:keepNext w:val="0"/>
              <w:keepLines w:val="0"/>
              <w:pageBreakBefore w:val="0"/>
              <w:kinsoku/>
              <w:wordWrap/>
              <w:overflowPunct/>
              <w:topLinePunct w:val="0"/>
              <w:bidi w:val="0"/>
              <w:spacing w:after="0" w:line="440" w:lineRule="exact"/>
              <w:jc w:val="both"/>
              <w:textAlignment w:val="auto"/>
              <w:rPr>
                <w:rFonts w:hint="eastAsia" w:ascii="宋体" w:hAnsi="宋体" w:eastAsia="宋体" w:cs="宋体"/>
                <w:color w:val="auto"/>
                <w:sz w:val="21"/>
                <w:szCs w:val="21"/>
                <w:highlight w:val="none"/>
              </w:rPr>
            </w:pPr>
            <w:r>
              <w:rPr>
                <w:rFonts w:hint="eastAsia" w:asciiTheme="minorEastAsia" w:hAnsiTheme="minorEastAsia" w:cstheme="minorEastAsia"/>
                <w:color w:val="auto"/>
                <w:szCs w:val="21"/>
                <w:highlight w:val="none"/>
              </w:rPr>
              <w:t>A</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rPr>
              <w:t>因乙方原因导致清运不及时；B、甲方通过甲方客服中心收集到顾客的有效投诉，或同一不合格内容被顾客连续两次反馈，经项目管理处现场确认属实；C、连续三次检查中，同一位置出现两次以上同类型不合格；D、在规定的整改时间内未完成整改（除不可抗力）等。对出现有“严重不合格”，每出现一次处罚100元，以此类推。</w:t>
            </w:r>
          </w:p>
        </w:tc>
      </w:tr>
    </w:tbl>
    <w:p w14:paraId="1B76A8DC">
      <w:pPr>
        <w:keepNext w:val="0"/>
        <w:keepLines w:val="0"/>
        <w:pageBreakBefore w:val="0"/>
        <w:kinsoku/>
        <w:wordWrap/>
        <w:overflowPunct/>
        <w:topLinePunct w:val="0"/>
        <w:bidi w:val="0"/>
        <w:spacing w:line="440" w:lineRule="exact"/>
        <w:textAlignment w:val="auto"/>
        <w:rPr>
          <w:rFonts w:hint="eastAsia"/>
          <w:color w:val="auto"/>
          <w:highlight w:val="none"/>
        </w:rPr>
      </w:pPr>
      <w:r>
        <w:rPr>
          <w:rFonts w:hint="eastAsia"/>
          <w:color w:val="auto"/>
          <w:highlight w:val="none"/>
        </w:rPr>
        <w:br w:type="page"/>
      </w:r>
    </w:p>
    <w:p w14:paraId="6DC57C22">
      <w:pPr>
        <w:pStyle w:val="10"/>
        <w:keepNext w:val="0"/>
        <w:keepLines w:val="0"/>
        <w:pageBreakBefore w:val="0"/>
        <w:kinsoku/>
        <w:wordWrap/>
        <w:overflowPunct/>
        <w:topLinePunct w:val="0"/>
        <w:bidi w:val="0"/>
        <w:spacing w:line="440" w:lineRule="exact"/>
        <w:textAlignment w:val="auto"/>
        <w:rPr>
          <w:rFonts w:asciiTheme="minorEastAsia" w:hAnsiTheme="minorEastAsia" w:eastAsiaTheme="minorEastAsia" w:cstheme="minorEastAsia"/>
          <w:b/>
          <w:bCs/>
          <w:color w:val="auto"/>
          <w:sz w:val="24"/>
          <w:highlight w:val="none"/>
        </w:rPr>
        <w:sectPr>
          <w:pgSz w:w="16838" w:h="11906" w:orient="landscape"/>
          <w:pgMar w:top="1576" w:right="1440" w:bottom="1576" w:left="1446" w:header="851" w:footer="992" w:gutter="0"/>
          <w:cols w:space="720" w:num="1"/>
          <w:docGrid w:type="lines" w:linePitch="312" w:charSpace="0"/>
        </w:sectPr>
      </w:pPr>
    </w:p>
    <w:p w14:paraId="042BC478">
      <w:pPr>
        <w:pStyle w:val="18"/>
        <w:keepNext w:val="0"/>
        <w:keepLines w:val="0"/>
        <w:pageBreakBefore w:val="0"/>
        <w:kinsoku/>
        <w:wordWrap/>
        <w:overflowPunct/>
        <w:topLinePunct w:val="0"/>
        <w:autoSpaceDE w:val="0"/>
        <w:autoSpaceDN w:val="0"/>
        <w:bidi w:val="0"/>
        <w:adjustRightInd w:val="0"/>
        <w:spacing w:line="440" w:lineRule="exact"/>
        <w:jc w:val="left"/>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t>：</w:t>
      </w:r>
    </w:p>
    <w:tbl>
      <w:tblPr>
        <w:tblStyle w:val="13"/>
        <w:tblW w:w="1006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6379"/>
        <w:gridCol w:w="709"/>
        <w:gridCol w:w="1275"/>
      </w:tblGrid>
      <w:tr w14:paraId="1F80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ABFFDE7">
            <w:pPr>
              <w:keepNext w:val="0"/>
              <w:keepLines w:val="0"/>
              <w:pageBreakBefore w:val="0"/>
              <w:kinsoku/>
              <w:wordWrap/>
              <w:overflowPunct/>
              <w:topLinePunct w:val="0"/>
              <w:bidi w:val="0"/>
              <w:spacing w:after="60" w:line="440" w:lineRule="exact"/>
              <w:jc w:val="center"/>
              <w:textAlignment w:val="auto"/>
              <w:rPr>
                <w:rFonts w:ascii="宋体" w:hAnsi="宋体"/>
                <w:b/>
                <w:color w:val="auto"/>
                <w:sz w:val="18"/>
                <w:szCs w:val="18"/>
                <w:highlight w:val="none"/>
              </w:rPr>
            </w:pPr>
            <w:r>
              <w:rPr>
                <w:rFonts w:hint="eastAsia" w:ascii="宋体" w:hAnsi="宋体" w:cstheme="minorBidi"/>
                <w:b/>
                <w:color w:val="auto"/>
                <w:sz w:val="36"/>
                <w:szCs w:val="36"/>
                <w:highlight w:val="none"/>
                <w:lang w:val="en-US" w:eastAsia="zh-CN"/>
              </w:rPr>
              <w:t>月度考核表</w:t>
            </w:r>
            <w:r>
              <w:rPr>
                <w:rFonts w:hint="eastAsia" w:ascii="宋体" w:hAnsi="宋体"/>
                <w:b/>
                <w:color w:val="auto"/>
                <w:sz w:val="18"/>
                <w:szCs w:val="18"/>
                <w:highlight w:val="none"/>
              </w:rPr>
              <w:t>序号</w:t>
            </w:r>
          </w:p>
        </w:tc>
        <w:tc>
          <w:tcPr>
            <w:tcW w:w="992" w:type="dxa"/>
            <w:vAlign w:val="center"/>
          </w:tcPr>
          <w:p w14:paraId="229853BD">
            <w:pPr>
              <w:keepNext w:val="0"/>
              <w:keepLines w:val="0"/>
              <w:pageBreakBefore w:val="0"/>
              <w:kinsoku/>
              <w:wordWrap/>
              <w:overflowPunct/>
              <w:topLinePunct w:val="0"/>
              <w:bidi w:val="0"/>
              <w:spacing w:after="60" w:line="440" w:lineRule="exact"/>
              <w:jc w:val="center"/>
              <w:textAlignment w:val="auto"/>
              <w:rPr>
                <w:rFonts w:ascii="宋体" w:hAnsi="宋体"/>
                <w:b/>
                <w:color w:val="auto"/>
                <w:sz w:val="18"/>
                <w:szCs w:val="18"/>
                <w:highlight w:val="none"/>
              </w:rPr>
            </w:pPr>
            <w:r>
              <w:rPr>
                <w:rFonts w:hint="eastAsia" w:ascii="宋体" w:hAnsi="宋体"/>
                <w:b/>
                <w:color w:val="auto"/>
                <w:sz w:val="18"/>
                <w:szCs w:val="18"/>
                <w:highlight w:val="none"/>
              </w:rPr>
              <w:t>内容</w:t>
            </w:r>
          </w:p>
        </w:tc>
        <w:tc>
          <w:tcPr>
            <w:tcW w:w="6379" w:type="dxa"/>
            <w:vAlign w:val="center"/>
          </w:tcPr>
          <w:p w14:paraId="6A8A2C5E">
            <w:pPr>
              <w:keepNext w:val="0"/>
              <w:keepLines w:val="0"/>
              <w:pageBreakBefore w:val="0"/>
              <w:kinsoku/>
              <w:wordWrap/>
              <w:overflowPunct/>
              <w:topLinePunct w:val="0"/>
              <w:bidi w:val="0"/>
              <w:spacing w:after="60" w:line="440" w:lineRule="exact"/>
              <w:jc w:val="center"/>
              <w:textAlignment w:val="auto"/>
              <w:rPr>
                <w:rFonts w:ascii="宋体" w:hAnsi="宋体"/>
                <w:b/>
                <w:color w:val="auto"/>
                <w:sz w:val="18"/>
                <w:szCs w:val="18"/>
                <w:highlight w:val="none"/>
              </w:rPr>
            </w:pPr>
            <w:r>
              <w:rPr>
                <w:rFonts w:hint="eastAsia" w:ascii="宋体" w:hAnsi="宋体"/>
                <w:b/>
                <w:color w:val="auto"/>
                <w:sz w:val="18"/>
                <w:szCs w:val="18"/>
                <w:highlight w:val="none"/>
              </w:rPr>
              <w:t>标准</w:t>
            </w:r>
          </w:p>
        </w:tc>
        <w:tc>
          <w:tcPr>
            <w:tcW w:w="709" w:type="dxa"/>
            <w:vAlign w:val="center"/>
          </w:tcPr>
          <w:p w14:paraId="627AB000">
            <w:pPr>
              <w:keepNext w:val="0"/>
              <w:keepLines w:val="0"/>
              <w:pageBreakBefore w:val="0"/>
              <w:kinsoku/>
              <w:wordWrap/>
              <w:overflowPunct/>
              <w:topLinePunct w:val="0"/>
              <w:bidi w:val="0"/>
              <w:spacing w:after="60" w:line="440" w:lineRule="exact"/>
              <w:jc w:val="center"/>
              <w:textAlignment w:val="auto"/>
              <w:rPr>
                <w:rFonts w:ascii="宋体" w:hAnsi="宋体"/>
                <w:b/>
                <w:color w:val="auto"/>
                <w:sz w:val="18"/>
                <w:szCs w:val="18"/>
                <w:highlight w:val="none"/>
              </w:rPr>
            </w:pPr>
            <w:r>
              <w:rPr>
                <w:rFonts w:hint="eastAsia" w:ascii="宋体" w:hAnsi="宋体"/>
                <w:b/>
                <w:color w:val="auto"/>
                <w:sz w:val="18"/>
                <w:szCs w:val="18"/>
                <w:highlight w:val="none"/>
              </w:rPr>
              <w:t>分值</w:t>
            </w:r>
          </w:p>
        </w:tc>
        <w:tc>
          <w:tcPr>
            <w:tcW w:w="1275" w:type="dxa"/>
            <w:vAlign w:val="center"/>
          </w:tcPr>
          <w:p w14:paraId="7F60487E">
            <w:pPr>
              <w:keepNext w:val="0"/>
              <w:keepLines w:val="0"/>
              <w:pageBreakBefore w:val="0"/>
              <w:kinsoku/>
              <w:wordWrap/>
              <w:overflowPunct/>
              <w:topLinePunct w:val="0"/>
              <w:bidi w:val="0"/>
              <w:spacing w:after="60" w:line="440" w:lineRule="exact"/>
              <w:jc w:val="center"/>
              <w:textAlignment w:val="auto"/>
              <w:rPr>
                <w:rFonts w:ascii="宋体" w:hAnsi="宋体"/>
                <w:b/>
                <w:color w:val="auto"/>
                <w:sz w:val="18"/>
                <w:szCs w:val="18"/>
                <w:highlight w:val="none"/>
              </w:rPr>
            </w:pPr>
            <w:r>
              <w:rPr>
                <w:rFonts w:hint="eastAsia" w:ascii="宋体" w:hAnsi="宋体"/>
                <w:b/>
                <w:color w:val="auto"/>
                <w:sz w:val="18"/>
                <w:szCs w:val="18"/>
                <w:highlight w:val="none"/>
              </w:rPr>
              <w:t>评分标准</w:t>
            </w:r>
          </w:p>
        </w:tc>
      </w:tr>
      <w:tr w14:paraId="3FF3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710" w:type="dxa"/>
            <w:vAlign w:val="center"/>
          </w:tcPr>
          <w:p w14:paraId="4DE5ACE4">
            <w:pPr>
              <w:keepNext w:val="0"/>
              <w:keepLines w:val="0"/>
              <w:pageBreakBefore w:val="0"/>
              <w:kinsoku/>
              <w:wordWrap/>
              <w:overflowPunct/>
              <w:topLinePunct w:val="0"/>
              <w:bidi w:val="0"/>
              <w:spacing w:after="60" w:line="440" w:lineRule="exact"/>
              <w:jc w:val="center"/>
              <w:textAlignment w:val="auto"/>
              <w:rPr>
                <w:rFonts w:ascii="宋体" w:hAnsi="宋体"/>
                <w:color w:val="auto"/>
                <w:sz w:val="18"/>
                <w:szCs w:val="18"/>
                <w:highlight w:val="none"/>
              </w:rPr>
            </w:pPr>
            <w:r>
              <w:rPr>
                <w:rFonts w:hint="eastAsia" w:ascii="宋体" w:hAnsi="宋体"/>
                <w:color w:val="auto"/>
                <w:sz w:val="18"/>
                <w:szCs w:val="18"/>
                <w:highlight w:val="none"/>
              </w:rPr>
              <w:t>1</w:t>
            </w:r>
          </w:p>
        </w:tc>
        <w:tc>
          <w:tcPr>
            <w:tcW w:w="992" w:type="dxa"/>
            <w:vAlign w:val="center"/>
          </w:tcPr>
          <w:p w14:paraId="1B33D6E5">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服务态度</w:t>
            </w:r>
          </w:p>
        </w:tc>
        <w:tc>
          <w:tcPr>
            <w:tcW w:w="6379" w:type="dxa"/>
          </w:tcPr>
          <w:p w14:paraId="17E10E88">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1.做到微笑服务；</w:t>
            </w:r>
          </w:p>
          <w:p w14:paraId="1266998A">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2.主动、热情、耐心、周到地服务；</w:t>
            </w:r>
          </w:p>
          <w:p w14:paraId="36355700">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3.不发生争吵、打斗事件；</w:t>
            </w:r>
          </w:p>
          <w:p w14:paraId="19B9B52E">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4.文明用语：熟练使用，对市民热情，微笑服务，不卑不亢。</w:t>
            </w:r>
          </w:p>
          <w:p w14:paraId="1A9EB116">
            <w:pPr>
              <w:keepNext w:val="0"/>
              <w:keepLines w:val="0"/>
              <w:pageBreakBefore w:val="0"/>
              <w:kinsoku/>
              <w:wordWrap/>
              <w:overflowPunct/>
              <w:topLinePunct w:val="0"/>
              <w:bidi w:val="0"/>
              <w:spacing w:after="60" w:line="440" w:lineRule="exact"/>
              <w:jc w:val="left"/>
              <w:textAlignment w:val="auto"/>
              <w:rPr>
                <w:rFonts w:ascii="宋体" w:hAnsi="宋体"/>
                <w:color w:val="auto"/>
                <w:sz w:val="18"/>
                <w:szCs w:val="18"/>
                <w:highlight w:val="none"/>
              </w:rPr>
            </w:pPr>
            <w:r>
              <w:rPr>
                <w:rFonts w:hint="eastAsia" w:ascii="宋体" w:hAnsi="宋体"/>
                <w:color w:val="auto"/>
                <w:sz w:val="18"/>
                <w:szCs w:val="18"/>
                <w:highlight w:val="none"/>
              </w:rPr>
              <w:t>5.积极主动执行采购方安排的各项工作任务，不拖延敷衍采购方安排的任务。</w:t>
            </w:r>
          </w:p>
        </w:tc>
        <w:tc>
          <w:tcPr>
            <w:tcW w:w="709" w:type="dxa"/>
            <w:vAlign w:val="center"/>
          </w:tcPr>
          <w:p w14:paraId="537E7E98">
            <w:pPr>
              <w:keepNext w:val="0"/>
              <w:keepLines w:val="0"/>
              <w:pageBreakBefore w:val="0"/>
              <w:kinsoku/>
              <w:wordWrap/>
              <w:overflowPunct/>
              <w:topLinePunct w:val="0"/>
              <w:bidi w:val="0"/>
              <w:spacing w:after="60" w:line="440" w:lineRule="exact"/>
              <w:jc w:val="center"/>
              <w:textAlignment w:val="auto"/>
              <w:rPr>
                <w:rFonts w:ascii="宋体" w:hAnsi="宋体"/>
                <w:color w:val="auto"/>
                <w:sz w:val="18"/>
                <w:szCs w:val="18"/>
                <w:highlight w:val="none"/>
              </w:rPr>
            </w:pPr>
            <w:r>
              <w:rPr>
                <w:rFonts w:hint="eastAsia" w:ascii="宋体" w:hAnsi="宋体"/>
                <w:color w:val="auto"/>
                <w:sz w:val="18"/>
                <w:szCs w:val="18"/>
                <w:highlight w:val="none"/>
                <w:lang w:val="en-US" w:eastAsia="zh-CN"/>
              </w:rPr>
              <w:t>15</w:t>
            </w:r>
            <w:r>
              <w:rPr>
                <w:rFonts w:hint="eastAsia" w:ascii="宋体" w:hAnsi="宋体"/>
                <w:color w:val="auto"/>
                <w:sz w:val="18"/>
                <w:szCs w:val="18"/>
                <w:highlight w:val="none"/>
              </w:rPr>
              <w:t>分</w:t>
            </w:r>
          </w:p>
        </w:tc>
        <w:tc>
          <w:tcPr>
            <w:tcW w:w="1275" w:type="dxa"/>
          </w:tcPr>
          <w:p w14:paraId="5A2DEA05">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p>
          <w:p w14:paraId="1A686E94">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一项一次</w:t>
            </w:r>
          </w:p>
          <w:p w14:paraId="6E594004">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不合格的</w:t>
            </w:r>
          </w:p>
          <w:p w14:paraId="70EA7E55">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扣除</w:t>
            </w: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分，扣完为止。</w:t>
            </w:r>
          </w:p>
        </w:tc>
      </w:tr>
      <w:tr w14:paraId="4170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9559E4E">
            <w:pPr>
              <w:keepNext w:val="0"/>
              <w:keepLines w:val="0"/>
              <w:pageBreakBefore w:val="0"/>
              <w:kinsoku/>
              <w:wordWrap/>
              <w:overflowPunct/>
              <w:topLinePunct w:val="0"/>
              <w:bidi w:val="0"/>
              <w:spacing w:after="60" w:line="440" w:lineRule="exact"/>
              <w:jc w:val="center"/>
              <w:textAlignment w:val="auto"/>
              <w:rPr>
                <w:rFonts w:ascii="宋体" w:hAnsi="宋体"/>
                <w:color w:val="auto"/>
                <w:sz w:val="18"/>
                <w:szCs w:val="18"/>
                <w:highlight w:val="none"/>
              </w:rPr>
            </w:pPr>
            <w:r>
              <w:rPr>
                <w:rFonts w:hint="eastAsia" w:ascii="宋体" w:hAnsi="宋体"/>
                <w:color w:val="auto"/>
                <w:sz w:val="18"/>
                <w:szCs w:val="18"/>
                <w:highlight w:val="none"/>
              </w:rPr>
              <w:t>2</w:t>
            </w:r>
          </w:p>
        </w:tc>
        <w:tc>
          <w:tcPr>
            <w:tcW w:w="992" w:type="dxa"/>
            <w:vAlign w:val="center"/>
          </w:tcPr>
          <w:p w14:paraId="0D6CF9D1">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lang w:val="en-US" w:eastAsia="zh-CN"/>
              </w:rPr>
              <w:t>清洁</w:t>
            </w:r>
            <w:r>
              <w:rPr>
                <w:rFonts w:hint="eastAsia" w:ascii="宋体" w:hAnsi="宋体"/>
                <w:color w:val="auto"/>
                <w:sz w:val="18"/>
                <w:szCs w:val="18"/>
                <w:highlight w:val="none"/>
              </w:rPr>
              <w:t>服务要求</w:t>
            </w:r>
          </w:p>
        </w:tc>
        <w:tc>
          <w:tcPr>
            <w:tcW w:w="6379" w:type="dxa"/>
          </w:tcPr>
          <w:p w14:paraId="3F93CA99">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1、保持路面、地面目视干净</w:t>
            </w:r>
            <w:r>
              <w:rPr>
                <w:rFonts w:hint="eastAsia" w:ascii="宋体" w:hAnsi="宋体" w:cstheme="minorBidi"/>
                <w:color w:val="auto"/>
                <w:sz w:val="18"/>
                <w:szCs w:val="18"/>
                <w:highlight w:val="none"/>
                <w:lang w:eastAsia="zh-CN"/>
              </w:rPr>
              <w:t>，</w:t>
            </w:r>
            <w:r>
              <w:rPr>
                <w:rFonts w:hint="eastAsia" w:ascii="宋体" w:hAnsi="宋体" w:cstheme="minorBidi"/>
                <w:color w:val="auto"/>
                <w:sz w:val="18"/>
                <w:szCs w:val="18"/>
                <w:highlight w:val="none"/>
              </w:rPr>
              <w:t>地面垃圾滞留时间不能超过1小时；</w:t>
            </w:r>
          </w:p>
          <w:p w14:paraId="09F3B215">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2、明沟无杂物，无积水；</w:t>
            </w:r>
          </w:p>
          <w:p w14:paraId="54E5E0C1">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3、宣传栏、标识牌、其他设施目视无灰尘、明亮清洁；</w:t>
            </w:r>
          </w:p>
          <w:p w14:paraId="03154B6F">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4、保持垃圾桶及周围清洁、无异味；垃圾箱整洁、干净、无异味；</w:t>
            </w:r>
          </w:p>
          <w:p w14:paraId="77BC3BC6">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5、公共卫生间设置卫生桶，箱（桶）无满溢、无异味、无污迹。</w:t>
            </w:r>
          </w:p>
          <w:p w14:paraId="1E013AA6">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6、楼道、走道、门厅、楼梯地表面、接缝、角落、边线等处洁净，地面干净有光泽，无垃圾、杂物、灰尘、污迹、划痕等现象，保持地面材质原貌。</w:t>
            </w:r>
          </w:p>
          <w:p w14:paraId="342FD03B">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7、楼梯扶手、栏杆、窗台保持干净、光亮、无灰尘；</w:t>
            </w:r>
          </w:p>
          <w:p w14:paraId="453F9B98">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8、消防栓、指示牌等公共设施保持表面干净，无灰尘、无污渍。</w:t>
            </w:r>
          </w:p>
          <w:p w14:paraId="1426BC29">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9、天花板、公共灯具、高位区域定期除尘，保持目视无灰尘、无污迹、无蜘蛛网。</w:t>
            </w:r>
          </w:p>
          <w:p w14:paraId="5A074EF4">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10、走廊、楼梯、门、窗、玻璃、闭门器等保持洁净、明亮、无灰尘、无污迹。</w:t>
            </w:r>
          </w:p>
          <w:p w14:paraId="381CB48B">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11、天台、屋顶无垃圾堆积。</w:t>
            </w:r>
          </w:p>
          <w:p w14:paraId="0B3597D1">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12、电梯轿厢保持表面光亮、无污迹，轿厢壁无浮灰，不锈钢表面光亮、无污迹。</w:t>
            </w:r>
          </w:p>
          <w:p w14:paraId="64DFA7AE">
            <w:pPr>
              <w:keepNext w:val="0"/>
              <w:keepLines w:val="0"/>
              <w:pageBreakBefore w:val="0"/>
              <w:kinsoku/>
              <w:wordWrap/>
              <w:overflowPunct/>
              <w:topLinePunct w:val="0"/>
              <w:bidi w:val="0"/>
              <w:spacing w:before="0" w:beforeAutospacing="0" w:after="60" w:afterAutospacing="0" w:line="440" w:lineRule="exac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13、清洁工具，清洁</w:t>
            </w:r>
            <w:r>
              <w:rPr>
                <w:rFonts w:hint="eastAsia" w:ascii="宋体" w:hAnsi="宋体" w:cstheme="minorBidi"/>
                <w:color w:val="auto"/>
                <w:sz w:val="18"/>
                <w:szCs w:val="18"/>
                <w:highlight w:val="none"/>
                <w:lang w:eastAsia="zh-CN"/>
              </w:rPr>
              <w:t>药剂</w:t>
            </w:r>
            <w:r>
              <w:rPr>
                <w:rFonts w:hint="eastAsia" w:ascii="宋体" w:hAnsi="宋体" w:cstheme="minorBidi"/>
                <w:color w:val="auto"/>
                <w:sz w:val="18"/>
                <w:szCs w:val="18"/>
                <w:highlight w:val="none"/>
              </w:rPr>
              <w:t>分类摆放，并摆放整齐。</w:t>
            </w:r>
          </w:p>
        </w:tc>
        <w:tc>
          <w:tcPr>
            <w:tcW w:w="709" w:type="dxa"/>
            <w:vAlign w:val="center"/>
          </w:tcPr>
          <w:p w14:paraId="30A1ABBF">
            <w:pPr>
              <w:keepNext w:val="0"/>
              <w:keepLines w:val="0"/>
              <w:pageBreakBefore w:val="0"/>
              <w:kinsoku/>
              <w:wordWrap/>
              <w:overflowPunct/>
              <w:topLinePunct w:val="0"/>
              <w:bidi w:val="0"/>
              <w:spacing w:after="60" w:line="440" w:lineRule="exact"/>
              <w:jc w:val="center"/>
              <w:textAlignment w:val="auto"/>
              <w:rPr>
                <w:rFonts w:ascii="宋体" w:hAnsi="宋体"/>
                <w:color w:val="auto"/>
                <w:sz w:val="18"/>
                <w:szCs w:val="18"/>
                <w:highlight w:val="none"/>
              </w:rPr>
            </w:pPr>
            <w:r>
              <w:rPr>
                <w:rFonts w:hint="eastAsia" w:ascii="宋体" w:hAnsi="宋体"/>
                <w:color w:val="auto"/>
                <w:sz w:val="18"/>
                <w:szCs w:val="18"/>
                <w:highlight w:val="none"/>
                <w:lang w:val="en-US" w:eastAsia="zh-CN"/>
              </w:rPr>
              <w:t>35</w:t>
            </w:r>
            <w:r>
              <w:rPr>
                <w:rFonts w:hint="eastAsia" w:ascii="宋体" w:hAnsi="宋体"/>
                <w:color w:val="auto"/>
                <w:sz w:val="18"/>
                <w:szCs w:val="18"/>
                <w:highlight w:val="none"/>
              </w:rPr>
              <w:t>分</w:t>
            </w:r>
          </w:p>
        </w:tc>
        <w:tc>
          <w:tcPr>
            <w:tcW w:w="1275" w:type="dxa"/>
          </w:tcPr>
          <w:p w14:paraId="0961D835">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p>
          <w:p w14:paraId="7264DE5F">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p>
          <w:p w14:paraId="774504BD">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p>
          <w:p w14:paraId="11A14E45">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一项一次</w:t>
            </w:r>
          </w:p>
          <w:p w14:paraId="1877350C">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达不到要求扣除</w:t>
            </w: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分，扣完为止。</w:t>
            </w:r>
          </w:p>
        </w:tc>
      </w:tr>
      <w:tr w14:paraId="2BDF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41D1B23">
            <w:pPr>
              <w:keepNext w:val="0"/>
              <w:keepLines w:val="0"/>
              <w:pageBreakBefore w:val="0"/>
              <w:kinsoku/>
              <w:wordWrap/>
              <w:overflowPunct/>
              <w:topLinePunct w:val="0"/>
              <w:bidi w:val="0"/>
              <w:spacing w:after="60" w:line="440" w:lineRule="exact"/>
              <w:jc w:val="center"/>
              <w:textAlignment w:val="auto"/>
              <w:rPr>
                <w:rFonts w:ascii="宋体" w:hAnsi="宋体"/>
                <w:color w:val="auto"/>
                <w:sz w:val="18"/>
                <w:szCs w:val="18"/>
                <w:highlight w:val="none"/>
              </w:rPr>
            </w:pPr>
            <w:r>
              <w:rPr>
                <w:rFonts w:hint="eastAsia" w:ascii="宋体" w:hAnsi="宋体"/>
                <w:color w:val="auto"/>
                <w:sz w:val="18"/>
                <w:szCs w:val="18"/>
                <w:highlight w:val="none"/>
              </w:rPr>
              <w:t>3</w:t>
            </w:r>
          </w:p>
        </w:tc>
        <w:tc>
          <w:tcPr>
            <w:tcW w:w="992" w:type="dxa"/>
            <w:vAlign w:val="center"/>
          </w:tcPr>
          <w:p w14:paraId="32183637">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服务纪律</w:t>
            </w:r>
          </w:p>
        </w:tc>
        <w:tc>
          <w:tcPr>
            <w:tcW w:w="6379" w:type="dxa"/>
          </w:tcPr>
          <w:p w14:paraId="09F1A156">
            <w:pPr>
              <w:keepNext w:val="0"/>
              <w:keepLines w:val="0"/>
              <w:pageBreakBefore w:val="0"/>
              <w:kinsoku/>
              <w:wordWrap/>
              <w:overflowPunct/>
              <w:topLinePunct w:val="0"/>
              <w:bidi w:val="0"/>
              <w:spacing w:after="60" w:line="440" w:lineRule="exact"/>
              <w:jc w:val="left"/>
              <w:textAlignment w:val="auto"/>
              <w:rPr>
                <w:rFonts w:hint="eastAsia" w:ascii="宋体" w:hAnsi="宋体"/>
                <w:color w:val="auto"/>
                <w:sz w:val="18"/>
                <w:szCs w:val="18"/>
                <w:highlight w:val="none"/>
              </w:rPr>
            </w:pPr>
            <w:r>
              <w:rPr>
                <w:rFonts w:hint="eastAsia" w:ascii="宋体" w:hAnsi="宋体" w:cstheme="minorBidi"/>
                <w:color w:val="auto"/>
                <w:sz w:val="18"/>
                <w:szCs w:val="18"/>
                <w:highlight w:val="none"/>
              </w:rPr>
              <w:t>1.按时交接班，上班</w:t>
            </w:r>
            <w:r>
              <w:rPr>
                <w:rFonts w:hint="eastAsia" w:ascii="宋体" w:hAnsi="宋体" w:cstheme="minorBidi"/>
                <w:color w:val="auto"/>
                <w:sz w:val="18"/>
                <w:szCs w:val="18"/>
                <w:highlight w:val="none"/>
                <w:lang w:eastAsia="zh-CN"/>
              </w:rPr>
              <w:t>期间</w:t>
            </w:r>
            <w:r>
              <w:rPr>
                <w:rFonts w:hint="eastAsia" w:ascii="宋体" w:hAnsi="宋体" w:cstheme="minorBidi"/>
                <w:color w:val="auto"/>
                <w:sz w:val="18"/>
                <w:szCs w:val="18"/>
                <w:highlight w:val="none"/>
              </w:rPr>
              <w:t>不许喝酒、吸烟，不嬉笑、打闹，不迟到、早退，忠于职守；</w:t>
            </w:r>
          </w:p>
          <w:p w14:paraId="48677859">
            <w:pPr>
              <w:keepNext w:val="0"/>
              <w:keepLines w:val="0"/>
              <w:pageBreakBefore w:val="0"/>
              <w:kinsoku/>
              <w:wordWrap/>
              <w:overflowPunct/>
              <w:topLinePunct w:val="0"/>
              <w:bidi w:val="0"/>
              <w:spacing w:after="60" w:line="440" w:lineRule="exact"/>
              <w:jc w:val="left"/>
              <w:textAlignment w:val="auto"/>
              <w:rPr>
                <w:rFonts w:hint="eastAsia" w:ascii="宋体" w:hAnsi="宋体"/>
                <w:color w:val="auto"/>
                <w:sz w:val="18"/>
                <w:szCs w:val="18"/>
                <w:highlight w:val="none"/>
              </w:rPr>
            </w:pPr>
            <w:r>
              <w:rPr>
                <w:rFonts w:hint="eastAsia" w:ascii="宋体" w:hAnsi="宋体" w:cstheme="minorBidi"/>
                <w:color w:val="auto"/>
                <w:sz w:val="18"/>
                <w:szCs w:val="18"/>
                <w:highlight w:val="none"/>
              </w:rPr>
              <w:t>2.处理问题讲原则、讲方法，以理服人；</w:t>
            </w:r>
          </w:p>
          <w:p w14:paraId="5CD811F2">
            <w:pPr>
              <w:keepNext w:val="0"/>
              <w:keepLines w:val="0"/>
              <w:pageBreakBefore w:val="0"/>
              <w:kinsoku/>
              <w:wordWrap/>
              <w:overflowPunct/>
              <w:topLinePunct w:val="0"/>
              <w:bidi w:val="0"/>
              <w:spacing w:after="60" w:line="440" w:lineRule="exact"/>
              <w:jc w:val="left"/>
              <w:textAlignment w:val="auto"/>
              <w:rPr>
                <w:rFonts w:hint="eastAsia" w:ascii="宋体" w:hAnsi="宋体"/>
                <w:color w:val="auto"/>
                <w:sz w:val="18"/>
                <w:szCs w:val="18"/>
                <w:highlight w:val="none"/>
              </w:rPr>
            </w:pPr>
            <w:r>
              <w:rPr>
                <w:rFonts w:hint="eastAsia" w:ascii="宋体" w:hAnsi="宋体" w:cstheme="minorBidi"/>
                <w:color w:val="auto"/>
                <w:sz w:val="18"/>
                <w:szCs w:val="18"/>
                <w:highlight w:val="none"/>
              </w:rPr>
              <w:t>3.遵守公司廉洁制度和有关管理规定，不收受钱财和物品，不利用工作之便敲诈勒索，保守内部机密；</w:t>
            </w:r>
          </w:p>
          <w:p w14:paraId="05761FAD">
            <w:pPr>
              <w:keepNext w:val="0"/>
              <w:keepLines w:val="0"/>
              <w:pageBreakBefore w:val="0"/>
              <w:kinsoku/>
              <w:wordWrap/>
              <w:overflowPunct/>
              <w:topLinePunct w:val="0"/>
              <w:bidi w:val="0"/>
              <w:spacing w:after="60" w:line="440" w:lineRule="exact"/>
              <w:jc w:val="left"/>
              <w:textAlignment w:val="auto"/>
              <w:rPr>
                <w:rFonts w:hint="eastAsia" w:ascii="宋体" w:hAnsi="宋体"/>
                <w:color w:val="auto"/>
                <w:sz w:val="18"/>
                <w:szCs w:val="18"/>
                <w:highlight w:val="none"/>
              </w:rPr>
            </w:pPr>
            <w:r>
              <w:rPr>
                <w:rFonts w:hint="eastAsia" w:ascii="宋体" w:hAnsi="宋体" w:cstheme="minorBidi"/>
                <w:color w:val="auto"/>
                <w:sz w:val="18"/>
                <w:szCs w:val="18"/>
                <w:highlight w:val="none"/>
              </w:rPr>
              <w:t>4.上班不会客、闲谈，不做与本职工作无关的事；</w:t>
            </w:r>
          </w:p>
          <w:p w14:paraId="1107C350">
            <w:pPr>
              <w:keepNext w:val="0"/>
              <w:keepLines w:val="0"/>
              <w:pageBreakBefore w:val="0"/>
              <w:kinsoku/>
              <w:wordWrap/>
              <w:overflowPunct/>
              <w:topLinePunct w:val="0"/>
              <w:bidi w:val="0"/>
              <w:spacing w:after="60" w:line="440" w:lineRule="exact"/>
              <w:jc w:val="left"/>
              <w:textAlignment w:val="auto"/>
              <w:rPr>
                <w:rFonts w:hint="eastAsia" w:ascii="宋体" w:hAnsi="宋体"/>
                <w:color w:val="auto"/>
                <w:sz w:val="18"/>
                <w:szCs w:val="18"/>
                <w:highlight w:val="none"/>
              </w:rPr>
            </w:pPr>
            <w:r>
              <w:rPr>
                <w:rFonts w:hint="eastAsia" w:ascii="宋体" w:hAnsi="宋体" w:cstheme="minorBidi"/>
                <w:color w:val="auto"/>
                <w:sz w:val="18"/>
                <w:szCs w:val="18"/>
                <w:highlight w:val="none"/>
              </w:rPr>
              <w:t>5.服从领导安排，团结同事，不挑拨是非；</w:t>
            </w:r>
          </w:p>
          <w:p w14:paraId="65575E29">
            <w:pPr>
              <w:keepNext w:val="0"/>
              <w:keepLines w:val="0"/>
              <w:pageBreakBefore w:val="0"/>
              <w:kinsoku/>
              <w:wordWrap/>
              <w:overflowPunct/>
              <w:topLinePunct w:val="0"/>
              <w:bidi w:val="0"/>
              <w:spacing w:after="60" w:line="440" w:lineRule="exact"/>
              <w:jc w:val="left"/>
              <w:textAlignment w:val="auto"/>
              <w:rPr>
                <w:rFonts w:hint="eastAsia" w:ascii="宋体" w:hAnsi="宋体"/>
                <w:color w:val="auto"/>
                <w:sz w:val="18"/>
                <w:szCs w:val="18"/>
                <w:highlight w:val="none"/>
              </w:rPr>
            </w:pPr>
            <w:r>
              <w:rPr>
                <w:rFonts w:hint="eastAsia" w:ascii="宋体" w:hAnsi="宋体" w:cstheme="minorBidi"/>
                <w:color w:val="auto"/>
                <w:sz w:val="18"/>
                <w:szCs w:val="18"/>
                <w:highlight w:val="none"/>
              </w:rPr>
              <w:t>6.不擅自留宿他人，日常用品按规定摆放整齐。</w:t>
            </w:r>
          </w:p>
          <w:p w14:paraId="040BEC9C">
            <w:pPr>
              <w:keepNext w:val="0"/>
              <w:keepLines w:val="0"/>
              <w:pageBreakBefore w:val="0"/>
              <w:kinsoku/>
              <w:wordWrap/>
              <w:overflowPunct/>
              <w:topLinePunct w:val="0"/>
              <w:bidi w:val="0"/>
              <w:spacing w:after="60" w:line="440" w:lineRule="exact"/>
              <w:jc w:val="left"/>
              <w:textAlignment w:val="auto"/>
              <w:rPr>
                <w:rFonts w:hint="eastAsia" w:ascii="宋体" w:hAnsi="宋体"/>
                <w:color w:val="auto"/>
                <w:sz w:val="18"/>
                <w:szCs w:val="18"/>
                <w:highlight w:val="none"/>
              </w:rPr>
            </w:pPr>
            <w:r>
              <w:rPr>
                <w:rFonts w:hint="eastAsia" w:ascii="宋体" w:hAnsi="宋体" w:cstheme="minorBidi"/>
                <w:color w:val="auto"/>
                <w:sz w:val="18"/>
                <w:szCs w:val="18"/>
                <w:highlight w:val="none"/>
              </w:rPr>
              <w:t>7.禁止利用空暇之余进行赌博等其它变相的违法行为；</w:t>
            </w:r>
          </w:p>
          <w:p w14:paraId="0001A07C">
            <w:pPr>
              <w:keepNext w:val="0"/>
              <w:keepLines w:val="0"/>
              <w:pageBreakBefore w:val="0"/>
              <w:kinsoku/>
              <w:wordWrap/>
              <w:overflowPunct/>
              <w:topLinePunct w:val="0"/>
              <w:bidi w:val="0"/>
              <w:spacing w:after="60" w:line="440" w:lineRule="exact"/>
              <w:jc w:val="left"/>
              <w:textAlignment w:val="auto"/>
              <w:rPr>
                <w:rFonts w:hint="eastAsia" w:ascii="宋体" w:hAnsi="宋体"/>
                <w:color w:val="auto"/>
                <w:sz w:val="18"/>
                <w:szCs w:val="18"/>
                <w:highlight w:val="none"/>
              </w:rPr>
            </w:pPr>
            <w:r>
              <w:rPr>
                <w:rFonts w:hint="eastAsia" w:ascii="宋体" w:hAnsi="宋体" w:cstheme="minorBidi"/>
                <w:color w:val="auto"/>
                <w:sz w:val="18"/>
                <w:szCs w:val="18"/>
                <w:highlight w:val="none"/>
              </w:rPr>
              <w:t>8.勇于同违法乱纪行为作斗争；</w:t>
            </w:r>
          </w:p>
          <w:p w14:paraId="77EDC7E0">
            <w:pPr>
              <w:keepNext w:val="0"/>
              <w:keepLines w:val="0"/>
              <w:pageBreakBefore w:val="0"/>
              <w:kinsoku/>
              <w:wordWrap/>
              <w:overflowPunct/>
              <w:topLinePunct w:val="0"/>
              <w:bidi w:val="0"/>
              <w:spacing w:after="60" w:line="440" w:lineRule="exact"/>
              <w:jc w:val="left"/>
              <w:textAlignment w:val="auto"/>
              <w:rPr>
                <w:rFonts w:hint="eastAsia" w:ascii="宋体" w:hAnsi="宋体" w:cstheme="minorBidi"/>
                <w:color w:val="auto"/>
                <w:sz w:val="18"/>
                <w:szCs w:val="18"/>
                <w:highlight w:val="none"/>
              </w:rPr>
            </w:pPr>
            <w:r>
              <w:rPr>
                <w:rFonts w:hint="eastAsia" w:ascii="宋体" w:hAnsi="宋体" w:cstheme="minorBidi"/>
                <w:color w:val="auto"/>
                <w:sz w:val="18"/>
                <w:szCs w:val="18"/>
                <w:highlight w:val="none"/>
              </w:rPr>
              <w:t>9.遵守安全生产相关规定；</w:t>
            </w:r>
          </w:p>
          <w:p w14:paraId="30C2F062">
            <w:pPr>
              <w:keepNext w:val="0"/>
              <w:keepLines w:val="0"/>
              <w:pageBreakBefore w:val="0"/>
              <w:kinsoku/>
              <w:wordWrap/>
              <w:overflowPunct/>
              <w:topLinePunct w:val="0"/>
              <w:bidi w:val="0"/>
              <w:spacing w:after="60" w:line="440" w:lineRule="exact"/>
              <w:jc w:val="left"/>
              <w:textAlignment w:val="auto"/>
              <w:rPr>
                <w:rFonts w:hint="eastAsia" w:ascii="宋体" w:hAnsi="宋体"/>
                <w:color w:val="auto"/>
                <w:sz w:val="18"/>
                <w:szCs w:val="18"/>
                <w:highlight w:val="none"/>
              </w:rPr>
            </w:pPr>
            <w:r>
              <w:rPr>
                <w:rFonts w:hint="eastAsia" w:ascii="宋体" w:hAnsi="宋体" w:cstheme="minorBidi"/>
                <w:color w:val="auto"/>
                <w:sz w:val="18"/>
                <w:szCs w:val="18"/>
                <w:highlight w:val="none"/>
              </w:rPr>
              <w:t>10.未经采购方批准，不得擅自接受媒体记者采访或了解情况。</w:t>
            </w:r>
          </w:p>
        </w:tc>
        <w:tc>
          <w:tcPr>
            <w:tcW w:w="709" w:type="dxa"/>
            <w:vAlign w:val="center"/>
          </w:tcPr>
          <w:p w14:paraId="48B4CF8A">
            <w:pPr>
              <w:keepNext w:val="0"/>
              <w:keepLines w:val="0"/>
              <w:pageBreakBefore w:val="0"/>
              <w:kinsoku/>
              <w:wordWrap/>
              <w:overflowPunct/>
              <w:topLinePunct w:val="0"/>
              <w:bidi w:val="0"/>
              <w:spacing w:after="60" w:line="440" w:lineRule="exact"/>
              <w:jc w:val="center"/>
              <w:textAlignment w:val="auto"/>
              <w:rPr>
                <w:rFonts w:ascii="宋体" w:hAnsi="宋体"/>
                <w:color w:val="auto"/>
                <w:sz w:val="18"/>
                <w:szCs w:val="18"/>
                <w:highlight w:val="none"/>
              </w:rPr>
            </w:pPr>
            <w:r>
              <w:rPr>
                <w:rFonts w:hint="eastAsia" w:ascii="宋体" w:hAnsi="宋体"/>
                <w:color w:val="auto"/>
                <w:sz w:val="18"/>
                <w:szCs w:val="18"/>
                <w:highlight w:val="none"/>
                <w:lang w:val="en-US" w:eastAsia="zh-CN"/>
              </w:rPr>
              <w:t>15</w:t>
            </w:r>
            <w:r>
              <w:rPr>
                <w:rFonts w:hint="eastAsia" w:ascii="宋体" w:hAnsi="宋体"/>
                <w:color w:val="auto"/>
                <w:sz w:val="18"/>
                <w:szCs w:val="18"/>
                <w:highlight w:val="none"/>
              </w:rPr>
              <w:t>分</w:t>
            </w:r>
          </w:p>
        </w:tc>
        <w:tc>
          <w:tcPr>
            <w:tcW w:w="1275" w:type="dxa"/>
          </w:tcPr>
          <w:p w14:paraId="6EDCAC7B">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p>
          <w:p w14:paraId="4039C1A8">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p>
          <w:p w14:paraId="74A8146A">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p>
          <w:p w14:paraId="713B7BCB">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p>
          <w:p w14:paraId="5F3C5B71">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一项一次</w:t>
            </w:r>
          </w:p>
          <w:p w14:paraId="282CC411">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达不到要求的扣</w:t>
            </w:r>
            <w:r>
              <w:rPr>
                <w:rFonts w:hint="eastAsia" w:ascii="宋体" w:hAnsi="宋体"/>
                <w:color w:val="auto"/>
                <w:sz w:val="18"/>
                <w:szCs w:val="18"/>
                <w:highlight w:val="none"/>
                <w:lang w:val="en-US" w:eastAsia="zh-CN"/>
              </w:rPr>
              <w:t>1.5</w:t>
            </w:r>
            <w:r>
              <w:rPr>
                <w:rFonts w:hint="eastAsia" w:ascii="宋体" w:hAnsi="宋体"/>
                <w:color w:val="auto"/>
                <w:sz w:val="18"/>
                <w:szCs w:val="18"/>
                <w:highlight w:val="none"/>
              </w:rPr>
              <w:t>分，扣完为止。</w:t>
            </w:r>
          </w:p>
        </w:tc>
      </w:tr>
      <w:tr w14:paraId="2D7D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64C83DF">
            <w:pPr>
              <w:keepNext w:val="0"/>
              <w:keepLines w:val="0"/>
              <w:pageBreakBefore w:val="0"/>
              <w:kinsoku/>
              <w:wordWrap/>
              <w:overflowPunct/>
              <w:topLinePunct w:val="0"/>
              <w:bidi w:val="0"/>
              <w:spacing w:after="60" w:line="440" w:lineRule="exact"/>
              <w:jc w:val="center"/>
              <w:textAlignment w:val="auto"/>
              <w:rPr>
                <w:rFonts w:hint="eastAsia" w:ascii="宋体" w:hAnsi="宋体" w:eastAsiaTheme="minorEastAsia"/>
                <w:color w:val="auto"/>
                <w:sz w:val="18"/>
                <w:szCs w:val="18"/>
                <w:highlight w:val="none"/>
                <w:lang w:val="en-US" w:eastAsia="zh-CN"/>
              </w:rPr>
            </w:pPr>
            <w:r>
              <w:rPr>
                <w:rFonts w:hint="eastAsia" w:ascii="宋体" w:hAnsi="宋体"/>
                <w:color w:val="auto"/>
                <w:sz w:val="18"/>
                <w:szCs w:val="18"/>
                <w:highlight w:val="none"/>
                <w:lang w:val="en-US" w:eastAsia="zh-CN"/>
              </w:rPr>
              <w:t>4</w:t>
            </w:r>
          </w:p>
        </w:tc>
        <w:tc>
          <w:tcPr>
            <w:tcW w:w="992" w:type="dxa"/>
            <w:vAlign w:val="center"/>
          </w:tcPr>
          <w:p w14:paraId="22AD3E2B">
            <w:pPr>
              <w:keepNext w:val="0"/>
              <w:keepLines w:val="0"/>
              <w:pageBreakBefore w:val="0"/>
              <w:kinsoku/>
              <w:wordWrap/>
              <w:overflowPunct/>
              <w:topLinePunct w:val="0"/>
              <w:bidi w:val="0"/>
              <w:spacing w:after="60" w:line="440" w:lineRule="exact"/>
              <w:textAlignment w:val="auto"/>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清洁耗材提供要求</w:t>
            </w:r>
          </w:p>
        </w:tc>
        <w:tc>
          <w:tcPr>
            <w:tcW w:w="6379" w:type="dxa"/>
          </w:tcPr>
          <w:p w14:paraId="3FD9342E">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1.及时</w:t>
            </w:r>
            <w:r>
              <w:rPr>
                <w:rFonts w:hint="eastAsia" w:ascii="宋体" w:hAnsi="宋体" w:cs="仿宋"/>
                <w:color w:val="auto"/>
                <w:sz w:val="18"/>
                <w:szCs w:val="18"/>
                <w:highlight w:val="none"/>
              </w:rPr>
              <w:t>提供和更换公共区域清洁耗材。</w:t>
            </w:r>
          </w:p>
          <w:p w14:paraId="4AFA1E37">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2.及时</w:t>
            </w:r>
            <w:r>
              <w:rPr>
                <w:rFonts w:hint="eastAsia" w:ascii="宋体" w:hAnsi="宋体" w:cs="仿宋"/>
                <w:color w:val="auto"/>
                <w:sz w:val="18"/>
                <w:szCs w:val="18"/>
                <w:highlight w:val="none"/>
              </w:rPr>
              <w:t>提供和更换公共区域洗手间耗材的提供和更换。</w:t>
            </w:r>
          </w:p>
          <w:p w14:paraId="1C4FA57D">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3.</w:t>
            </w:r>
            <w:r>
              <w:rPr>
                <w:rFonts w:hint="eastAsia" w:ascii="宋体" w:hAnsi="宋体" w:cs="仿宋"/>
                <w:color w:val="auto"/>
                <w:sz w:val="18"/>
                <w:szCs w:val="18"/>
                <w:highlight w:val="none"/>
              </w:rPr>
              <w:t>楼层保洁员每天巡视清洁8 次洗手间，发现易耗品缺少时要及时补充。</w:t>
            </w:r>
          </w:p>
          <w:p w14:paraId="469E504F">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4.</w:t>
            </w:r>
            <w:r>
              <w:rPr>
                <w:rFonts w:hint="eastAsia" w:ascii="宋体" w:hAnsi="宋体" w:cs="仿宋"/>
                <w:color w:val="auto"/>
                <w:sz w:val="18"/>
                <w:szCs w:val="18"/>
                <w:highlight w:val="none"/>
              </w:rPr>
              <w:t>清洁班长每天巡视一次洗手间，发现易耗品缺少时要及时通知楼层保洁员工补充。</w:t>
            </w:r>
          </w:p>
          <w:p w14:paraId="590F56D5">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5.</w:t>
            </w:r>
            <w:r>
              <w:rPr>
                <w:rFonts w:hint="eastAsia" w:ascii="宋体" w:hAnsi="宋体" w:cs="仿宋"/>
                <w:color w:val="auto"/>
                <w:sz w:val="18"/>
                <w:szCs w:val="18"/>
                <w:highlight w:val="none"/>
              </w:rPr>
              <w:t>擦手纸在少于1/3时就要补充，在中午下班时要补满擦手纸盒。</w:t>
            </w:r>
          </w:p>
          <w:p w14:paraId="1CCDBD9E">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6.</w:t>
            </w:r>
            <w:r>
              <w:rPr>
                <w:rFonts w:hint="eastAsia" w:ascii="宋体" w:hAnsi="宋体" w:cs="仿宋"/>
                <w:color w:val="auto"/>
                <w:sz w:val="18"/>
                <w:szCs w:val="18"/>
                <w:highlight w:val="none"/>
              </w:rPr>
              <w:t>大卷纸的厚度小于2cm时就要更换。</w:t>
            </w:r>
          </w:p>
          <w:p w14:paraId="581F1754">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7.</w:t>
            </w:r>
            <w:r>
              <w:rPr>
                <w:rFonts w:hint="eastAsia" w:ascii="宋体" w:hAnsi="宋体" w:cs="仿宋"/>
                <w:color w:val="auto"/>
                <w:sz w:val="18"/>
                <w:szCs w:val="18"/>
                <w:highlight w:val="none"/>
              </w:rPr>
              <w:t>洗手液在少于1/3 时就要补充，每次加满洗手液瓶。</w:t>
            </w:r>
          </w:p>
          <w:p w14:paraId="655B8D09">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8.</w:t>
            </w:r>
            <w:r>
              <w:rPr>
                <w:rFonts w:hint="eastAsia" w:ascii="宋体" w:hAnsi="宋体" w:cs="仿宋"/>
                <w:color w:val="auto"/>
                <w:sz w:val="18"/>
                <w:szCs w:val="18"/>
                <w:highlight w:val="none"/>
              </w:rPr>
              <w:t>喷香罐设定好时间和喷香频率（一般设为白天喷，1次/30分钟），统计好喷香罐和电池的使用天数，更换时登记日期，在使用结束的当天时更换。</w:t>
            </w:r>
          </w:p>
          <w:p w14:paraId="45256BB1">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rPr>
            </w:pPr>
            <w:r>
              <w:rPr>
                <w:rFonts w:hint="eastAsia" w:ascii="宋体" w:hAnsi="宋体" w:cs="仿宋"/>
                <w:color w:val="auto"/>
                <w:sz w:val="18"/>
                <w:szCs w:val="18"/>
                <w:highlight w:val="none"/>
                <w:lang w:val="en-US" w:eastAsia="zh-CN"/>
              </w:rPr>
              <w:t>9.</w:t>
            </w:r>
            <w:r>
              <w:rPr>
                <w:rFonts w:hint="eastAsia" w:ascii="宋体" w:hAnsi="宋体" w:cs="仿宋"/>
                <w:color w:val="auto"/>
                <w:sz w:val="18"/>
                <w:szCs w:val="18"/>
                <w:highlight w:val="none"/>
              </w:rPr>
              <w:t>清洁物资的品牌和规格需按照甲方指定的品牌采购。</w:t>
            </w:r>
          </w:p>
        </w:tc>
        <w:tc>
          <w:tcPr>
            <w:tcW w:w="709" w:type="dxa"/>
            <w:vAlign w:val="center"/>
          </w:tcPr>
          <w:p w14:paraId="61B3C860">
            <w:pPr>
              <w:keepNext w:val="0"/>
              <w:keepLines w:val="0"/>
              <w:pageBreakBefore w:val="0"/>
              <w:kinsoku/>
              <w:wordWrap/>
              <w:overflowPunct/>
              <w:topLinePunct w:val="0"/>
              <w:bidi w:val="0"/>
              <w:spacing w:after="60" w:line="440" w:lineRule="exact"/>
              <w:jc w:val="center"/>
              <w:textAlignment w:val="auto"/>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20</w:t>
            </w:r>
          </w:p>
        </w:tc>
        <w:tc>
          <w:tcPr>
            <w:tcW w:w="1275" w:type="dxa"/>
          </w:tcPr>
          <w:p w14:paraId="4032A715">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一项一次</w:t>
            </w:r>
          </w:p>
          <w:p w14:paraId="0ED0D41C">
            <w:pPr>
              <w:keepNext w:val="0"/>
              <w:keepLines w:val="0"/>
              <w:pageBreakBefore w:val="0"/>
              <w:kinsoku/>
              <w:wordWrap/>
              <w:overflowPunct/>
              <w:topLinePunct w:val="0"/>
              <w:bidi w:val="0"/>
              <w:spacing w:after="60" w:line="440" w:lineRule="exact"/>
              <w:textAlignment w:val="auto"/>
              <w:rPr>
                <w:rFonts w:hint="eastAsia" w:ascii="宋体" w:hAnsi="宋体"/>
                <w:color w:val="auto"/>
                <w:sz w:val="18"/>
                <w:szCs w:val="18"/>
                <w:highlight w:val="none"/>
              </w:rPr>
            </w:pPr>
            <w:r>
              <w:rPr>
                <w:rFonts w:hint="eastAsia" w:ascii="宋体" w:hAnsi="宋体"/>
                <w:color w:val="auto"/>
                <w:sz w:val="18"/>
                <w:szCs w:val="18"/>
                <w:highlight w:val="none"/>
              </w:rPr>
              <w:t>达不到要求扣除</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分，扣完为止。</w:t>
            </w:r>
          </w:p>
        </w:tc>
      </w:tr>
      <w:tr w14:paraId="2839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C4D7A2B">
            <w:pPr>
              <w:keepNext w:val="0"/>
              <w:keepLines w:val="0"/>
              <w:pageBreakBefore w:val="0"/>
              <w:kinsoku/>
              <w:wordWrap/>
              <w:overflowPunct/>
              <w:topLinePunct w:val="0"/>
              <w:bidi w:val="0"/>
              <w:spacing w:after="60" w:line="440" w:lineRule="exact"/>
              <w:jc w:val="center"/>
              <w:textAlignment w:val="auto"/>
              <w:rPr>
                <w:rFonts w:hint="eastAsia" w:ascii="宋体" w:hAnsi="宋体" w:eastAsiaTheme="minorEastAsia"/>
                <w:color w:val="auto"/>
                <w:sz w:val="18"/>
                <w:szCs w:val="18"/>
                <w:highlight w:val="none"/>
                <w:lang w:val="en-US" w:eastAsia="zh-CN"/>
              </w:rPr>
            </w:pPr>
            <w:r>
              <w:rPr>
                <w:rFonts w:hint="eastAsia" w:ascii="宋体" w:hAnsi="宋体"/>
                <w:color w:val="auto"/>
                <w:sz w:val="18"/>
                <w:szCs w:val="18"/>
                <w:highlight w:val="none"/>
                <w:lang w:val="en-US" w:eastAsia="zh-CN"/>
              </w:rPr>
              <w:t>5</w:t>
            </w:r>
          </w:p>
        </w:tc>
        <w:tc>
          <w:tcPr>
            <w:tcW w:w="992" w:type="dxa"/>
            <w:vAlign w:val="center"/>
          </w:tcPr>
          <w:p w14:paraId="4394C9BD">
            <w:pPr>
              <w:keepNext w:val="0"/>
              <w:keepLines w:val="0"/>
              <w:pageBreakBefore w:val="0"/>
              <w:kinsoku/>
              <w:wordWrap/>
              <w:overflowPunct/>
              <w:topLinePunct w:val="0"/>
              <w:bidi w:val="0"/>
              <w:spacing w:after="60" w:line="440" w:lineRule="exact"/>
              <w:textAlignment w:val="auto"/>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垃圾清运要求</w:t>
            </w:r>
          </w:p>
        </w:tc>
        <w:tc>
          <w:tcPr>
            <w:tcW w:w="6379" w:type="dxa"/>
          </w:tcPr>
          <w:p w14:paraId="5E0111AF">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lang w:val="en-US" w:eastAsia="zh-CN"/>
              </w:rPr>
            </w:pPr>
            <w:r>
              <w:rPr>
                <w:rFonts w:hint="eastAsia" w:ascii="宋体" w:hAnsi="宋体" w:cs="仿宋"/>
                <w:color w:val="auto"/>
                <w:sz w:val="18"/>
                <w:szCs w:val="18"/>
                <w:highlight w:val="none"/>
                <w:lang w:val="en-US" w:eastAsia="zh-CN"/>
              </w:rPr>
              <w:t>1.根据项目实际情况设定垃圾清运时间和线路，要求清运公司按设定时间和线路进行清运。</w:t>
            </w:r>
          </w:p>
          <w:p w14:paraId="3DB45F1B">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lang w:val="en-US" w:eastAsia="zh-CN"/>
              </w:rPr>
            </w:pPr>
            <w:r>
              <w:rPr>
                <w:rFonts w:hint="eastAsia" w:ascii="宋体" w:hAnsi="宋体" w:cs="仿宋"/>
                <w:color w:val="auto"/>
                <w:sz w:val="18"/>
                <w:szCs w:val="18"/>
                <w:highlight w:val="none"/>
                <w:lang w:val="en-US" w:eastAsia="zh-CN"/>
              </w:rPr>
              <w:t>2.在垃圾清运时间段加大巡查频率，发现垃圾清运公司有以下行为要及时制止，现场不得有下列行为：</w:t>
            </w:r>
          </w:p>
          <w:p w14:paraId="611824E0">
            <w:pPr>
              <w:keepNext w:val="0"/>
              <w:keepLines w:val="0"/>
              <w:pageBreakBefore w:val="0"/>
              <w:kinsoku/>
              <w:wordWrap/>
              <w:overflowPunct/>
              <w:topLinePunct w:val="0"/>
              <w:bidi w:val="0"/>
              <w:spacing w:after="60" w:line="440" w:lineRule="exact"/>
              <w:ind w:firstLine="360" w:firstLineChars="200"/>
              <w:jc w:val="left"/>
              <w:textAlignment w:val="auto"/>
              <w:rPr>
                <w:rFonts w:hint="eastAsia" w:ascii="宋体" w:hAnsi="宋体" w:cs="仿宋"/>
                <w:color w:val="auto"/>
                <w:sz w:val="18"/>
                <w:szCs w:val="18"/>
                <w:highlight w:val="none"/>
                <w:lang w:val="en-US" w:eastAsia="zh-CN"/>
              </w:rPr>
            </w:pPr>
            <w:r>
              <w:rPr>
                <w:rFonts w:hint="eastAsia" w:ascii="宋体" w:hAnsi="宋体" w:cs="仿宋"/>
                <w:color w:val="auto"/>
                <w:sz w:val="18"/>
                <w:szCs w:val="18"/>
                <w:highlight w:val="none"/>
                <w:lang w:val="en-US" w:eastAsia="zh-CN"/>
              </w:rPr>
              <w:t>2.1现场吸烟。</w:t>
            </w:r>
          </w:p>
          <w:p w14:paraId="769475F7">
            <w:pPr>
              <w:keepNext w:val="0"/>
              <w:keepLines w:val="0"/>
              <w:pageBreakBefore w:val="0"/>
              <w:kinsoku/>
              <w:wordWrap/>
              <w:overflowPunct/>
              <w:topLinePunct w:val="0"/>
              <w:bidi w:val="0"/>
              <w:spacing w:after="60" w:line="440" w:lineRule="exact"/>
              <w:ind w:firstLine="360" w:firstLineChars="200"/>
              <w:jc w:val="left"/>
              <w:textAlignment w:val="auto"/>
              <w:rPr>
                <w:rFonts w:hint="eastAsia" w:ascii="宋体" w:hAnsi="宋体" w:cs="仿宋"/>
                <w:color w:val="auto"/>
                <w:sz w:val="18"/>
                <w:szCs w:val="18"/>
                <w:highlight w:val="none"/>
                <w:lang w:val="en-US" w:eastAsia="zh-CN"/>
              </w:rPr>
            </w:pPr>
            <w:r>
              <w:rPr>
                <w:rFonts w:hint="eastAsia" w:ascii="宋体" w:hAnsi="宋体" w:cs="仿宋"/>
                <w:color w:val="auto"/>
                <w:sz w:val="18"/>
                <w:szCs w:val="18"/>
                <w:highlight w:val="none"/>
                <w:lang w:val="en-US" w:eastAsia="zh-CN"/>
              </w:rPr>
              <w:t>2.2衣着不整、不文明作业。</w:t>
            </w:r>
          </w:p>
          <w:p w14:paraId="74CF0574">
            <w:pPr>
              <w:keepNext w:val="0"/>
              <w:keepLines w:val="0"/>
              <w:pageBreakBefore w:val="0"/>
              <w:kinsoku/>
              <w:wordWrap/>
              <w:overflowPunct/>
              <w:topLinePunct w:val="0"/>
              <w:bidi w:val="0"/>
              <w:spacing w:after="60" w:line="440" w:lineRule="exact"/>
              <w:ind w:firstLine="360" w:firstLineChars="200"/>
              <w:jc w:val="left"/>
              <w:textAlignment w:val="auto"/>
              <w:rPr>
                <w:rFonts w:hint="eastAsia" w:ascii="宋体" w:hAnsi="宋体" w:cs="仿宋"/>
                <w:color w:val="auto"/>
                <w:sz w:val="18"/>
                <w:szCs w:val="18"/>
                <w:highlight w:val="none"/>
                <w:lang w:val="en-US" w:eastAsia="zh-CN"/>
              </w:rPr>
            </w:pPr>
            <w:r>
              <w:rPr>
                <w:rFonts w:hint="eastAsia" w:ascii="宋体" w:hAnsi="宋体" w:cs="仿宋"/>
                <w:color w:val="auto"/>
                <w:sz w:val="18"/>
                <w:szCs w:val="18"/>
                <w:highlight w:val="none"/>
                <w:lang w:val="en-US" w:eastAsia="zh-CN"/>
              </w:rPr>
              <w:t>2.3在非垃圾房区域活动。</w:t>
            </w:r>
          </w:p>
          <w:p w14:paraId="2AB0F9CD">
            <w:pPr>
              <w:keepNext w:val="0"/>
              <w:keepLines w:val="0"/>
              <w:pageBreakBefore w:val="0"/>
              <w:kinsoku/>
              <w:wordWrap/>
              <w:overflowPunct/>
              <w:topLinePunct w:val="0"/>
              <w:bidi w:val="0"/>
              <w:spacing w:after="60" w:line="440" w:lineRule="exact"/>
              <w:ind w:firstLine="360" w:firstLineChars="200"/>
              <w:jc w:val="left"/>
              <w:textAlignment w:val="auto"/>
              <w:rPr>
                <w:rFonts w:hint="eastAsia" w:ascii="宋体" w:hAnsi="宋体" w:cs="仿宋"/>
                <w:color w:val="auto"/>
                <w:sz w:val="18"/>
                <w:szCs w:val="18"/>
                <w:highlight w:val="none"/>
                <w:lang w:val="en-US" w:eastAsia="zh-CN"/>
              </w:rPr>
            </w:pPr>
            <w:r>
              <w:rPr>
                <w:rFonts w:hint="eastAsia" w:ascii="宋体" w:hAnsi="宋体" w:cs="仿宋"/>
                <w:color w:val="auto"/>
                <w:sz w:val="18"/>
                <w:szCs w:val="18"/>
                <w:highlight w:val="none"/>
                <w:lang w:val="en-US" w:eastAsia="zh-CN"/>
              </w:rPr>
              <w:t>2.4清运过程中阻碍消防通道，挪用消防设施。</w:t>
            </w:r>
          </w:p>
          <w:p w14:paraId="4FDC2464">
            <w:pPr>
              <w:keepNext w:val="0"/>
              <w:keepLines w:val="0"/>
              <w:pageBreakBefore w:val="0"/>
              <w:kinsoku/>
              <w:wordWrap/>
              <w:overflowPunct/>
              <w:topLinePunct w:val="0"/>
              <w:bidi w:val="0"/>
              <w:spacing w:after="60" w:line="440" w:lineRule="exact"/>
              <w:ind w:firstLine="360" w:firstLineChars="200"/>
              <w:jc w:val="left"/>
              <w:textAlignment w:val="auto"/>
              <w:rPr>
                <w:rFonts w:hint="eastAsia" w:ascii="宋体" w:hAnsi="宋体" w:cs="仿宋"/>
                <w:color w:val="auto"/>
                <w:sz w:val="18"/>
                <w:szCs w:val="18"/>
                <w:highlight w:val="none"/>
                <w:lang w:val="en-US" w:eastAsia="zh-CN"/>
              </w:rPr>
            </w:pPr>
            <w:r>
              <w:rPr>
                <w:rFonts w:hint="eastAsia" w:ascii="宋体" w:hAnsi="宋体" w:cs="仿宋"/>
                <w:color w:val="auto"/>
                <w:sz w:val="18"/>
                <w:szCs w:val="18"/>
                <w:highlight w:val="none"/>
                <w:lang w:val="en-US" w:eastAsia="zh-CN"/>
              </w:rPr>
              <w:t>2.5清运过程破坏现场环境，损坏现场物品。</w:t>
            </w:r>
          </w:p>
          <w:p w14:paraId="1D46888A">
            <w:pPr>
              <w:keepNext w:val="0"/>
              <w:keepLines w:val="0"/>
              <w:pageBreakBefore w:val="0"/>
              <w:kinsoku/>
              <w:wordWrap/>
              <w:overflowPunct/>
              <w:topLinePunct w:val="0"/>
              <w:bidi w:val="0"/>
              <w:spacing w:after="60" w:line="440" w:lineRule="exact"/>
              <w:ind w:firstLine="360" w:firstLineChars="200"/>
              <w:jc w:val="left"/>
              <w:textAlignment w:val="auto"/>
              <w:rPr>
                <w:rFonts w:hint="eastAsia" w:ascii="宋体" w:hAnsi="宋体" w:cs="仿宋"/>
                <w:color w:val="auto"/>
                <w:sz w:val="18"/>
                <w:szCs w:val="18"/>
                <w:highlight w:val="none"/>
                <w:lang w:val="en-US" w:eastAsia="zh-CN"/>
              </w:rPr>
            </w:pPr>
            <w:r>
              <w:rPr>
                <w:rFonts w:hint="eastAsia" w:ascii="宋体" w:hAnsi="宋体" w:cs="仿宋"/>
                <w:color w:val="auto"/>
                <w:sz w:val="18"/>
                <w:szCs w:val="18"/>
                <w:highlight w:val="none"/>
                <w:lang w:val="en-US" w:eastAsia="zh-CN"/>
              </w:rPr>
              <w:t>2.6存在安全隐患的。</w:t>
            </w:r>
          </w:p>
          <w:p w14:paraId="67D23E3E">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lang w:val="en-US" w:eastAsia="zh-CN"/>
              </w:rPr>
            </w:pPr>
            <w:r>
              <w:rPr>
                <w:rFonts w:hint="eastAsia" w:ascii="宋体" w:hAnsi="宋体" w:cs="仿宋"/>
                <w:color w:val="auto"/>
                <w:sz w:val="18"/>
                <w:szCs w:val="18"/>
                <w:highlight w:val="none"/>
                <w:lang w:val="en-US" w:eastAsia="zh-CN"/>
              </w:rPr>
              <w:t>3.每天早上对生活垃圾清运外包方的清运效果进行验证，如没达到合同约定的质量标准，立即通知外包方进行后续跟踪处理，如出现合同约定的违约责任的行为时，将出具《整改通知单》要求限期整改。</w:t>
            </w:r>
          </w:p>
          <w:p w14:paraId="03B73824">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lang w:val="en-US" w:eastAsia="zh-CN"/>
              </w:rPr>
            </w:pPr>
            <w:r>
              <w:rPr>
                <w:rFonts w:hint="eastAsia" w:ascii="宋体" w:hAnsi="宋体" w:cs="仿宋"/>
                <w:color w:val="auto"/>
                <w:sz w:val="18"/>
                <w:szCs w:val="18"/>
                <w:highlight w:val="none"/>
                <w:lang w:val="en-US" w:eastAsia="zh-CN"/>
              </w:rPr>
              <w:t>4.生活垃圾日产日清。</w:t>
            </w:r>
          </w:p>
          <w:p w14:paraId="05AB76DB">
            <w:pPr>
              <w:keepNext w:val="0"/>
              <w:keepLines w:val="0"/>
              <w:pageBreakBefore w:val="0"/>
              <w:kinsoku/>
              <w:wordWrap/>
              <w:overflowPunct/>
              <w:topLinePunct w:val="0"/>
              <w:bidi w:val="0"/>
              <w:spacing w:after="60" w:line="440" w:lineRule="exact"/>
              <w:jc w:val="left"/>
              <w:textAlignment w:val="auto"/>
              <w:rPr>
                <w:rFonts w:hint="eastAsia" w:ascii="宋体" w:hAnsi="宋体" w:cs="仿宋"/>
                <w:color w:val="auto"/>
                <w:sz w:val="18"/>
                <w:szCs w:val="18"/>
                <w:highlight w:val="none"/>
                <w:lang w:val="en-US" w:eastAsia="zh-CN"/>
              </w:rPr>
            </w:pPr>
          </w:p>
        </w:tc>
        <w:tc>
          <w:tcPr>
            <w:tcW w:w="709" w:type="dxa"/>
            <w:vAlign w:val="center"/>
          </w:tcPr>
          <w:p w14:paraId="61B5315D">
            <w:pPr>
              <w:keepNext w:val="0"/>
              <w:keepLines w:val="0"/>
              <w:pageBreakBefore w:val="0"/>
              <w:kinsoku/>
              <w:wordWrap/>
              <w:overflowPunct/>
              <w:topLinePunct w:val="0"/>
              <w:bidi w:val="0"/>
              <w:spacing w:after="60" w:line="440" w:lineRule="exact"/>
              <w:jc w:val="center"/>
              <w:textAlignment w:val="auto"/>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15</w:t>
            </w:r>
          </w:p>
        </w:tc>
        <w:tc>
          <w:tcPr>
            <w:tcW w:w="1275" w:type="dxa"/>
          </w:tcPr>
          <w:p w14:paraId="7F5144C4">
            <w:pPr>
              <w:keepNext w:val="0"/>
              <w:keepLines w:val="0"/>
              <w:pageBreakBefore w:val="0"/>
              <w:kinsoku/>
              <w:wordWrap/>
              <w:overflowPunct/>
              <w:topLinePunct w:val="0"/>
              <w:bidi w:val="0"/>
              <w:spacing w:after="60" w:line="440" w:lineRule="exact"/>
              <w:textAlignment w:val="auto"/>
              <w:rPr>
                <w:rFonts w:ascii="宋体" w:hAnsi="宋体"/>
                <w:color w:val="auto"/>
                <w:sz w:val="18"/>
                <w:szCs w:val="18"/>
                <w:highlight w:val="none"/>
              </w:rPr>
            </w:pPr>
            <w:r>
              <w:rPr>
                <w:rFonts w:hint="eastAsia" w:ascii="宋体" w:hAnsi="宋体"/>
                <w:color w:val="auto"/>
                <w:sz w:val="18"/>
                <w:szCs w:val="18"/>
                <w:highlight w:val="none"/>
              </w:rPr>
              <w:t>一项一次</w:t>
            </w:r>
          </w:p>
          <w:p w14:paraId="5E7E248F">
            <w:pPr>
              <w:keepNext w:val="0"/>
              <w:keepLines w:val="0"/>
              <w:pageBreakBefore w:val="0"/>
              <w:kinsoku/>
              <w:wordWrap/>
              <w:overflowPunct/>
              <w:topLinePunct w:val="0"/>
              <w:bidi w:val="0"/>
              <w:spacing w:after="60" w:line="440" w:lineRule="exact"/>
              <w:textAlignment w:val="auto"/>
              <w:rPr>
                <w:rFonts w:hint="eastAsia" w:ascii="宋体" w:hAnsi="宋体"/>
                <w:color w:val="auto"/>
                <w:sz w:val="18"/>
                <w:szCs w:val="18"/>
                <w:highlight w:val="none"/>
              </w:rPr>
            </w:pPr>
            <w:r>
              <w:rPr>
                <w:rFonts w:hint="eastAsia" w:ascii="宋体" w:hAnsi="宋体"/>
                <w:color w:val="auto"/>
                <w:sz w:val="18"/>
                <w:szCs w:val="18"/>
                <w:highlight w:val="none"/>
              </w:rPr>
              <w:t>达不到要求扣除</w:t>
            </w: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分，扣完为止。</w:t>
            </w:r>
          </w:p>
        </w:tc>
      </w:tr>
      <w:tr w14:paraId="443B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5"/>
            <w:vAlign w:val="center"/>
          </w:tcPr>
          <w:p w14:paraId="2DF8A9C6">
            <w:pPr>
              <w:keepNext w:val="0"/>
              <w:keepLines w:val="0"/>
              <w:pageBreakBefore w:val="0"/>
              <w:widowControl w:val="0"/>
              <w:kinsoku/>
              <w:wordWrap/>
              <w:overflowPunct/>
              <w:topLinePunct w:val="0"/>
              <w:autoSpaceDE/>
              <w:autoSpaceDN/>
              <w:bidi w:val="0"/>
              <w:adjustRightInd/>
              <w:snapToGrid/>
              <w:spacing w:after="60" w:line="440" w:lineRule="exact"/>
              <w:jc w:val="left"/>
              <w:textAlignment w:val="auto"/>
              <w:rPr>
                <w:rFonts w:hint="eastAsia" w:ascii="宋体" w:hAnsi="宋体" w:eastAsia="宋体" w:cs="仿宋"/>
                <w:color w:val="auto"/>
                <w:sz w:val="18"/>
                <w:szCs w:val="18"/>
                <w:highlight w:val="none"/>
                <w:lang w:val="en-US" w:eastAsia="zh-CN"/>
              </w:rPr>
            </w:pPr>
            <w:r>
              <w:rPr>
                <w:rFonts w:hint="eastAsia" w:ascii="宋体" w:hAnsi="宋体"/>
                <w:b/>
                <w:bCs/>
                <w:color w:val="auto"/>
                <w:sz w:val="18"/>
                <w:szCs w:val="18"/>
                <w:highlight w:val="none"/>
                <w:lang w:val="en-US" w:eastAsia="zh-CN"/>
              </w:rPr>
              <w:t>说明：</w:t>
            </w:r>
            <w:r>
              <w:rPr>
                <w:rFonts w:hint="eastAsia" w:ascii="宋体" w:hAnsi="宋体" w:eastAsia="宋体" w:cs="仿宋"/>
                <w:color w:val="auto"/>
                <w:sz w:val="18"/>
                <w:szCs w:val="18"/>
                <w:highlight w:val="none"/>
                <w:lang w:val="en-US" w:eastAsia="zh-CN"/>
              </w:rPr>
              <w:t>1.得分90分以上，全额支付当月款项。</w:t>
            </w:r>
          </w:p>
          <w:p w14:paraId="45ECF085">
            <w:pPr>
              <w:keepNext w:val="0"/>
              <w:keepLines w:val="0"/>
              <w:pageBreakBefore w:val="0"/>
              <w:widowControl w:val="0"/>
              <w:kinsoku/>
              <w:wordWrap/>
              <w:overflowPunct/>
              <w:topLinePunct w:val="0"/>
              <w:autoSpaceDE/>
              <w:autoSpaceDN/>
              <w:bidi w:val="0"/>
              <w:adjustRightInd/>
              <w:snapToGrid/>
              <w:spacing w:after="60" w:line="440" w:lineRule="exact"/>
              <w:ind w:firstLine="540" w:firstLineChars="300"/>
              <w:jc w:val="left"/>
              <w:textAlignment w:val="auto"/>
              <w:rPr>
                <w:rFonts w:hint="eastAsia" w:ascii="宋体" w:hAnsi="宋体" w:eastAsia="宋体" w:cs="仿宋"/>
                <w:color w:val="auto"/>
                <w:sz w:val="18"/>
                <w:szCs w:val="18"/>
                <w:highlight w:val="none"/>
                <w:lang w:val="en-US" w:eastAsia="zh-CN"/>
              </w:rPr>
            </w:pPr>
            <w:r>
              <w:rPr>
                <w:rFonts w:hint="eastAsia" w:ascii="宋体" w:hAnsi="宋体" w:eastAsia="宋体" w:cs="仿宋"/>
                <w:color w:val="auto"/>
                <w:sz w:val="18"/>
                <w:szCs w:val="18"/>
                <w:highlight w:val="none"/>
                <w:lang w:val="en-US" w:eastAsia="zh-CN"/>
              </w:rPr>
              <w:t>2.得分80—89分，扣除当期应支付额的1.5%。</w:t>
            </w:r>
          </w:p>
          <w:p w14:paraId="2708B77B">
            <w:pPr>
              <w:keepNext w:val="0"/>
              <w:keepLines w:val="0"/>
              <w:pageBreakBefore w:val="0"/>
              <w:widowControl w:val="0"/>
              <w:kinsoku/>
              <w:wordWrap/>
              <w:overflowPunct/>
              <w:topLinePunct w:val="0"/>
              <w:autoSpaceDE/>
              <w:autoSpaceDN/>
              <w:bidi w:val="0"/>
              <w:adjustRightInd/>
              <w:snapToGrid/>
              <w:spacing w:line="440" w:lineRule="exact"/>
              <w:ind w:firstLine="540" w:firstLineChars="300"/>
              <w:jc w:val="left"/>
              <w:textAlignment w:val="auto"/>
              <w:rPr>
                <w:rFonts w:hint="eastAsia" w:ascii="宋体" w:hAnsi="宋体"/>
                <w:color w:val="auto"/>
                <w:sz w:val="18"/>
                <w:szCs w:val="18"/>
                <w:highlight w:val="none"/>
              </w:rPr>
            </w:pPr>
            <w:r>
              <w:rPr>
                <w:rFonts w:hint="eastAsia" w:ascii="宋体" w:hAnsi="宋体" w:eastAsia="宋体" w:cs="仿宋"/>
                <w:color w:val="auto"/>
                <w:sz w:val="18"/>
                <w:szCs w:val="18"/>
                <w:highlight w:val="none"/>
                <w:lang w:val="en-US" w:eastAsia="zh-CN"/>
              </w:rPr>
              <w:t>3.得分80分以下，扣除当期应支付额的3%。</w:t>
            </w:r>
          </w:p>
        </w:tc>
      </w:tr>
    </w:tbl>
    <w:p w14:paraId="7C206235">
      <w:pPr>
        <w:pStyle w:val="18"/>
        <w:keepNext w:val="0"/>
        <w:keepLines w:val="0"/>
        <w:pageBreakBefore w:val="0"/>
        <w:kinsoku/>
        <w:wordWrap/>
        <w:overflowPunct/>
        <w:topLinePunct w:val="0"/>
        <w:autoSpaceDE w:val="0"/>
        <w:autoSpaceDN w:val="0"/>
        <w:bidi w:val="0"/>
        <w:adjustRightInd w:val="0"/>
        <w:spacing w:line="440" w:lineRule="exact"/>
        <w:jc w:val="left"/>
        <w:textAlignment w:val="auto"/>
        <w:rPr>
          <w:rFonts w:hint="eastAsia" w:asciiTheme="minorEastAsia" w:hAnsiTheme="minorEastAsia" w:eastAsiaTheme="minorEastAsia" w:cstheme="minorEastAsia"/>
          <w:b/>
          <w:bCs/>
          <w:color w:val="auto"/>
          <w:sz w:val="28"/>
          <w:szCs w:val="28"/>
          <w:highlight w:val="none"/>
        </w:rPr>
        <w:sectPr>
          <w:pgSz w:w="11906" w:h="16838"/>
          <w:pgMar w:top="1440" w:right="1576" w:bottom="1446" w:left="1576" w:header="851" w:footer="992" w:gutter="0"/>
          <w:cols w:space="720" w:num="1"/>
          <w:docGrid w:type="lines" w:linePitch="312" w:charSpace="0"/>
        </w:sectPr>
      </w:pPr>
    </w:p>
    <w:p w14:paraId="038B411C">
      <w:pPr>
        <w:pStyle w:val="18"/>
        <w:keepNext w:val="0"/>
        <w:keepLines w:val="0"/>
        <w:pageBreakBefore w:val="0"/>
        <w:kinsoku/>
        <w:wordWrap/>
        <w:overflowPunct/>
        <w:topLinePunct w:val="0"/>
        <w:autoSpaceDE w:val="0"/>
        <w:autoSpaceDN w:val="0"/>
        <w:bidi w:val="0"/>
        <w:adjustRightInd w:val="0"/>
        <w:spacing w:line="440" w:lineRule="exact"/>
        <w:jc w:val="left"/>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eastAsiaTheme="minorEastAsia" w:cstheme="minorEastAsia"/>
          <w:b/>
          <w:bCs/>
          <w:color w:val="auto"/>
          <w:sz w:val="28"/>
          <w:szCs w:val="28"/>
          <w:highlight w:val="none"/>
          <w:lang w:val="en-US" w:eastAsia="zh-CN"/>
        </w:rPr>
        <w:t>3</w:t>
      </w:r>
      <w:r>
        <w:rPr>
          <w:rFonts w:hint="eastAsia" w:asciiTheme="minorEastAsia" w:hAnsiTheme="minorEastAsia" w:eastAsiaTheme="minorEastAsia" w:cstheme="minorEastAsia"/>
          <w:b/>
          <w:bCs/>
          <w:color w:val="auto"/>
          <w:sz w:val="28"/>
          <w:szCs w:val="28"/>
          <w:highlight w:val="none"/>
        </w:rPr>
        <w:t>：</w:t>
      </w:r>
    </w:p>
    <w:p w14:paraId="668327DA">
      <w:pPr>
        <w:keepNext w:val="0"/>
        <w:keepLines w:val="0"/>
        <w:pageBreakBefore w:val="0"/>
        <w:kinsoku/>
        <w:wordWrap/>
        <w:overflowPunct/>
        <w:topLinePunct w:val="0"/>
        <w:bidi w:val="0"/>
        <w:spacing w:line="440" w:lineRule="exact"/>
        <w:textAlignment w:val="auto"/>
        <w:rPr>
          <w:rFonts w:hint="eastAsia" w:ascii="仿宋_GB2312" w:eastAsia="仿宋_GB2312"/>
          <w:color w:val="auto"/>
          <w:sz w:val="32"/>
          <w:szCs w:val="32"/>
          <w:highlight w:val="none"/>
        </w:rPr>
      </w:pPr>
    </w:p>
    <w:p w14:paraId="5DD170D5">
      <w:pPr>
        <w:keepNext w:val="0"/>
        <w:keepLines w:val="0"/>
        <w:pageBreakBefore w:val="0"/>
        <w:kinsoku/>
        <w:wordWrap/>
        <w:overflowPunct/>
        <w:topLinePunct w:val="0"/>
        <w:bidi w:val="0"/>
        <w:spacing w:line="440" w:lineRule="exact"/>
        <w:jc w:val="center"/>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服务类合同履约评价表</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327"/>
        <w:gridCol w:w="1132"/>
        <w:gridCol w:w="1036"/>
        <w:gridCol w:w="1228"/>
        <w:gridCol w:w="1223"/>
        <w:gridCol w:w="7"/>
      </w:tblGrid>
      <w:tr w14:paraId="4393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tcPr>
          <w:p w14:paraId="79665014">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评价日期</w:t>
            </w:r>
          </w:p>
          <w:p w14:paraId="1C583475">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3327" w:type="dxa"/>
          </w:tcPr>
          <w:p w14:paraId="5F4E23E7">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132" w:type="dxa"/>
          </w:tcPr>
          <w:p w14:paraId="394CBC6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被评价单位：</w:t>
            </w:r>
          </w:p>
        </w:tc>
        <w:tc>
          <w:tcPr>
            <w:tcW w:w="3494" w:type="dxa"/>
            <w:gridSpan w:val="4"/>
          </w:tcPr>
          <w:p w14:paraId="04006681">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7C80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tcPr>
          <w:p w14:paraId="41BC318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 w:val="24"/>
                <w:highlight w:val="none"/>
              </w:rPr>
              <w:t>主办部门：</w:t>
            </w:r>
            <w:r>
              <w:rPr>
                <w:rFonts w:hint="eastAsia" w:ascii="仿宋_GB2312" w:eastAsia="仿宋_GB2312"/>
                <w:color w:val="auto"/>
                <w:sz w:val="32"/>
                <w:szCs w:val="32"/>
                <w:highlight w:val="none"/>
              </w:rPr>
              <w:t xml:space="preserve"> </w:t>
            </w:r>
          </w:p>
        </w:tc>
        <w:tc>
          <w:tcPr>
            <w:tcW w:w="3327" w:type="dxa"/>
          </w:tcPr>
          <w:p w14:paraId="4A143A7A">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132" w:type="dxa"/>
          </w:tcPr>
          <w:p w14:paraId="50AECFE4">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 w:val="24"/>
                <w:highlight w:val="none"/>
              </w:rPr>
              <w:t>评价人：</w:t>
            </w:r>
            <w:r>
              <w:rPr>
                <w:rFonts w:hint="eastAsia" w:ascii="仿宋_GB2312" w:eastAsia="仿宋_GB2312"/>
                <w:color w:val="auto"/>
                <w:sz w:val="32"/>
                <w:szCs w:val="32"/>
                <w:highlight w:val="none"/>
              </w:rPr>
              <w:t xml:space="preserve">    </w:t>
            </w:r>
          </w:p>
        </w:tc>
        <w:tc>
          <w:tcPr>
            <w:tcW w:w="3494" w:type="dxa"/>
            <w:gridSpan w:val="4"/>
          </w:tcPr>
          <w:p w14:paraId="08828DC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3BC5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07" w:type="dxa"/>
          </w:tcPr>
          <w:p w14:paraId="0E5B8D47">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合同名称</w:t>
            </w:r>
          </w:p>
        </w:tc>
        <w:tc>
          <w:tcPr>
            <w:tcW w:w="3327" w:type="dxa"/>
          </w:tcPr>
          <w:p w14:paraId="66844DC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132" w:type="dxa"/>
          </w:tcPr>
          <w:p w14:paraId="129515FE">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合同编号</w:t>
            </w:r>
          </w:p>
        </w:tc>
        <w:tc>
          <w:tcPr>
            <w:tcW w:w="3494" w:type="dxa"/>
            <w:gridSpan w:val="4"/>
          </w:tcPr>
          <w:p w14:paraId="0F6AA5D4">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28AF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Pr>
          <w:p w14:paraId="63648F83">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分项内容</w:t>
            </w:r>
          </w:p>
        </w:tc>
        <w:tc>
          <w:tcPr>
            <w:tcW w:w="3327" w:type="dxa"/>
          </w:tcPr>
          <w:p w14:paraId="12E81C8F">
            <w:pPr>
              <w:keepNext w:val="0"/>
              <w:keepLines w:val="0"/>
              <w:pageBreakBefore w:val="0"/>
              <w:kinsoku/>
              <w:wordWrap/>
              <w:overflowPunct/>
              <w:topLinePunct w:val="0"/>
              <w:bidi w:val="0"/>
              <w:spacing w:line="440" w:lineRule="exact"/>
              <w:ind w:firstLine="420" w:firstLineChars="200"/>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一般情形评价指标</w:t>
            </w:r>
          </w:p>
        </w:tc>
        <w:tc>
          <w:tcPr>
            <w:tcW w:w="1132" w:type="dxa"/>
          </w:tcPr>
          <w:p w14:paraId="059D6565">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分值</w:t>
            </w:r>
          </w:p>
        </w:tc>
        <w:tc>
          <w:tcPr>
            <w:tcW w:w="1036" w:type="dxa"/>
          </w:tcPr>
          <w:p w14:paraId="032EA20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扣分</w:t>
            </w:r>
          </w:p>
        </w:tc>
        <w:tc>
          <w:tcPr>
            <w:tcW w:w="1228" w:type="dxa"/>
          </w:tcPr>
          <w:p w14:paraId="7012F502">
            <w:pPr>
              <w:keepNext w:val="0"/>
              <w:keepLines w:val="0"/>
              <w:pageBreakBefore w:val="0"/>
              <w:kinsoku/>
              <w:wordWrap/>
              <w:overflowPunct/>
              <w:topLinePunct w:val="0"/>
              <w:bidi w:val="0"/>
              <w:spacing w:line="440" w:lineRule="exact"/>
              <w:ind w:firstLine="420" w:firstLineChars="200"/>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得分</w:t>
            </w:r>
          </w:p>
        </w:tc>
        <w:tc>
          <w:tcPr>
            <w:tcW w:w="1230" w:type="dxa"/>
            <w:gridSpan w:val="2"/>
          </w:tcPr>
          <w:p w14:paraId="7BADA17B">
            <w:pPr>
              <w:keepNext w:val="0"/>
              <w:keepLines w:val="0"/>
              <w:pageBreakBefore w:val="0"/>
              <w:kinsoku/>
              <w:wordWrap/>
              <w:overflowPunct/>
              <w:topLinePunct w:val="0"/>
              <w:bidi w:val="0"/>
              <w:spacing w:line="440" w:lineRule="exact"/>
              <w:ind w:firstLine="420" w:firstLineChars="200"/>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备注</w:t>
            </w:r>
          </w:p>
        </w:tc>
      </w:tr>
      <w:tr w14:paraId="0A00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restart"/>
          </w:tcPr>
          <w:p w14:paraId="4545A9D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服务水平</w:t>
            </w:r>
          </w:p>
        </w:tc>
        <w:tc>
          <w:tcPr>
            <w:tcW w:w="3327" w:type="dxa"/>
          </w:tcPr>
          <w:p w14:paraId="2934038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服务方案表达是否清晰，是否存在歧义。</w:t>
            </w:r>
          </w:p>
        </w:tc>
        <w:tc>
          <w:tcPr>
            <w:tcW w:w="1132" w:type="dxa"/>
          </w:tcPr>
          <w:p w14:paraId="1F89425D">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6</w:t>
            </w:r>
          </w:p>
        </w:tc>
        <w:tc>
          <w:tcPr>
            <w:tcW w:w="1036" w:type="dxa"/>
          </w:tcPr>
          <w:p w14:paraId="62178B8E">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1744473B">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vMerge w:val="restart"/>
          </w:tcPr>
          <w:p w14:paraId="045FC93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扣分说明：合同相对方存在评价内容情形的，直接扣除对应分值分数，反之得到对应分值分数。</w:t>
            </w:r>
          </w:p>
        </w:tc>
      </w:tr>
      <w:tr w14:paraId="01B1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006C347D">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3327" w:type="dxa"/>
          </w:tcPr>
          <w:p w14:paraId="75EE6C51">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服务方案能否准确反映公司提出的要求。</w:t>
            </w:r>
          </w:p>
        </w:tc>
        <w:tc>
          <w:tcPr>
            <w:tcW w:w="1132" w:type="dxa"/>
          </w:tcPr>
          <w:p w14:paraId="38085EB0">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7</w:t>
            </w:r>
          </w:p>
        </w:tc>
        <w:tc>
          <w:tcPr>
            <w:tcW w:w="1036" w:type="dxa"/>
          </w:tcPr>
          <w:p w14:paraId="5ACA02DB">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5D5C146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vMerge w:val="continue"/>
          </w:tcPr>
          <w:p w14:paraId="5C7F152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03F8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60FD591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3327" w:type="dxa"/>
          </w:tcPr>
          <w:p w14:paraId="3B003883">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服务方案是否均有深入的分析，是否全面涵盖项目内容且有充分理由及法律依据。</w:t>
            </w:r>
          </w:p>
        </w:tc>
        <w:tc>
          <w:tcPr>
            <w:tcW w:w="1132" w:type="dxa"/>
          </w:tcPr>
          <w:p w14:paraId="7B289AA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10</w:t>
            </w:r>
          </w:p>
        </w:tc>
        <w:tc>
          <w:tcPr>
            <w:tcW w:w="1036" w:type="dxa"/>
          </w:tcPr>
          <w:p w14:paraId="5A535FB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34792A6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vMerge w:val="continue"/>
          </w:tcPr>
          <w:p w14:paraId="2EFBEB4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09BC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tcPr>
          <w:p w14:paraId="0B20A9F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3327" w:type="dxa"/>
          </w:tcPr>
          <w:p w14:paraId="1B3EF5B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服务方案是否囊括风险点且具有前瞻性。</w:t>
            </w:r>
          </w:p>
        </w:tc>
        <w:tc>
          <w:tcPr>
            <w:tcW w:w="1132" w:type="dxa"/>
          </w:tcPr>
          <w:p w14:paraId="46886BC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7</w:t>
            </w:r>
          </w:p>
        </w:tc>
        <w:tc>
          <w:tcPr>
            <w:tcW w:w="1036" w:type="dxa"/>
          </w:tcPr>
          <w:p w14:paraId="45B1386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0BAA188D">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vMerge w:val="continue"/>
          </w:tcPr>
          <w:p w14:paraId="708836C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4C1B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tcPr>
          <w:p w14:paraId="5B3EADE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3327" w:type="dxa"/>
          </w:tcPr>
          <w:p w14:paraId="6526FD2A">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出具服务方案是否存在延误情形</w:t>
            </w:r>
          </w:p>
        </w:tc>
        <w:tc>
          <w:tcPr>
            <w:tcW w:w="1132" w:type="dxa"/>
          </w:tcPr>
          <w:p w14:paraId="26E369E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5</w:t>
            </w:r>
          </w:p>
        </w:tc>
        <w:tc>
          <w:tcPr>
            <w:tcW w:w="1036" w:type="dxa"/>
          </w:tcPr>
          <w:p w14:paraId="61D08FF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66A5EA0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vMerge w:val="continue"/>
          </w:tcPr>
          <w:p w14:paraId="53802BE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1489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1E4EE9C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3327" w:type="dxa"/>
          </w:tcPr>
          <w:p w14:paraId="3643997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（存在其中一项即扣除26分）</w:t>
            </w:r>
            <w:r>
              <w:rPr>
                <w:rFonts w:ascii="Calibri" w:hAnsi="Calibri" w:eastAsia="仿宋_GB2312" w:cs="Calibri"/>
                <w:color w:val="auto"/>
                <w:szCs w:val="21"/>
                <w:highlight w:val="none"/>
              </w:rPr>
              <w:t>①</w:t>
            </w:r>
            <w:r>
              <w:rPr>
                <w:rFonts w:hint="eastAsia" w:ascii="仿宋_GB2312" w:eastAsia="仿宋_GB2312"/>
                <w:color w:val="auto"/>
                <w:szCs w:val="21"/>
                <w:highlight w:val="none"/>
              </w:rPr>
              <w:t>服务方案反复修改次数超过3次才能完成；</w:t>
            </w:r>
            <w:r>
              <w:rPr>
                <w:rFonts w:ascii="Calibri" w:hAnsi="Calibri" w:eastAsia="仿宋_GB2312" w:cs="Calibri"/>
                <w:color w:val="auto"/>
                <w:szCs w:val="21"/>
                <w:highlight w:val="none"/>
              </w:rPr>
              <w:t>②</w:t>
            </w:r>
            <w:r>
              <w:rPr>
                <w:rFonts w:hint="eastAsia" w:ascii="仿宋_GB2312" w:eastAsia="仿宋_GB2312"/>
                <w:color w:val="auto"/>
                <w:szCs w:val="21"/>
                <w:highlight w:val="none"/>
              </w:rPr>
              <w:t>多次反复沟通协调后出具的服务方案仍未能完全满足项目要求的</w:t>
            </w:r>
            <w:r>
              <w:rPr>
                <w:rFonts w:hint="eastAsia" w:ascii="Calibri" w:hAnsi="Calibri" w:eastAsia="仿宋_GB2312" w:cs="Calibri"/>
                <w:color w:val="auto"/>
                <w:szCs w:val="21"/>
                <w:highlight w:val="none"/>
              </w:rPr>
              <w:t>；</w:t>
            </w:r>
            <w:r>
              <w:rPr>
                <w:rFonts w:ascii="Calibri" w:hAnsi="Calibri" w:eastAsia="Gulim" w:cs="Calibri"/>
                <w:color w:val="auto"/>
                <w:szCs w:val="21"/>
                <w:highlight w:val="none"/>
              </w:rPr>
              <w:t>③</w:t>
            </w:r>
            <w:r>
              <w:rPr>
                <w:rFonts w:hint="eastAsia" w:ascii="仿宋_GB2312" w:eastAsia="仿宋_GB2312"/>
                <w:color w:val="auto"/>
                <w:szCs w:val="21"/>
                <w:highlight w:val="none"/>
              </w:rPr>
              <w:t>未推荐或未提供保障公司最大利益的方案；</w:t>
            </w:r>
            <w:r>
              <w:rPr>
                <w:rFonts w:ascii="Calibri" w:hAnsi="Calibri" w:eastAsia="Gulim" w:cs="Calibri"/>
                <w:color w:val="auto"/>
                <w:szCs w:val="21"/>
                <w:highlight w:val="none"/>
              </w:rPr>
              <w:t>④</w:t>
            </w:r>
            <w:r>
              <w:rPr>
                <w:rFonts w:hint="eastAsia" w:ascii="仿宋_GB2312" w:eastAsia="仿宋_GB2312"/>
                <w:color w:val="auto"/>
                <w:szCs w:val="21"/>
                <w:highlight w:val="none"/>
              </w:rPr>
              <w:t>存在</w:t>
            </w:r>
            <w:r>
              <w:rPr>
                <w:rFonts w:hint="eastAsia" w:ascii="仿宋_GB2312" w:eastAsia="仿宋_GB2312"/>
                <w:color w:val="auto"/>
                <w:szCs w:val="21"/>
                <w:highlight w:val="none"/>
                <w:lang w:eastAsia="zh-CN"/>
              </w:rPr>
              <w:t>其他不符合</w:t>
            </w:r>
            <w:r>
              <w:rPr>
                <w:rFonts w:hint="eastAsia" w:ascii="仿宋_GB2312" w:eastAsia="仿宋_GB2312"/>
                <w:color w:val="auto"/>
                <w:szCs w:val="21"/>
                <w:highlight w:val="none"/>
              </w:rPr>
              <w:t>合同要求未及时整改的，但未造成不良影响的。</w:t>
            </w:r>
          </w:p>
        </w:tc>
        <w:tc>
          <w:tcPr>
            <w:tcW w:w="1132" w:type="dxa"/>
          </w:tcPr>
          <w:p w14:paraId="372E2DEB">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26</w:t>
            </w:r>
          </w:p>
        </w:tc>
        <w:tc>
          <w:tcPr>
            <w:tcW w:w="1036" w:type="dxa"/>
          </w:tcPr>
          <w:p w14:paraId="62A6D651">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136C1317">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vMerge w:val="continue"/>
          </w:tcPr>
          <w:p w14:paraId="32B6072D">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3588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7" w:type="dxa"/>
            <w:vMerge w:val="restart"/>
          </w:tcPr>
          <w:p w14:paraId="7503629E">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响应程度及服务态度</w:t>
            </w:r>
          </w:p>
        </w:tc>
        <w:tc>
          <w:tcPr>
            <w:tcW w:w="3327" w:type="dxa"/>
          </w:tcPr>
          <w:p w14:paraId="08796DB9">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响应程度差，积极性不强，经多次催促才配合项目进程。</w:t>
            </w:r>
          </w:p>
        </w:tc>
        <w:tc>
          <w:tcPr>
            <w:tcW w:w="1132" w:type="dxa"/>
          </w:tcPr>
          <w:p w14:paraId="709B5593">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26</w:t>
            </w:r>
          </w:p>
        </w:tc>
        <w:tc>
          <w:tcPr>
            <w:tcW w:w="1036" w:type="dxa"/>
          </w:tcPr>
          <w:p w14:paraId="75A2E9C5">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07CA8A24">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vMerge w:val="continue"/>
          </w:tcPr>
          <w:p w14:paraId="370D3234">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1F87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07" w:type="dxa"/>
            <w:vMerge w:val="continue"/>
          </w:tcPr>
          <w:p w14:paraId="2D4CEFF3">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3327" w:type="dxa"/>
          </w:tcPr>
          <w:p w14:paraId="4FE2FD5B">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服务团队是否稳定，是否经常变更。</w:t>
            </w:r>
          </w:p>
        </w:tc>
        <w:tc>
          <w:tcPr>
            <w:tcW w:w="1132" w:type="dxa"/>
          </w:tcPr>
          <w:p w14:paraId="7609C824">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4</w:t>
            </w:r>
          </w:p>
        </w:tc>
        <w:tc>
          <w:tcPr>
            <w:tcW w:w="1036" w:type="dxa"/>
          </w:tcPr>
          <w:p w14:paraId="6353D13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34AD52CA">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vMerge w:val="continue"/>
          </w:tcPr>
          <w:p w14:paraId="76D8E1A0">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7EEA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0D5DBA7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3327" w:type="dxa"/>
          </w:tcPr>
          <w:p w14:paraId="122063B1">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 xml:space="preserve">服务团队人员资质是否符合项目要求。 </w:t>
            </w:r>
          </w:p>
        </w:tc>
        <w:tc>
          <w:tcPr>
            <w:tcW w:w="1132" w:type="dxa"/>
          </w:tcPr>
          <w:p w14:paraId="238E547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4</w:t>
            </w:r>
          </w:p>
        </w:tc>
        <w:tc>
          <w:tcPr>
            <w:tcW w:w="1036" w:type="dxa"/>
          </w:tcPr>
          <w:p w14:paraId="00764D8E">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5677474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vMerge w:val="continue"/>
          </w:tcPr>
          <w:p w14:paraId="6898DD6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1264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55C36E99">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3327" w:type="dxa"/>
          </w:tcPr>
          <w:p w14:paraId="5B559535">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服务团队人员不符合项目要求时，是否及时更换符合项目要求的其他人员。</w:t>
            </w:r>
          </w:p>
        </w:tc>
        <w:tc>
          <w:tcPr>
            <w:tcW w:w="1132" w:type="dxa"/>
          </w:tcPr>
          <w:p w14:paraId="6112B9F1">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5</w:t>
            </w:r>
          </w:p>
        </w:tc>
        <w:tc>
          <w:tcPr>
            <w:tcW w:w="1036" w:type="dxa"/>
          </w:tcPr>
          <w:p w14:paraId="7B9368F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0D2EBBD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vMerge w:val="continue"/>
          </w:tcPr>
          <w:p w14:paraId="4EE43E4A">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2A7D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2FCA28C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合计</w:t>
            </w:r>
          </w:p>
        </w:tc>
        <w:tc>
          <w:tcPr>
            <w:tcW w:w="1132" w:type="dxa"/>
          </w:tcPr>
          <w:p w14:paraId="73E1553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100</w:t>
            </w:r>
          </w:p>
        </w:tc>
        <w:tc>
          <w:tcPr>
            <w:tcW w:w="1036" w:type="dxa"/>
          </w:tcPr>
          <w:p w14:paraId="0E08CDE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tcPr>
          <w:p w14:paraId="08EE67CA">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30" w:type="dxa"/>
            <w:gridSpan w:val="2"/>
          </w:tcPr>
          <w:p w14:paraId="74FD3B0D">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6D8B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6652AAA4">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重点指标</w:t>
            </w:r>
          </w:p>
          <w:p w14:paraId="40897F2A">
            <w:pPr>
              <w:pStyle w:val="7"/>
              <w:keepNext w:val="0"/>
              <w:keepLines w:val="0"/>
              <w:pageBreakBefore w:val="0"/>
              <w:kinsoku/>
              <w:wordWrap/>
              <w:overflowPunct/>
              <w:topLinePunct w:val="0"/>
              <w:bidi w:val="0"/>
              <w:spacing w:line="440" w:lineRule="exact"/>
              <w:textAlignment w:val="auto"/>
              <w:rPr>
                <w:color w:val="auto"/>
                <w:highlight w:val="none"/>
              </w:rPr>
            </w:pPr>
            <w:r>
              <w:rPr>
                <w:rFonts w:hint="eastAsia" w:ascii="仿宋_GB2312" w:eastAsia="仿宋_GB2312"/>
                <w:color w:val="auto"/>
                <w:highlight w:val="none"/>
              </w:rPr>
              <w:t>甲乙双方特别约定履约评价项目</w:t>
            </w:r>
          </w:p>
        </w:tc>
        <w:tc>
          <w:tcPr>
            <w:tcW w:w="1132" w:type="dxa"/>
          </w:tcPr>
          <w:p w14:paraId="6551B4DA">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扣分</w:t>
            </w:r>
          </w:p>
        </w:tc>
        <w:tc>
          <w:tcPr>
            <w:tcW w:w="1036" w:type="dxa"/>
          </w:tcPr>
          <w:p w14:paraId="31235C4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请在需要扣分栏目打</w:t>
            </w:r>
            <w:r>
              <w:rPr>
                <w:rFonts w:ascii="Arial" w:hAnsi="Arial" w:eastAsia="仿宋_GB2312" w:cs="Arial"/>
                <w:color w:val="auto"/>
                <w:szCs w:val="21"/>
                <w:highlight w:val="none"/>
              </w:rPr>
              <w:t>√</w:t>
            </w:r>
          </w:p>
        </w:tc>
        <w:tc>
          <w:tcPr>
            <w:tcW w:w="1228" w:type="dxa"/>
          </w:tcPr>
          <w:p w14:paraId="002DB9F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得分</w:t>
            </w:r>
          </w:p>
        </w:tc>
        <w:tc>
          <w:tcPr>
            <w:tcW w:w="1230" w:type="dxa"/>
            <w:gridSpan w:val="2"/>
          </w:tcPr>
          <w:p w14:paraId="746415F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 xml:space="preserve">     备注</w:t>
            </w:r>
          </w:p>
        </w:tc>
      </w:tr>
      <w:tr w14:paraId="69E4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037D7251">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不合格情形评价指标</w:t>
            </w:r>
          </w:p>
          <w:p w14:paraId="0EAB65C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（出现以下任一情形应当扣除41分，同时不再对一般情形评价指标进行评价。出现以下两项及以上即扣除100分。）</w:t>
            </w:r>
          </w:p>
        </w:tc>
        <w:tc>
          <w:tcPr>
            <w:tcW w:w="1132" w:type="dxa"/>
          </w:tcPr>
          <w:p w14:paraId="45DB8C5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扣分</w:t>
            </w:r>
          </w:p>
        </w:tc>
        <w:tc>
          <w:tcPr>
            <w:tcW w:w="1036" w:type="dxa"/>
          </w:tcPr>
          <w:p w14:paraId="4BD7A871">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请在需要扣分栏目打</w:t>
            </w:r>
            <w:r>
              <w:rPr>
                <w:rFonts w:ascii="Arial" w:hAnsi="Arial" w:eastAsia="仿宋_GB2312" w:cs="Arial"/>
                <w:color w:val="auto"/>
                <w:szCs w:val="21"/>
                <w:highlight w:val="none"/>
              </w:rPr>
              <w:t>√</w:t>
            </w:r>
          </w:p>
        </w:tc>
        <w:tc>
          <w:tcPr>
            <w:tcW w:w="1228" w:type="dxa"/>
          </w:tcPr>
          <w:p w14:paraId="19512289">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得分</w:t>
            </w:r>
          </w:p>
        </w:tc>
        <w:tc>
          <w:tcPr>
            <w:tcW w:w="1230" w:type="dxa"/>
            <w:gridSpan w:val="2"/>
          </w:tcPr>
          <w:p w14:paraId="5B1C5DB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 xml:space="preserve">     备注</w:t>
            </w:r>
          </w:p>
        </w:tc>
      </w:tr>
      <w:tr w14:paraId="115C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9" w:hRule="atLeast"/>
        </w:trPr>
        <w:tc>
          <w:tcPr>
            <w:tcW w:w="4434" w:type="dxa"/>
            <w:gridSpan w:val="2"/>
          </w:tcPr>
          <w:p w14:paraId="7929FA2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服务方案依据的法律条文适用错误（本款适用法律、审计、评估、税务等需要引用法律条文的服务方案）</w:t>
            </w:r>
          </w:p>
        </w:tc>
        <w:tc>
          <w:tcPr>
            <w:tcW w:w="1132" w:type="dxa"/>
            <w:vMerge w:val="restart"/>
          </w:tcPr>
          <w:p w14:paraId="05237C7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036" w:type="dxa"/>
          </w:tcPr>
          <w:p w14:paraId="17D3CCF4">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vMerge w:val="restart"/>
          </w:tcPr>
          <w:p w14:paraId="0FA2FC23">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3" w:type="dxa"/>
            <w:vMerge w:val="restart"/>
          </w:tcPr>
          <w:p w14:paraId="3C0B2F0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766D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1D0A70FA">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服务团队人数未达到合同约定人数.</w:t>
            </w:r>
          </w:p>
        </w:tc>
        <w:tc>
          <w:tcPr>
            <w:tcW w:w="1132" w:type="dxa"/>
            <w:vMerge w:val="continue"/>
          </w:tcPr>
          <w:p w14:paraId="4A2A67D7">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036" w:type="dxa"/>
          </w:tcPr>
          <w:p w14:paraId="74949A66">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vMerge w:val="continue"/>
          </w:tcPr>
          <w:p w14:paraId="24FB58A9">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3" w:type="dxa"/>
            <w:vMerge w:val="continue"/>
          </w:tcPr>
          <w:p w14:paraId="021763F3">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0FB9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0D8F1648">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未按合同约定配合参加工作超过3次。</w:t>
            </w:r>
          </w:p>
        </w:tc>
        <w:tc>
          <w:tcPr>
            <w:tcW w:w="1132" w:type="dxa"/>
            <w:vMerge w:val="continue"/>
          </w:tcPr>
          <w:p w14:paraId="6AE6C1DA">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036" w:type="dxa"/>
          </w:tcPr>
          <w:p w14:paraId="046FBF8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vMerge w:val="continue"/>
          </w:tcPr>
          <w:p w14:paraId="5B5B2CB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3" w:type="dxa"/>
            <w:vMerge w:val="continue"/>
          </w:tcPr>
          <w:p w14:paraId="078547F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214F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408682AA">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服务方案反复修改6次或以上仍出现错漏。</w:t>
            </w:r>
          </w:p>
        </w:tc>
        <w:tc>
          <w:tcPr>
            <w:tcW w:w="1132" w:type="dxa"/>
            <w:vMerge w:val="continue"/>
          </w:tcPr>
          <w:p w14:paraId="0FDDCA0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036" w:type="dxa"/>
          </w:tcPr>
          <w:p w14:paraId="1A2E9B1E">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vMerge w:val="continue"/>
          </w:tcPr>
          <w:p w14:paraId="46C2972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3" w:type="dxa"/>
            <w:vMerge w:val="continue"/>
          </w:tcPr>
          <w:p w14:paraId="350934EE">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4E6B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6C2F396B">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未能按照约定期限出具服务方案。</w:t>
            </w:r>
          </w:p>
        </w:tc>
        <w:tc>
          <w:tcPr>
            <w:tcW w:w="1132" w:type="dxa"/>
            <w:vMerge w:val="continue"/>
          </w:tcPr>
          <w:p w14:paraId="27903C8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036" w:type="dxa"/>
          </w:tcPr>
          <w:p w14:paraId="25E580D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vMerge w:val="continue"/>
          </w:tcPr>
          <w:p w14:paraId="01A50C6B">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3" w:type="dxa"/>
            <w:vMerge w:val="continue"/>
          </w:tcPr>
          <w:p w14:paraId="21EA3BFD">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7634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tcPr>
          <w:p w14:paraId="2FF0CD7D">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未经公司同意，泄露服务过程中获得公司信息、资料。</w:t>
            </w:r>
          </w:p>
        </w:tc>
        <w:tc>
          <w:tcPr>
            <w:tcW w:w="1132" w:type="dxa"/>
            <w:vMerge w:val="continue"/>
          </w:tcPr>
          <w:p w14:paraId="3F529A64">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036" w:type="dxa"/>
          </w:tcPr>
          <w:p w14:paraId="690443CE">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vMerge w:val="continue"/>
          </w:tcPr>
          <w:p w14:paraId="07AD2F7E">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3" w:type="dxa"/>
            <w:vMerge w:val="continue"/>
          </w:tcPr>
          <w:p w14:paraId="6975DB80">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2FDD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00" w:hRule="atLeast"/>
        </w:trPr>
        <w:tc>
          <w:tcPr>
            <w:tcW w:w="4434" w:type="dxa"/>
            <w:gridSpan w:val="2"/>
          </w:tcPr>
          <w:p w14:paraId="5F8304F9">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弄虚作假，串通损害公司利益或存在欺骗等不诚信行为；</w:t>
            </w:r>
          </w:p>
        </w:tc>
        <w:tc>
          <w:tcPr>
            <w:tcW w:w="1132" w:type="dxa"/>
            <w:vMerge w:val="continue"/>
          </w:tcPr>
          <w:p w14:paraId="3CFB146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036" w:type="dxa"/>
          </w:tcPr>
          <w:p w14:paraId="12F31BC2">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vMerge w:val="restart"/>
          </w:tcPr>
          <w:p w14:paraId="4A42362E">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3" w:type="dxa"/>
            <w:vMerge w:val="continue"/>
          </w:tcPr>
          <w:p w14:paraId="10C8F070">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4E41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tcPr>
          <w:p w14:paraId="013BF90A">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在合同履行中受到政府有关部门严重行政处罚的；</w:t>
            </w:r>
          </w:p>
        </w:tc>
        <w:tc>
          <w:tcPr>
            <w:tcW w:w="1132" w:type="dxa"/>
            <w:vMerge w:val="continue"/>
          </w:tcPr>
          <w:p w14:paraId="384E2BF9">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036" w:type="dxa"/>
          </w:tcPr>
          <w:p w14:paraId="46CBBA83">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vMerge w:val="continue"/>
          </w:tcPr>
          <w:p w14:paraId="49B614BF">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3" w:type="dxa"/>
            <w:vMerge w:val="continue"/>
          </w:tcPr>
          <w:p w14:paraId="2C11A985">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4CCB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9" w:hRule="atLeast"/>
        </w:trPr>
        <w:tc>
          <w:tcPr>
            <w:tcW w:w="4434" w:type="dxa"/>
            <w:gridSpan w:val="2"/>
          </w:tcPr>
          <w:p w14:paraId="132B3159">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其它违反合同约定或违反法律法规、职业道德行为。</w:t>
            </w:r>
          </w:p>
        </w:tc>
        <w:tc>
          <w:tcPr>
            <w:tcW w:w="1132" w:type="dxa"/>
            <w:vMerge w:val="continue"/>
          </w:tcPr>
          <w:p w14:paraId="06B1B289">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036" w:type="dxa"/>
          </w:tcPr>
          <w:p w14:paraId="3F28C3E0">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8" w:type="dxa"/>
            <w:vMerge w:val="continue"/>
          </w:tcPr>
          <w:p w14:paraId="4BBE12ED">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223" w:type="dxa"/>
            <w:vMerge w:val="continue"/>
          </w:tcPr>
          <w:p w14:paraId="0EA782DB">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r w14:paraId="25D4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69A70EBE">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r>
              <w:rPr>
                <w:rFonts w:hint="eastAsia" w:ascii="仿宋_GB2312" w:eastAsia="仿宋_GB2312"/>
                <w:color w:val="auto"/>
                <w:szCs w:val="21"/>
                <w:highlight w:val="none"/>
              </w:rPr>
              <w:t>总分100分</w:t>
            </w:r>
          </w:p>
        </w:tc>
        <w:tc>
          <w:tcPr>
            <w:tcW w:w="1132" w:type="dxa"/>
          </w:tcPr>
          <w:p w14:paraId="161CE429">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1036" w:type="dxa"/>
          </w:tcPr>
          <w:p w14:paraId="5B57D74C">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c>
          <w:tcPr>
            <w:tcW w:w="2458" w:type="dxa"/>
            <w:gridSpan w:val="3"/>
          </w:tcPr>
          <w:p w14:paraId="5EC516C4">
            <w:pPr>
              <w:keepNext w:val="0"/>
              <w:keepLines w:val="0"/>
              <w:pageBreakBefore w:val="0"/>
              <w:kinsoku/>
              <w:wordWrap/>
              <w:overflowPunct/>
              <w:topLinePunct w:val="0"/>
              <w:bidi w:val="0"/>
              <w:spacing w:line="440" w:lineRule="exact"/>
              <w:jc w:val="left"/>
              <w:textAlignment w:val="auto"/>
              <w:rPr>
                <w:rFonts w:ascii="仿宋_GB2312" w:eastAsia="仿宋_GB2312"/>
                <w:color w:val="auto"/>
                <w:szCs w:val="21"/>
                <w:highlight w:val="none"/>
              </w:rPr>
            </w:pPr>
          </w:p>
        </w:tc>
      </w:tr>
    </w:tbl>
    <w:p w14:paraId="1EE331B1">
      <w:pPr>
        <w:keepNext w:val="0"/>
        <w:keepLines w:val="0"/>
        <w:pageBreakBefore w:val="0"/>
        <w:kinsoku/>
        <w:wordWrap/>
        <w:overflowPunct/>
        <w:topLinePunct w:val="0"/>
        <w:bidi w:val="0"/>
        <w:spacing w:afterLines="50" w:line="440" w:lineRule="exact"/>
        <w:ind w:firstLine="2530" w:firstLineChars="900"/>
        <w:textAlignment w:val="auto"/>
        <w:outlineLvl w:val="0"/>
        <w:rPr>
          <w:rFonts w:ascii="宋体" w:hAnsi="宋体"/>
          <w:b/>
          <w:color w:val="auto"/>
          <w:sz w:val="36"/>
          <w:szCs w:val="36"/>
          <w:highlight w:val="none"/>
        </w:rPr>
      </w:pPr>
      <w:r>
        <w:rPr>
          <w:rFonts w:hint="eastAsia" w:asciiTheme="minorEastAsia" w:hAnsiTheme="minorEastAsia" w:cstheme="minorEastAsia"/>
          <w:b/>
          <w:bCs/>
          <w:color w:val="auto"/>
          <w:sz w:val="28"/>
          <w:szCs w:val="28"/>
          <w:highlight w:val="none"/>
        </w:rPr>
        <w:br w:type="page"/>
      </w:r>
      <w:r>
        <w:rPr>
          <w:rFonts w:hint="eastAsia" w:ascii="宋体" w:hAnsi="宋体"/>
          <w:b/>
          <w:color w:val="auto"/>
          <w:sz w:val="36"/>
          <w:szCs w:val="36"/>
          <w:highlight w:val="none"/>
          <w:lang w:val="en-US" w:eastAsia="zh-CN"/>
        </w:rPr>
        <w:t>年度</w:t>
      </w:r>
      <w:r>
        <w:rPr>
          <w:rFonts w:hint="eastAsia" w:ascii="宋体" w:hAnsi="宋体"/>
          <w:b/>
          <w:color w:val="auto"/>
          <w:sz w:val="36"/>
          <w:szCs w:val="36"/>
          <w:highlight w:val="none"/>
        </w:rPr>
        <w:t>履约评价报告书</w:t>
      </w:r>
    </w:p>
    <w:tbl>
      <w:tblPr>
        <w:tblStyle w:val="13"/>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620"/>
        <w:gridCol w:w="2119"/>
        <w:gridCol w:w="1221"/>
        <w:gridCol w:w="1440"/>
        <w:gridCol w:w="1080"/>
        <w:gridCol w:w="2520"/>
      </w:tblGrid>
      <w:tr w14:paraId="1C21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53" w:type="dxa"/>
            <w:gridSpan w:val="2"/>
            <w:tcBorders>
              <w:top w:val="single" w:color="auto" w:sz="4" w:space="0"/>
              <w:left w:val="single" w:color="auto" w:sz="12" w:space="0"/>
              <w:bottom w:val="single" w:color="auto" w:sz="4" w:space="0"/>
              <w:right w:val="single" w:color="auto" w:sz="4" w:space="0"/>
            </w:tcBorders>
            <w:noWrap w:val="0"/>
            <w:vAlign w:val="center"/>
          </w:tcPr>
          <w:p w14:paraId="293217A8">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Cs w:val="21"/>
                <w:highlight w:val="none"/>
              </w:rPr>
              <w:t>评价</w:t>
            </w:r>
            <w:r>
              <w:rPr>
                <w:rFonts w:hint="eastAsia" w:ascii="宋体" w:hAnsi="宋体"/>
                <w:color w:val="auto"/>
                <w:szCs w:val="21"/>
                <w:highlight w:val="none"/>
                <w:lang w:val="en-US" w:eastAsia="zh-CN"/>
              </w:rPr>
              <w:t>部门</w:t>
            </w:r>
          </w:p>
        </w:tc>
        <w:tc>
          <w:tcPr>
            <w:tcW w:w="3340" w:type="dxa"/>
            <w:gridSpan w:val="2"/>
            <w:tcBorders>
              <w:top w:val="single" w:color="auto" w:sz="4" w:space="0"/>
              <w:left w:val="single" w:color="auto" w:sz="4" w:space="0"/>
              <w:bottom w:val="single" w:color="auto" w:sz="4" w:space="0"/>
              <w:right w:val="single" w:color="auto" w:sz="4" w:space="0"/>
            </w:tcBorders>
            <w:noWrap w:val="0"/>
            <w:vAlign w:val="center"/>
          </w:tcPr>
          <w:p w14:paraId="7B3337F8">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75DFA7">
            <w:pPr>
              <w:keepNext w:val="0"/>
              <w:keepLines w:val="0"/>
              <w:pageBreakBefore w:val="0"/>
              <w:kinsoku/>
              <w:wordWrap/>
              <w:overflowPunct/>
              <w:topLinePunct w:val="0"/>
              <w:bidi w:val="0"/>
              <w:spacing w:line="44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评价</w:t>
            </w:r>
            <w:r>
              <w:rPr>
                <w:rFonts w:hint="eastAsia" w:ascii="宋体" w:hAnsi="宋体"/>
                <w:color w:val="auto"/>
                <w:szCs w:val="21"/>
                <w:highlight w:val="none"/>
                <w:lang w:val="en-US" w:eastAsia="zh-CN"/>
              </w:rPr>
              <w:t>日期</w:t>
            </w:r>
          </w:p>
        </w:tc>
        <w:tc>
          <w:tcPr>
            <w:tcW w:w="3600" w:type="dxa"/>
            <w:gridSpan w:val="2"/>
            <w:tcBorders>
              <w:top w:val="single" w:color="auto" w:sz="4" w:space="0"/>
              <w:left w:val="single" w:color="auto" w:sz="4" w:space="0"/>
              <w:bottom w:val="single" w:color="auto" w:sz="4" w:space="0"/>
              <w:right w:val="single" w:color="auto" w:sz="12" w:space="0"/>
            </w:tcBorders>
            <w:noWrap w:val="0"/>
            <w:vAlign w:val="center"/>
          </w:tcPr>
          <w:p w14:paraId="27399FC1">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r w14:paraId="5BFF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53" w:type="dxa"/>
            <w:gridSpan w:val="2"/>
            <w:tcBorders>
              <w:top w:val="single" w:color="auto" w:sz="4" w:space="0"/>
              <w:left w:val="single" w:color="auto" w:sz="12" w:space="0"/>
              <w:bottom w:val="single" w:color="auto" w:sz="4" w:space="0"/>
              <w:right w:val="single" w:color="auto" w:sz="4" w:space="0"/>
            </w:tcBorders>
            <w:noWrap w:val="0"/>
            <w:vAlign w:val="center"/>
          </w:tcPr>
          <w:p w14:paraId="6F20D62F">
            <w:pPr>
              <w:keepNext w:val="0"/>
              <w:keepLines w:val="0"/>
              <w:pageBreakBefore w:val="0"/>
              <w:kinsoku/>
              <w:wordWrap/>
              <w:overflowPunct/>
              <w:topLinePunct w:val="0"/>
              <w:bidi w:val="0"/>
              <w:spacing w:line="440" w:lineRule="exac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被评价单位</w:t>
            </w:r>
          </w:p>
        </w:tc>
        <w:tc>
          <w:tcPr>
            <w:tcW w:w="3340" w:type="dxa"/>
            <w:gridSpan w:val="2"/>
            <w:tcBorders>
              <w:top w:val="single" w:color="auto" w:sz="4" w:space="0"/>
              <w:left w:val="single" w:color="auto" w:sz="4" w:space="0"/>
              <w:bottom w:val="single" w:color="auto" w:sz="4" w:space="0"/>
              <w:right w:val="single" w:color="auto" w:sz="4" w:space="0"/>
            </w:tcBorders>
            <w:noWrap w:val="0"/>
            <w:vAlign w:val="center"/>
          </w:tcPr>
          <w:p w14:paraId="28BDA807">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EFEE4FF">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Cs w:val="21"/>
                <w:highlight w:val="none"/>
              </w:rPr>
              <w:t>类</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别</w:t>
            </w:r>
          </w:p>
        </w:tc>
        <w:tc>
          <w:tcPr>
            <w:tcW w:w="3600" w:type="dxa"/>
            <w:gridSpan w:val="2"/>
            <w:tcBorders>
              <w:top w:val="single" w:color="auto" w:sz="4" w:space="0"/>
              <w:left w:val="single" w:color="auto" w:sz="4" w:space="0"/>
              <w:bottom w:val="single" w:color="auto" w:sz="4" w:space="0"/>
              <w:right w:val="single" w:color="auto" w:sz="12" w:space="0"/>
            </w:tcBorders>
            <w:noWrap w:val="0"/>
            <w:vAlign w:val="center"/>
          </w:tcPr>
          <w:p w14:paraId="1BFEC8FA">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货物</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服务</w:t>
            </w:r>
            <w:r>
              <w:rPr>
                <w:rFonts w:hint="eastAsia" w:ascii="宋体" w:hAnsi="宋体"/>
                <w:color w:val="auto"/>
                <w:szCs w:val="21"/>
                <w:highlight w:val="none"/>
              </w:rPr>
              <w:t xml:space="preserve">  </w:t>
            </w:r>
          </w:p>
        </w:tc>
      </w:tr>
      <w:tr w14:paraId="72B3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553" w:type="dxa"/>
            <w:gridSpan w:val="2"/>
            <w:tcBorders>
              <w:top w:val="single" w:color="auto" w:sz="4" w:space="0"/>
              <w:left w:val="single" w:color="auto" w:sz="12" w:space="0"/>
              <w:bottom w:val="single" w:color="auto" w:sz="4" w:space="0"/>
              <w:right w:val="single" w:color="auto" w:sz="4" w:space="0"/>
            </w:tcBorders>
            <w:noWrap w:val="0"/>
            <w:vAlign w:val="center"/>
          </w:tcPr>
          <w:p w14:paraId="1ED5F60E">
            <w:pPr>
              <w:keepNext w:val="0"/>
              <w:keepLines w:val="0"/>
              <w:pageBreakBefore w:val="0"/>
              <w:kinsoku/>
              <w:wordWrap/>
              <w:overflowPunct/>
              <w:topLinePunct w:val="0"/>
              <w:bidi w:val="0"/>
              <w:spacing w:line="440" w:lineRule="exact"/>
              <w:textAlignment w:val="auto"/>
              <w:rPr>
                <w:rFonts w:hint="default" w:ascii="宋体" w:hAnsi="宋体"/>
                <w:color w:val="auto"/>
                <w:szCs w:val="21"/>
                <w:highlight w:val="none"/>
                <w:lang w:val="en-US"/>
              </w:rPr>
            </w:pPr>
            <w:r>
              <w:rPr>
                <w:rFonts w:hint="eastAsia" w:ascii="宋体" w:hAnsi="宋体"/>
                <w:color w:val="auto"/>
                <w:szCs w:val="21"/>
                <w:highlight w:val="none"/>
                <w:lang w:val="en-US" w:eastAsia="zh-CN"/>
              </w:rPr>
              <w:t>合同名称</w:t>
            </w:r>
          </w:p>
        </w:tc>
        <w:tc>
          <w:tcPr>
            <w:tcW w:w="8380" w:type="dxa"/>
            <w:gridSpan w:val="5"/>
            <w:tcBorders>
              <w:top w:val="single" w:color="auto" w:sz="4" w:space="0"/>
              <w:left w:val="single" w:color="auto" w:sz="4" w:space="0"/>
              <w:bottom w:val="single" w:color="auto" w:sz="4" w:space="0"/>
              <w:right w:val="single" w:color="auto" w:sz="12" w:space="0"/>
            </w:tcBorders>
            <w:noWrap w:val="0"/>
            <w:vAlign w:val="center"/>
          </w:tcPr>
          <w:p w14:paraId="07919763">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r w14:paraId="54B8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3" w:type="dxa"/>
            <w:gridSpan w:val="2"/>
            <w:tcBorders>
              <w:top w:val="single" w:color="auto" w:sz="4" w:space="0"/>
              <w:left w:val="single" w:color="auto" w:sz="12" w:space="0"/>
              <w:bottom w:val="single" w:color="auto" w:sz="4" w:space="0"/>
              <w:right w:val="single" w:color="auto" w:sz="4" w:space="0"/>
            </w:tcBorders>
            <w:noWrap w:val="0"/>
            <w:vAlign w:val="center"/>
          </w:tcPr>
          <w:p w14:paraId="1AD45B8B">
            <w:pPr>
              <w:keepNext w:val="0"/>
              <w:keepLines w:val="0"/>
              <w:pageBreakBefore w:val="0"/>
              <w:kinsoku/>
              <w:wordWrap/>
              <w:overflowPunct/>
              <w:topLinePunct w:val="0"/>
              <w:bidi w:val="0"/>
              <w:spacing w:line="440" w:lineRule="exac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合同号</w:t>
            </w:r>
          </w:p>
        </w:tc>
        <w:tc>
          <w:tcPr>
            <w:tcW w:w="3340" w:type="dxa"/>
            <w:gridSpan w:val="2"/>
            <w:tcBorders>
              <w:top w:val="single" w:color="auto" w:sz="4" w:space="0"/>
              <w:left w:val="single" w:color="auto" w:sz="4" w:space="0"/>
              <w:bottom w:val="single" w:color="auto" w:sz="4" w:space="0"/>
              <w:right w:val="single" w:color="auto" w:sz="4" w:space="0"/>
            </w:tcBorders>
            <w:noWrap w:val="0"/>
            <w:vAlign w:val="center"/>
          </w:tcPr>
          <w:p w14:paraId="4BA8446B">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3AFB431">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Cs w:val="21"/>
                <w:highlight w:val="none"/>
              </w:rPr>
              <w:t>合同价</w:t>
            </w:r>
          </w:p>
        </w:tc>
        <w:tc>
          <w:tcPr>
            <w:tcW w:w="3600" w:type="dxa"/>
            <w:gridSpan w:val="2"/>
            <w:tcBorders>
              <w:top w:val="single" w:color="auto" w:sz="4" w:space="0"/>
              <w:left w:val="single" w:color="auto" w:sz="4" w:space="0"/>
              <w:bottom w:val="single" w:color="auto" w:sz="4" w:space="0"/>
              <w:right w:val="single" w:color="auto" w:sz="12" w:space="0"/>
            </w:tcBorders>
            <w:noWrap w:val="0"/>
            <w:vAlign w:val="center"/>
          </w:tcPr>
          <w:p w14:paraId="70721617">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Cs w:val="21"/>
                <w:highlight w:val="none"/>
              </w:rPr>
              <w:t>（万元）</w:t>
            </w:r>
          </w:p>
        </w:tc>
      </w:tr>
      <w:tr w14:paraId="3BEE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33" w:type="dxa"/>
            <w:gridSpan w:val="7"/>
            <w:tcBorders>
              <w:top w:val="single" w:color="auto" w:sz="4" w:space="0"/>
              <w:left w:val="single" w:color="auto" w:sz="12" w:space="0"/>
              <w:bottom w:val="single" w:color="auto" w:sz="4" w:space="0"/>
              <w:right w:val="single" w:color="auto" w:sz="12" w:space="0"/>
            </w:tcBorders>
            <w:noWrap w:val="0"/>
            <w:vAlign w:val="center"/>
          </w:tcPr>
          <w:p w14:paraId="5F337C61">
            <w:pPr>
              <w:keepNext w:val="0"/>
              <w:keepLines w:val="0"/>
              <w:pageBreakBefore w:val="0"/>
              <w:kinsoku/>
              <w:wordWrap/>
              <w:overflowPunct/>
              <w:topLinePunct w:val="0"/>
              <w:bidi w:val="0"/>
              <w:spacing w:line="440" w:lineRule="exact"/>
              <w:textAlignment w:val="auto"/>
              <w:rPr>
                <w:rFonts w:ascii="宋体" w:hAnsi="宋体"/>
                <w:b/>
                <w:color w:val="auto"/>
                <w:szCs w:val="21"/>
                <w:highlight w:val="none"/>
              </w:rPr>
            </w:pPr>
            <w:r>
              <w:rPr>
                <w:rFonts w:hint="eastAsia" w:ascii="宋体" w:hAnsi="宋体"/>
                <w:b/>
                <w:color w:val="auto"/>
                <w:szCs w:val="21"/>
                <w:highlight w:val="none"/>
              </w:rPr>
              <w:t>履约评价分项内容及得分情况</w:t>
            </w:r>
          </w:p>
        </w:tc>
      </w:tr>
      <w:tr w14:paraId="570B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3" w:type="dxa"/>
            <w:tcBorders>
              <w:top w:val="single" w:color="auto" w:sz="4" w:space="0"/>
              <w:left w:val="single" w:color="auto" w:sz="12" w:space="0"/>
              <w:bottom w:val="single" w:color="auto" w:sz="4" w:space="0"/>
              <w:right w:val="single" w:color="auto" w:sz="4" w:space="0"/>
            </w:tcBorders>
            <w:noWrap w:val="0"/>
            <w:vAlign w:val="center"/>
          </w:tcPr>
          <w:p w14:paraId="1D099B76">
            <w:pPr>
              <w:keepNext w:val="0"/>
              <w:keepLines w:val="0"/>
              <w:pageBreakBefore w:val="0"/>
              <w:kinsoku/>
              <w:wordWrap/>
              <w:overflowPunct/>
              <w:topLinePunct w:val="0"/>
              <w:bidi w:val="0"/>
              <w:spacing w:line="44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6480" w:type="dxa"/>
            <w:gridSpan w:val="5"/>
            <w:tcBorders>
              <w:top w:val="single" w:color="auto" w:sz="4" w:space="0"/>
              <w:left w:val="single" w:color="auto" w:sz="4" w:space="0"/>
              <w:bottom w:val="single" w:color="auto" w:sz="4" w:space="0"/>
              <w:right w:val="single" w:color="auto" w:sz="4" w:space="0"/>
            </w:tcBorders>
            <w:noWrap w:val="0"/>
            <w:vAlign w:val="center"/>
          </w:tcPr>
          <w:p w14:paraId="0D2A1223">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Cs w:val="21"/>
                <w:highlight w:val="none"/>
              </w:rPr>
              <w:t>分  项  内  容</w:t>
            </w:r>
          </w:p>
        </w:tc>
        <w:tc>
          <w:tcPr>
            <w:tcW w:w="2520" w:type="dxa"/>
            <w:tcBorders>
              <w:top w:val="single" w:color="auto" w:sz="4" w:space="0"/>
              <w:left w:val="single" w:color="auto" w:sz="4" w:space="0"/>
              <w:bottom w:val="single" w:color="auto" w:sz="4" w:space="0"/>
              <w:right w:val="single" w:color="auto" w:sz="12" w:space="0"/>
            </w:tcBorders>
            <w:noWrap w:val="0"/>
            <w:vAlign w:val="center"/>
          </w:tcPr>
          <w:p w14:paraId="3942AC5C">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Cs w:val="21"/>
                <w:highlight w:val="none"/>
              </w:rPr>
              <w:t>得  分</w:t>
            </w:r>
          </w:p>
        </w:tc>
      </w:tr>
      <w:tr w14:paraId="4D19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3" w:type="dxa"/>
            <w:tcBorders>
              <w:top w:val="single" w:color="auto" w:sz="4" w:space="0"/>
              <w:left w:val="single" w:color="auto" w:sz="12" w:space="0"/>
              <w:bottom w:val="single" w:color="auto" w:sz="4" w:space="0"/>
              <w:right w:val="single" w:color="auto" w:sz="4" w:space="0"/>
            </w:tcBorders>
            <w:noWrap w:val="0"/>
            <w:vAlign w:val="center"/>
          </w:tcPr>
          <w:p w14:paraId="06929003">
            <w:pPr>
              <w:keepNext w:val="0"/>
              <w:keepLines w:val="0"/>
              <w:pageBreakBefore w:val="0"/>
              <w:kinsoku/>
              <w:wordWrap/>
              <w:overflowPunct/>
              <w:topLinePunct w:val="0"/>
              <w:bidi w:val="0"/>
              <w:spacing w:line="440" w:lineRule="exact"/>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6480" w:type="dxa"/>
            <w:gridSpan w:val="5"/>
            <w:tcBorders>
              <w:top w:val="single" w:color="auto" w:sz="4" w:space="0"/>
              <w:left w:val="single" w:color="auto" w:sz="4" w:space="0"/>
              <w:bottom w:val="single" w:color="auto" w:sz="4" w:space="0"/>
              <w:right w:val="single" w:color="auto" w:sz="4" w:space="0"/>
            </w:tcBorders>
            <w:noWrap w:val="0"/>
            <w:vAlign w:val="center"/>
          </w:tcPr>
          <w:p w14:paraId="28759D3E">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 w:val="18"/>
                <w:szCs w:val="18"/>
                <w:highlight w:val="none"/>
              </w:rPr>
              <w:t>服务态度</w:t>
            </w:r>
          </w:p>
        </w:tc>
        <w:tc>
          <w:tcPr>
            <w:tcW w:w="2520" w:type="dxa"/>
            <w:tcBorders>
              <w:top w:val="single" w:color="auto" w:sz="4" w:space="0"/>
              <w:left w:val="single" w:color="auto" w:sz="4" w:space="0"/>
              <w:bottom w:val="single" w:color="auto" w:sz="4" w:space="0"/>
              <w:right w:val="single" w:color="auto" w:sz="12" w:space="0"/>
            </w:tcBorders>
            <w:noWrap w:val="0"/>
            <w:vAlign w:val="center"/>
          </w:tcPr>
          <w:p w14:paraId="451D58A9">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r w14:paraId="3E25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3" w:type="dxa"/>
            <w:tcBorders>
              <w:top w:val="single" w:color="auto" w:sz="4" w:space="0"/>
              <w:left w:val="single" w:color="auto" w:sz="12" w:space="0"/>
              <w:bottom w:val="single" w:color="auto" w:sz="4" w:space="0"/>
              <w:right w:val="single" w:color="auto" w:sz="4" w:space="0"/>
            </w:tcBorders>
            <w:noWrap w:val="0"/>
            <w:vAlign w:val="center"/>
          </w:tcPr>
          <w:p w14:paraId="03A23D2A">
            <w:pPr>
              <w:keepNext w:val="0"/>
              <w:keepLines w:val="0"/>
              <w:pageBreakBefore w:val="0"/>
              <w:kinsoku/>
              <w:wordWrap/>
              <w:overflowPunct/>
              <w:topLinePunct w:val="0"/>
              <w:bidi w:val="0"/>
              <w:spacing w:line="440" w:lineRule="exact"/>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6480" w:type="dxa"/>
            <w:gridSpan w:val="5"/>
            <w:tcBorders>
              <w:top w:val="single" w:color="auto" w:sz="4" w:space="0"/>
              <w:left w:val="single" w:color="auto" w:sz="4" w:space="0"/>
              <w:bottom w:val="single" w:color="auto" w:sz="4" w:space="0"/>
              <w:right w:val="single" w:color="auto" w:sz="4" w:space="0"/>
            </w:tcBorders>
            <w:noWrap w:val="0"/>
            <w:vAlign w:val="center"/>
          </w:tcPr>
          <w:p w14:paraId="1B08EB3C">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 w:val="18"/>
                <w:szCs w:val="18"/>
                <w:highlight w:val="none"/>
                <w:lang w:val="en-US" w:eastAsia="zh-CN"/>
              </w:rPr>
              <w:t>清洁</w:t>
            </w:r>
            <w:r>
              <w:rPr>
                <w:rFonts w:hint="eastAsia" w:ascii="宋体" w:hAnsi="宋体"/>
                <w:color w:val="auto"/>
                <w:sz w:val="18"/>
                <w:szCs w:val="18"/>
                <w:highlight w:val="none"/>
              </w:rPr>
              <w:t>服务要求</w:t>
            </w:r>
          </w:p>
        </w:tc>
        <w:tc>
          <w:tcPr>
            <w:tcW w:w="2520" w:type="dxa"/>
            <w:tcBorders>
              <w:top w:val="single" w:color="auto" w:sz="4" w:space="0"/>
              <w:left w:val="single" w:color="auto" w:sz="4" w:space="0"/>
              <w:bottom w:val="single" w:color="auto" w:sz="4" w:space="0"/>
              <w:right w:val="single" w:color="auto" w:sz="12" w:space="0"/>
            </w:tcBorders>
            <w:noWrap w:val="0"/>
            <w:vAlign w:val="center"/>
          </w:tcPr>
          <w:p w14:paraId="16D5EA59">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r w14:paraId="68A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3" w:type="dxa"/>
            <w:tcBorders>
              <w:top w:val="single" w:color="auto" w:sz="4" w:space="0"/>
              <w:left w:val="single" w:color="auto" w:sz="12" w:space="0"/>
              <w:bottom w:val="single" w:color="auto" w:sz="4" w:space="0"/>
              <w:right w:val="single" w:color="auto" w:sz="4" w:space="0"/>
            </w:tcBorders>
            <w:noWrap w:val="0"/>
            <w:vAlign w:val="center"/>
          </w:tcPr>
          <w:p w14:paraId="10D2B25E">
            <w:pPr>
              <w:keepNext w:val="0"/>
              <w:keepLines w:val="0"/>
              <w:pageBreakBefore w:val="0"/>
              <w:kinsoku/>
              <w:wordWrap/>
              <w:overflowPunct/>
              <w:topLinePunct w:val="0"/>
              <w:bidi w:val="0"/>
              <w:spacing w:line="440" w:lineRule="exact"/>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6480" w:type="dxa"/>
            <w:gridSpan w:val="5"/>
            <w:tcBorders>
              <w:top w:val="single" w:color="auto" w:sz="4" w:space="0"/>
              <w:left w:val="single" w:color="auto" w:sz="4" w:space="0"/>
              <w:bottom w:val="single" w:color="auto" w:sz="4" w:space="0"/>
              <w:right w:val="single" w:color="auto" w:sz="4" w:space="0"/>
            </w:tcBorders>
            <w:noWrap w:val="0"/>
            <w:vAlign w:val="center"/>
          </w:tcPr>
          <w:p w14:paraId="1810BC25">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 w:val="18"/>
                <w:szCs w:val="18"/>
                <w:highlight w:val="none"/>
              </w:rPr>
              <w:t>服务纪律</w:t>
            </w:r>
          </w:p>
        </w:tc>
        <w:tc>
          <w:tcPr>
            <w:tcW w:w="2520" w:type="dxa"/>
            <w:tcBorders>
              <w:top w:val="single" w:color="auto" w:sz="4" w:space="0"/>
              <w:left w:val="single" w:color="auto" w:sz="4" w:space="0"/>
              <w:bottom w:val="single" w:color="auto" w:sz="4" w:space="0"/>
              <w:right w:val="single" w:color="auto" w:sz="12" w:space="0"/>
            </w:tcBorders>
            <w:noWrap w:val="0"/>
            <w:vAlign w:val="center"/>
          </w:tcPr>
          <w:p w14:paraId="3DAB2EB4">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r w14:paraId="141B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3" w:type="dxa"/>
            <w:tcBorders>
              <w:top w:val="single" w:color="auto" w:sz="4" w:space="0"/>
              <w:left w:val="single" w:color="auto" w:sz="12" w:space="0"/>
              <w:bottom w:val="single" w:color="auto" w:sz="4" w:space="0"/>
              <w:right w:val="single" w:color="auto" w:sz="4" w:space="0"/>
            </w:tcBorders>
            <w:noWrap w:val="0"/>
            <w:vAlign w:val="center"/>
          </w:tcPr>
          <w:p w14:paraId="01F527AC">
            <w:pPr>
              <w:keepNext w:val="0"/>
              <w:keepLines w:val="0"/>
              <w:pageBreakBefore w:val="0"/>
              <w:kinsoku/>
              <w:wordWrap/>
              <w:overflowPunct/>
              <w:topLinePunct w:val="0"/>
              <w:bidi w:val="0"/>
              <w:spacing w:line="440" w:lineRule="exact"/>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6480" w:type="dxa"/>
            <w:gridSpan w:val="5"/>
            <w:tcBorders>
              <w:top w:val="single" w:color="auto" w:sz="4" w:space="0"/>
              <w:left w:val="single" w:color="auto" w:sz="4" w:space="0"/>
              <w:bottom w:val="single" w:color="auto" w:sz="4" w:space="0"/>
              <w:right w:val="single" w:color="auto" w:sz="4" w:space="0"/>
            </w:tcBorders>
            <w:noWrap w:val="0"/>
            <w:vAlign w:val="center"/>
          </w:tcPr>
          <w:p w14:paraId="6D9E9A98">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 w:val="18"/>
                <w:szCs w:val="18"/>
                <w:highlight w:val="none"/>
                <w:lang w:val="en-US" w:eastAsia="zh-CN"/>
              </w:rPr>
              <w:t>清洁耗材提供要求</w:t>
            </w:r>
          </w:p>
        </w:tc>
        <w:tc>
          <w:tcPr>
            <w:tcW w:w="2520" w:type="dxa"/>
            <w:tcBorders>
              <w:top w:val="single" w:color="auto" w:sz="4" w:space="0"/>
              <w:left w:val="single" w:color="auto" w:sz="4" w:space="0"/>
              <w:bottom w:val="single" w:color="auto" w:sz="4" w:space="0"/>
              <w:right w:val="single" w:color="auto" w:sz="12" w:space="0"/>
            </w:tcBorders>
            <w:noWrap w:val="0"/>
            <w:vAlign w:val="center"/>
          </w:tcPr>
          <w:p w14:paraId="65607D2A">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r w14:paraId="119F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3" w:type="dxa"/>
            <w:tcBorders>
              <w:top w:val="single" w:color="auto" w:sz="4" w:space="0"/>
              <w:left w:val="single" w:color="auto" w:sz="12" w:space="0"/>
              <w:bottom w:val="single" w:color="auto" w:sz="4" w:space="0"/>
              <w:right w:val="single" w:color="auto" w:sz="4" w:space="0"/>
            </w:tcBorders>
            <w:noWrap w:val="0"/>
            <w:vAlign w:val="center"/>
          </w:tcPr>
          <w:p w14:paraId="648B94F9">
            <w:pPr>
              <w:keepNext w:val="0"/>
              <w:keepLines w:val="0"/>
              <w:pageBreakBefore w:val="0"/>
              <w:kinsoku/>
              <w:wordWrap/>
              <w:overflowPunct/>
              <w:topLinePunct w:val="0"/>
              <w:bidi w:val="0"/>
              <w:spacing w:line="44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6480" w:type="dxa"/>
            <w:gridSpan w:val="5"/>
            <w:tcBorders>
              <w:top w:val="single" w:color="auto" w:sz="4" w:space="0"/>
              <w:left w:val="single" w:color="auto" w:sz="4" w:space="0"/>
              <w:bottom w:val="single" w:color="auto" w:sz="4" w:space="0"/>
              <w:right w:val="single" w:color="auto" w:sz="4" w:space="0"/>
            </w:tcBorders>
            <w:noWrap w:val="0"/>
            <w:vAlign w:val="center"/>
          </w:tcPr>
          <w:p w14:paraId="215B6114">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 w:val="18"/>
                <w:szCs w:val="18"/>
                <w:highlight w:val="none"/>
                <w:lang w:val="en-US" w:eastAsia="zh-CN"/>
              </w:rPr>
              <w:t>垃圾清运要求</w:t>
            </w:r>
          </w:p>
        </w:tc>
        <w:tc>
          <w:tcPr>
            <w:tcW w:w="2520" w:type="dxa"/>
            <w:tcBorders>
              <w:top w:val="single" w:color="auto" w:sz="4" w:space="0"/>
              <w:left w:val="single" w:color="auto" w:sz="4" w:space="0"/>
              <w:bottom w:val="single" w:color="auto" w:sz="4" w:space="0"/>
              <w:right w:val="single" w:color="auto" w:sz="12" w:space="0"/>
            </w:tcBorders>
            <w:noWrap w:val="0"/>
            <w:vAlign w:val="center"/>
          </w:tcPr>
          <w:p w14:paraId="1CE23E8F">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r w14:paraId="10A0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413" w:type="dxa"/>
            <w:gridSpan w:val="6"/>
            <w:tcBorders>
              <w:top w:val="single" w:color="auto" w:sz="4" w:space="0"/>
              <w:left w:val="single" w:color="auto" w:sz="12" w:space="0"/>
              <w:bottom w:val="single" w:color="auto" w:sz="4" w:space="0"/>
              <w:right w:val="single" w:color="auto" w:sz="4" w:space="0"/>
            </w:tcBorders>
            <w:noWrap w:val="0"/>
            <w:vAlign w:val="center"/>
          </w:tcPr>
          <w:p w14:paraId="7EB31DFC">
            <w:pPr>
              <w:keepNext w:val="0"/>
              <w:keepLines w:val="0"/>
              <w:pageBreakBefore w:val="0"/>
              <w:kinsoku/>
              <w:wordWrap/>
              <w:overflowPunct/>
              <w:topLinePunct w:val="0"/>
              <w:bidi w:val="0"/>
              <w:spacing w:line="440" w:lineRule="exac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存在以下情况</w:t>
            </w:r>
          </w:p>
        </w:tc>
        <w:tc>
          <w:tcPr>
            <w:tcW w:w="2520" w:type="dxa"/>
            <w:tcBorders>
              <w:top w:val="single" w:color="auto" w:sz="4" w:space="0"/>
              <w:left w:val="single" w:color="auto" w:sz="4" w:space="0"/>
              <w:bottom w:val="single" w:color="auto" w:sz="4" w:space="0"/>
              <w:right w:val="single" w:color="auto" w:sz="12" w:space="0"/>
            </w:tcBorders>
            <w:noWrap w:val="0"/>
            <w:vAlign w:val="center"/>
          </w:tcPr>
          <w:p w14:paraId="073969F5">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color w:val="auto"/>
                <w:highlight w:val="none"/>
                <w:lang w:val="en-US" w:eastAsia="zh-CN"/>
              </w:rPr>
              <w:t>扣分</w:t>
            </w:r>
          </w:p>
        </w:tc>
      </w:tr>
      <w:tr w14:paraId="5F1E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3" w:type="dxa"/>
            <w:tcBorders>
              <w:top w:val="single" w:color="auto" w:sz="4" w:space="0"/>
              <w:left w:val="single" w:color="auto" w:sz="12" w:space="0"/>
              <w:bottom w:val="single" w:color="auto" w:sz="4" w:space="0"/>
              <w:right w:val="single" w:color="auto" w:sz="4" w:space="0"/>
            </w:tcBorders>
            <w:noWrap w:val="0"/>
            <w:vAlign w:val="center"/>
          </w:tcPr>
          <w:p w14:paraId="204BC9E3">
            <w:pPr>
              <w:keepNext w:val="0"/>
              <w:keepLines w:val="0"/>
              <w:pageBreakBefore w:val="0"/>
              <w:kinsoku/>
              <w:wordWrap/>
              <w:overflowPunct/>
              <w:topLinePunct w:val="0"/>
              <w:bidi w:val="0"/>
              <w:spacing w:line="440" w:lineRule="exact"/>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6480" w:type="dxa"/>
            <w:gridSpan w:val="5"/>
            <w:tcBorders>
              <w:top w:val="single" w:color="auto" w:sz="4" w:space="0"/>
              <w:left w:val="single" w:color="auto" w:sz="4" w:space="0"/>
              <w:bottom w:val="single" w:color="auto" w:sz="4" w:space="0"/>
              <w:right w:val="single" w:color="auto" w:sz="4" w:space="0"/>
            </w:tcBorders>
            <w:noWrap w:val="0"/>
            <w:vAlign w:val="center"/>
          </w:tcPr>
          <w:p w14:paraId="1F58D828">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Cs w:val="21"/>
                <w:highlight w:val="none"/>
                <w:lang w:val="en-US" w:eastAsia="zh-CN"/>
              </w:rPr>
              <w:t>合同相对方未按合同约定履行被投诉、检举的，经集团公司纪检监察部门核实投诉、检举情况属实的，不得套用优秀、良好等级。</w:t>
            </w:r>
          </w:p>
        </w:tc>
        <w:tc>
          <w:tcPr>
            <w:tcW w:w="2520" w:type="dxa"/>
            <w:tcBorders>
              <w:top w:val="single" w:color="auto" w:sz="4" w:space="0"/>
              <w:left w:val="single" w:color="auto" w:sz="4" w:space="0"/>
              <w:bottom w:val="single" w:color="auto" w:sz="4" w:space="0"/>
              <w:right w:val="single" w:color="auto" w:sz="12" w:space="0"/>
            </w:tcBorders>
            <w:noWrap w:val="0"/>
            <w:vAlign w:val="center"/>
          </w:tcPr>
          <w:p w14:paraId="149A5E34">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r w14:paraId="543F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dxa"/>
            <w:tcBorders>
              <w:top w:val="single" w:color="auto" w:sz="4" w:space="0"/>
              <w:left w:val="single" w:color="auto" w:sz="12" w:space="0"/>
              <w:bottom w:val="single" w:color="auto" w:sz="4" w:space="0"/>
              <w:right w:val="single" w:color="auto" w:sz="4" w:space="0"/>
            </w:tcBorders>
            <w:noWrap w:val="0"/>
            <w:vAlign w:val="center"/>
          </w:tcPr>
          <w:p w14:paraId="05103FD3">
            <w:pPr>
              <w:keepNext w:val="0"/>
              <w:keepLines w:val="0"/>
              <w:pageBreakBefore w:val="0"/>
              <w:kinsoku/>
              <w:wordWrap/>
              <w:overflowPunct/>
              <w:topLinePunct w:val="0"/>
              <w:bidi w:val="0"/>
              <w:spacing w:line="440" w:lineRule="exact"/>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6480" w:type="dxa"/>
            <w:gridSpan w:val="5"/>
            <w:tcBorders>
              <w:top w:val="single" w:color="auto" w:sz="4" w:space="0"/>
              <w:left w:val="single" w:color="auto" w:sz="4" w:space="0"/>
              <w:bottom w:val="single" w:color="auto" w:sz="4" w:space="0"/>
              <w:right w:val="single" w:color="auto" w:sz="4" w:space="0"/>
            </w:tcBorders>
            <w:noWrap w:val="0"/>
            <w:vAlign w:val="center"/>
          </w:tcPr>
          <w:p w14:paraId="6C5EA076">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Cs w:val="21"/>
                <w:highlight w:val="none"/>
                <w:lang w:val="en-US" w:eastAsia="zh-CN"/>
              </w:rPr>
              <w:t>合同相对方使用不正当行为影响评价结果的，或存在其他违规、违纪行为的，经集团公司纪检监察部门核实投诉、检举情况属实的，其评价结果将降至不合格等级。</w:t>
            </w:r>
          </w:p>
        </w:tc>
        <w:tc>
          <w:tcPr>
            <w:tcW w:w="2520" w:type="dxa"/>
            <w:tcBorders>
              <w:top w:val="single" w:color="auto" w:sz="4" w:space="0"/>
              <w:left w:val="single" w:color="auto" w:sz="4" w:space="0"/>
              <w:bottom w:val="single" w:color="auto" w:sz="4" w:space="0"/>
              <w:right w:val="single" w:color="auto" w:sz="12" w:space="0"/>
            </w:tcBorders>
            <w:noWrap w:val="0"/>
            <w:vAlign w:val="center"/>
          </w:tcPr>
          <w:p w14:paraId="710653D7">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r w14:paraId="0E41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33" w:type="dxa"/>
            <w:tcBorders>
              <w:top w:val="single" w:color="auto" w:sz="4" w:space="0"/>
              <w:left w:val="single" w:color="auto" w:sz="12" w:space="0"/>
              <w:bottom w:val="single" w:color="auto" w:sz="4" w:space="0"/>
              <w:right w:val="single" w:color="auto" w:sz="4" w:space="0"/>
            </w:tcBorders>
            <w:noWrap w:val="0"/>
            <w:vAlign w:val="center"/>
          </w:tcPr>
          <w:p w14:paraId="1889F6DC">
            <w:pPr>
              <w:keepNext w:val="0"/>
              <w:keepLines w:val="0"/>
              <w:pageBreakBefore w:val="0"/>
              <w:kinsoku/>
              <w:wordWrap/>
              <w:overflowPunct/>
              <w:topLinePunct w:val="0"/>
              <w:bidi w:val="0"/>
              <w:spacing w:line="440" w:lineRule="exac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最终得分</w:t>
            </w:r>
          </w:p>
        </w:tc>
        <w:tc>
          <w:tcPr>
            <w:tcW w:w="9000" w:type="dxa"/>
            <w:gridSpan w:val="6"/>
            <w:tcBorders>
              <w:top w:val="single" w:color="auto" w:sz="4" w:space="0"/>
              <w:left w:val="single" w:color="auto" w:sz="4" w:space="0"/>
              <w:bottom w:val="single" w:color="auto" w:sz="4" w:space="0"/>
              <w:right w:val="single" w:color="auto" w:sz="12" w:space="0"/>
            </w:tcBorders>
            <w:noWrap w:val="0"/>
            <w:vAlign w:val="center"/>
          </w:tcPr>
          <w:p w14:paraId="19B9E5E7">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r w14:paraId="4B3C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53" w:type="dxa"/>
            <w:gridSpan w:val="2"/>
            <w:tcBorders>
              <w:top w:val="single" w:color="auto" w:sz="4" w:space="0"/>
              <w:left w:val="single" w:color="auto" w:sz="12" w:space="0"/>
              <w:bottom w:val="single" w:color="auto" w:sz="4" w:space="0"/>
              <w:right w:val="single" w:color="auto" w:sz="4" w:space="0"/>
            </w:tcBorders>
            <w:noWrap w:val="0"/>
            <w:vAlign w:val="center"/>
          </w:tcPr>
          <w:p w14:paraId="2D28F3C9">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r>
              <w:rPr>
                <w:rFonts w:hint="eastAsia" w:ascii="宋体" w:hAnsi="宋体"/>
                <w:color w:val="auto"/>
                <w:szCs w:val="21"/>
                <w:highlight w:val="none"/>
              </w:rPr>
              <w:t>评价等级</w:t>
            </w:r>
          </w:p>
        </w:tc>
        <w:tc>
          <w:tcPr>
            <w:tcW w:w="8380" w:type="dxa"/>
            <w:gridSpan w:val="5"/>
            <w:tcBorders>
              <w:top w:val="single" w:color="auto" w:sz="4" w:space="0"/>
              <w:left w:val="single" w:color="auto" w:sz="4" w:space="0"/>
              <w:bottom w:val="single" w:color="auto" w:sz="4" w:space="0"/>
              <w:right w:val="single" w:color="auto" w:sz="12" w:space="0"/>
            </w:tcBorders>
            <w:noWrap w:val="0"/>
            <w:vAlign w:val="center"/>
          </w:tcPr>
          <w:p w14:paraId="39099BA9">
            <w:pPr>
              <w:keepNext w:val="0"/>
              <w:keepLines w:val="0"/>
              <w:pageBreakBefore w:val="0"/>
              <w:kinsoku/>
              <w:wordWrap/>
              <w:overflowPunct/>
              <w:topLinePunct w:val="0"/>
              <w:bidi w:val="0"/>
              <w:spacing w:line="440" w:lineRule="exact"/>
              <w:textAlignment w:val="auto"/>
              <w:rPr>
                <w:rFonts w:hint="eastAsia"/>
                <w:color w:val="auto"/>
                <w:highlight w:val="none"/>
              </w:rPr>
            </w:pPr>
            <w:r>
              <w:rPr>
                <w:rFonts w:hint="eastAsia"/>
                <w:color w:val="auto"/>
                <w:highlight w:val="none"/>
              </w:rPr>
              <w:t>□ 良好（</w:t>
            </w:r>
            <w:r>
              <w:rPr>
                <w:rFonts w:hint="eastAsia"/>
                <w:color w:val="auto"/>
                <w:highlight w:val="none"/>
                <w:lang w:val="en-US" w:eastAsia="zh-CN"/>
              </w:rPr>
              <w:t>75</w:t>
            </w:r>
            <w:r>
              <w:rPr>
                <w:rFonts w:hint="eastAsia" w:ascii="Times New Roman" w:hAnsi="Times New Roman" w:eastAsia="宋体" w:cs="Times New Roman"/>
                <w:color w:val="auto"/>
                <w:kern w:val="2"/>
                <w:sz w:val="21"/>
                <w:szCs w:val="24"/>
                <w:highlight w:val="none"/>
              </w:rPr>
              <w:t>≤总分</w:t>
            </w: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rPr>
              <w:t>90</w:t>
            </w:r>
            <w:r>
              <w:rPr>
                <w:rFonts w:hint="eastAsia" w:ascii="Times New Roman" w:hAnsi="Times New Roman" w:eastAsia="宋体" w:cs="Times New Roman"/>
                <w:color w:val="auto"/>
                <w:kern w:val="2"/>
                <w:sz w:val="21"/>
                <w:szCs w:val="24"/>
                <w:highlight w:val="none"/>
              </w:rPr>
              <w:t>分</w:t>
            </w:r>
            <w:r>
              <w:rPr>
                <w:rFonts w:hint="eastAsia"/>
                <w:color w:val="auto"/>
                <w:highlight w:val="none"/>
              </w:rPr>
              <w:t>）   □ 合格（60≤总分＜</w:t>
            </w:r>
            <w:r>
              <w:rPr>
                <w:rFonts w:hint="eastAsia"/>
                <w:color w:val="auto"/>
                <w:highlight w:val="none"/>
                <w:lang w:val="en-US" w:eastAsia="zh-CN"/>
              </w:rPr>
              <w:t>75</w:t>
            </w:r>
            <w:r>
              <w:rPr>
                <w:rFonts w:hint="eastAsia"/>
                <w:color w:val="auto"/>
                <w:highlight w:val="none"/>
              </w:rPr>
              <w:t>分）   □ 不合格（总分＜</w:t>
            </w:r>
            <w:r>
              <w:rPr>
                <w:rFonts w:hint="eastAsia"/>
                <w:color w:val="auto"/>
                <w:highlight w:val="none"/>
                <w:lang w:val="en-US" w:eastAsia="zh-CN"/>
              </w:rPr>
              <w:t>60</w:t>
            </w:r>
            <w:r>
              <w:rPr>
                <w:rFonts w:hint="eastAsia"/>
                <w:color w:val="auto"/>
                <w:highlight w:val="none"/>
              </w:rPr>
              <w:t>分）</w:t>
            </w:r>
          </w:p>
          <w:p w14:paraId="3823A7B7">
            <w:pPr>
              <w:pStyle w:val="25"/>
              <w:keepNext w:val="0"/>
              <w:keepLines w:val="0"/>
              <w:pageBreakBefore w:val="0"/>
              <w:kinsoku/>
              <w:wordWrap/>
              <w:overflowPunct/>
              <w:topLinePunct w:val="0"/>
              <w:bidi w:val="0"/>
              <w:spacing w:line="440" w:lineRule="exact"/>
              <w:textAlignment w:val="auto"/>
              <w:rPr>
                <w:color w:val="auto"/>
                <w:highlight w:val="none"/>
              </w:rPr>
            </w:pPr>
            <w:r>
              <w:rPr>
                <w:rFonts w:hint="eastAsia" w:ascii="Times New Roman" w:hAnsi="Times New Roman" w:eastAsia="宋体" w:cs="Times New Roman"/>
                <w:color w:val="auto"/>
                <w:kern w:val="2"/>
                <w:sz w:val="21"/>
                <w:szCs w:val="24"/>
                <w:highlight w:val="none"/>
              </w:rPr>
              <w:t xml:space="preserve">□ </w:t>
            </w:r>
            <w:r>
              <w:rPr>
                <w:rFonts w:hint="eastAsia" w:ascii="Times New Roman" w:hAnsi="Times New Roman" w:eastAsia="宋体" w:cs="Times New Roman"/>
                <w:color w:val="auto"/>
                <w:kern w:val="2"/>
                <w:sz w:val="21"/>
                <w:szCs w:val="24"/>
                <w:highlight w:val="none"/>
                <w:lang w:val="en-US" w:eastAsia="zh-CN"/>
              </w:rPr>
              <w:t>优秀</w:t>
            </w:r>
            <w:r>
              <w:rPr>
                <w:rFonts w:hint="eastAsia" w:ascii="Times New Roman" w:hAnsi="Times New Roman" w:eastAsia="宋体" w:cs="Times New Roman"/>
                <w:color w:val="auto"/>
                <w:kern w:val="2"/>
                <w:sz w:val="21"/>
                <w:szCs w:val="24"/>
                <w:highlight w:val="none"/>
              </w:rPr>
              <w:t>（</w:t>
            </w:r>
            <w:r>
              <w:rPr>
                <w:rFonts w:hint="eastAsia" w:ascii="Times New Roman" w:hAnsi="Times New Roman" w:eastAsia="宋体" w:cs="Times New Roman"/>
                <w:color w:val="auto"/>
                <w:kern w:val="2"/>
                <w:sz w:val="21"/>
                <w:szCs w:val="24"/>
                <w:highlight w:val="none"/>
                <w:lang w:val="en-US" w:eastAsia="zh-CN"/>
              </w:rPr>
              <w:t>100</w:t>
            </w:r>
            <w:r>
              <w:rPr>
                <w:rFonts w:hint="eastAsia" w:ascii="Times New Roman" w:hAnsi="Times New Roman" w:eastAsia="宋体" w:cs="Times New Roman"/>
                <w:color w:val="auto"/>
                <w:kern w:val="2"/>
                <w:sz w:val="21"/>
                <w:szCs w:val="24"/>
                <w:highlight w:val="none"/>
              </w:rPr>
              <w:t>≤总分≤</w:t>
            </w:r>
            <w:r>
              <w:rPr>
                <w:rFonts w:hint="eastAsia" w:ascii="Times New Roman" w:hAnsi="Times New Roman" w:eastAsia="宋体" w:cs="Times New Roman"/>
                <w:color w:val="auto"/>
                <w:kern w:val="2"/>
                <w:sz w:val="21"/>
                <w:szCs w:val="24"/>
                <w:highlight w:val="none"/>
                <w:lang w:val="en-US" w:eastAsia="zh-CN"/>
              </w:rPr>
              <w:t>90</w:t>
            </w:r>
            <w:r>
              <w:rPr>
                <w:rFonts w:hint="eastAsia" w:ascii="Times New Roman" w:hAnsi="Times New Roman" w:eastAsia="宋体" w:cs="Times New Roman"/>
                <w:color w:val="auto"/>
                <w:kern w:val="2"/>
                <w:sz w:val="21"/>
                <w:szCs w:val="24"/>
                <w:highlight w:val="none"/>
              </w:rPr>
              <w:t>分）</w:t>
            </w:r>
          </w:p>
        </w:tc>
      </w:tr>
      <w:tr w14:paraId="183F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53" w:type="dxa"/>
            <w:gridSpan w:val="2"/>
            <w:tcBorders>
              <w:top w:val="single" w:color="auto" w:sz="4" w:space="0"/>
              <w:left w:val="single" w:color="auto" w:sz="12" w:space="0"/>
              <w:bottom w:val="single" w:color="auto" w:sz="4" w:space="0"/>
              <w:right w:val="single" w:color="auto" w:sz="4" w:space="0"/>
            </w:tcBorders>
            <w:noWrap w:val="0"/>
            <w:vAlign w:val="center"/>
          </w:tcPr>
          <w:p w14:paraId="6DF75FA8">
            <w:pPr>
              <w:keepNext w:val="0"/>
              <w:keepLines w:val="0"/>
              <w:pageBreakBefore w:val="0"/>
              <w:kinsoku/>
              <w:wordWrap/>
              <w:overflowPunct/>
              <w:topLinePunct w:val="0"/>
              <w:bidi w:val="0"/>
              <w:spacing w:line="440" w:lineRule="exact"/>
              <w:textAlignment w:val="auto"/>
              <w:rPr>
                <w:rFonts w:hint="eastAsia"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lang w:val="en-US" w:eastAsia="zh-CN"/>
              </w:rPr>
              <w:t>说明</w:t>
            </w:r>
          </w:p>
        </w:tc>
        <w:tc>
          <w:tcPr>
            <w:tcW w:w="8380" w:type="dxa"/>
            <w:gridSpan w:val="5"/>
            <w:tcBorders>
              <w:top w:val="single" w:color="auto" w:sz="4" w:space="0"/>
              <w:left w:val="single" w:color="auto" w:sz="4" w:space="0"/>
              <w:bottom w:val="single" w:color="auto" w:sz="4" w:space="0"/>
              <w:right w:val="single" w:color="auto" w:sz="12" w:space="0"/>
            </w:tcBorders>
            <w:noWrap w:val="0"/>
            <w:vAlign w:val="center"/>
          </w:tcPr>
          <w:p w14:paraId="6C428FA6">
            <w:pPr>
              <w:keepNext w:val="0"/>
              <w:keepLines w:val="0"/>
              <w:pageBreakBefore w:val="0"/>
              <w:kinsoku/>
              <w:wordWrap/>
              <w:overflowPunct/>
              <w:topLinePunct w:val="0"/>
              <w:bidi w:val="0"/>
              <w:spacing w:line="440" w:lineRule="exact"/>
              <w:textAlignment w:val="auto"/>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1.得分90分以上，全额支付履约质量保证金。</w:t>
            </w:r>
          </w:p>
          <w:p w14:paraId="1227867A">
            <w:pPr>
              <w:keepNext w:val="0"/>
              <w:keepLines w:val="0"/>
              <w:pageBreakBefore w:val="0"/>
              <w:kinsoku/>
              <w:wordWrap/>
              <w:overflowPunct/>
              <w:topLinePunct w:val="0"/>
              <w:bidi w:val="0"/>
              <w:spacing w:line="440" w:lineRule="exact"/>
              <w:textAlignment w:val="auto"/>
              <w:rPr>
                <w:rFonts w:hint="eastAsia" w:ascii="Times New Roman" w:hAnsi="Times New Roman" w:eastAsia="宋体" w:cs="Times New Roman"/>
                <w:color w:val="auto"/>
                <w:kern w:val="2"/>
                <w:sz w:val="21"/>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rPr>
              <w:t>2.得分80—89分，支付履约质量保证金的80%。</w:t>
            </w:r>
          </w:p>
          <w:p w14:paraId="01E3B1AE">
            <w:pPr>
              <w:keepNext w:val="0"/>
              <w:keepLines w:val="0"/>
              <w:pageBreakBefore w:val="0"/>
              <w:kinsoku/>
              <w:wordWrap/>
              <w:overflowPunct/>
              <w:topLinePunct w:val="0"/>
              <w:bidi w:val="0"/>
              <w:spacing w:line="440" w:lineRule="exact"/>
              <w:textAlignment w:val="auto"/>
              <w:rPr>
                <w:rFonts w:hint="eastAsia"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lang w:val="en-US" w:eastAsia="zh-CN"/>
              </w:rPr>
              <w:t>3.得分80分以下，不予支付履约质量保证金。</w:t>
            </w:r>
          </w:p>
        </w:tc>
      </w:tr>
      <w:tr w14:paraId="41A5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672" w:type="dxa"/>
            <w:gridSpan w:val="3"/>
            <w:tcBorders>
              <w:top w:val="single" w:color="auto" w:sz="4" w:space="0"/>
              <w:left w:val="single" w:color="auto" w:sz="12" w:space="0"/>
              <w:bottom w:val="single" w:color="auto" w:sz="4" w:space="0"/>
              <w:right w:val="single" w:color="auto" w:sz="4" w:space="0"/>
            </w:tcBorders>
            <w:noWrap w:val="0"/>
            <w:vAlign w:val="center"/>
          </w:tcPr>
          <w:p w14:paraId="7DAA41FF">
            <w:pPr>
              <w:keepNext w:val="0"/>
              <w:keepLines w:val="0"/>
              <w:pageBreakBefore w:val="0"/>
              <w:kinsoku/>
              <w:wordWrap/>
              <w:overflowPunct/>
              <w:topLinePunct w:val="0"/>
              <w:bidi w:val="0"/>
              <w:spacing w:line="440" w:lineRule="exac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评价小组成员签字</w:t>
            </w:r>
          </w:p>
        </w:tc>
        <w:tc>
          <w:tcPr>
            <w:tcW w:w="6261" w:type="dxa"/>
            <w:gridSpan w:val="4"/>
            <w:tcBorders>
              <w:top w:val="single" w:color="auto" w:sz="4" w:space="0"/>
              <w:left w:val="single" w:color="auto" w:sz="4" w:space="0"/>
              <w:bottom w:val="single" w:color="auto" w:sz="4" w:space="0"/>
              <w:right w:val="single" w:color="auto" w:sz="12" w:space="0"/>
            </w:tcBorders>
            <w:noWrap w:val="0"/>
            <w:vAlign w:val="bottom"/>
          </w:tcPr>
          <w:p w14:paraId="15AA11C9">
            <w:pPr>
              <w:keepNext w:val="0"/>
              <w:keepLines w:val="0"/>
              <w:pageBreakBefore w:val="0"/>
              <w:kinsoku/>
              <w:wordWrap/>
              <w:overflowPunct/>
              <w:topLinePunct w:val="0"/>
              <w:bidi w:val="0"/>
              <w:spacing w:line="440" w:lineRule="exact"/>
              <w:textAlignment w:val="auto"/>
              <w:rPr>
                <w:rFonts w:ascii="宋体" w:hAnsi="宋体"/>
                <w:color w:val="auto"/>
                <w:szCs w:val="21"/>
                <w:highlight w:val="none"/>
              </w:rPr>
            </w:pPr>
          </w:p>
        </w:tc>
      </w:tr>
    </w:tbl>
    <w:p w14:paraId="321C384C">
      <w:pPr>
        <w:keepNext w:val="0"/>
        <w:keepLines w:val="0"/>
        <w:pageBreakBefore w:val="0"/>
        <w:kinsoku/>
        <w:wordWrap/>
        <w:overflowPunct/>
        <w:topLinePunct w:val="0"/>
        <w:bidi w:val="0"/>
        <w:spacing w:line="440" w:lineRule="exact"/>
        <w:textAlignment w:val="auto"/>
        <w:rPr>
          <w:rFonts w:asciiTheme="minorEastAsia" w:hAnsiTheme="minorEastAsia" w:cstheme="minorEastAsia"/>
          <w:b/>
          <w:bCs/>
          <w:color w:val="auto"/>
          <w:sz w:val="28"/>
          <w:szCs w:val="28"/>
          <w:highlight w:val="none"/>
        </w:rPr>
        <w:sectPr>
          <w:pgSz w:w="11906" w:h="16838"/>
          <w:pgMar w:top="1440" w:right="1576" w:bottom="1446" w:left="1576" w:header="851" w:footer="992" w:gutter="0"/>
          <w:cols w:space="720" w:num="1"/>
          <w:docGrid w:type="lines" w:linePitch="312" w:charSpace="0"/>
        </w:sectPr>
      </w:pPr>
    </w:p>
    <w:p w14:paraId="057C0E91">
      <w:pPr>
        <w:pStyle w:val="18"/>
        <w:keepNext w:val="0"/>
        <w:keepLines w:val="0"/>
        <w:pageBreakBefore w:val="0"/>
        <w:kinsoku/>
        <w:wordWrap/>
        <w:overflowPunct/>
        <w:topLinePunct w:val="0"/>
        <w:autoSpaceDE w:val="0"/>
        <w:autoSpaceDN w:val="0"/>
        <w:bidi w:val="0"/>
        <w:adjustRightInd w:val="0"/>
        <w:spacing w:line="440" w:lineRule="exact"/>
        <w:jc w:val="left"/>
        <w:textAlignment w:val="auto"/>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eastAsiaTheme="minorEastAsia" w:cstheme="minorEastAsia"/>
          <w:b/>
          <w:bCs/>
          <w:color w:val="auto"/>
          <w:sz w:val="28"/>
          <w:szCs w:val="28"/>
          <w:highlight w:val="none"/>
          <w:lang w:val="en-US" w:eastAsia="zh-CN"/>
        </w:rPr>
        <w:t>4</w:t>
      </w:r>
      <w:r>
        <w:rPr>
          <w:rFonts w:hint="eastAsia" w:asciiTheme="minorEastAsia" w:hAnsiTheme="minorEastAsia" w:eastAsiaTheme="minorEastAsia" w:cstheme="minorEastAsia"/>
          <w:b/>
          <w:bCs/>
          <w:color w:val="auto"/>
          <w:sz w:val="28"/>
          <w:szCs w:val="28"/>
          <w:highlight w:val="none"/>
        </w:rPr>
        <w:t>：</w:t>
      </w:r>
    </w:p>
    <w:p w14:paraId="5D82BA4E">
      <w:pPr>
        <w:pStyle w:val="18"/>
        <w:keepNext w:val="0"/>
        <w:keepLines w:val="0"/>
        <w:pageBreakBefore w:val="0"/>
        <w:kinsoku/>
        <w:wordWrap/>
        <w:overflowPunct/>
        <w:topLinePunct w:val="0"/>
        <w:autoSpaceDE w:val="0"/>
        <w:autoSpaceDN w:val="0"/>
        <w:bidi w:val="0"/>
        <w:adjustRightInd w:val="0"/>
        <w:spacing w:line="440" w:lineRule="exact"/>
        <w:jc w:val="center"/>
        <w:textAlignment w:val="auto"/>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廉洁协议</w:t>
      </w:r>
    </w:p>
    <w:p w14:paraId="784D64EA">
      <w:pPr>
        <w:pStyle w:val="19"/>
        <w:keepNext w:val="0"/>
        <w:keepLines w:val="0"/>
        <w:pageBreakBefore w:val="0"/>
        <w:kinsoku/>
        <w:wordWrap/>
        <w:overflowPunct/>
        <w:topLinePunct w:val="0"/>
        <w:bidi w:val="0"/>
        <w:adjustRightInd w:val="0"/>
        <w:snapToGrid w:val="0"/>
        <w:spacing w:line="440" w:lineRule="exact"/>
        <w:ind w:firstLine="482" w:firstLineChars="200"/>
        <w:textAlignment w:val="auto"/>
        <w:rPr>
          <w:rFonts w:hint="default" w:asciiTheme="minorEastAsia" w:hAnsiTheme="minorEastAsia" w:eastAsiaTheme="minorEastAsia" w:cstheme="minorEastAsia"/>
          <w:b/>
          <w:bCs/>
          <w:color w:val="auto"/>
          <w:sz w:val="24"/>
          <w:szCs w:val="24"/>
          <w:highlight w:val="none"/>
        </w:rPr>
      </w:pPr>
      <w:r>
        <w:rPr>
          <w:rFonts w:asciiTheme="minorEastAsia" w:hAnsiTheme="minorEastAsia" w:eastAsiaTheme="minorEastAsia" w:cstheme="minorEastAsia"/>
          <w:b/>
          <w:bCs/>
          <w:color w:val="auto"/>
          <w:sz w:val="24"/>
          <w:szCs w:val="24"/>
          <w:highlight w:val="none"/>
        </w:rPr>
        <w:t>甲方：</w:t>
      </w:r>
      <w:r>
        <w:rPr>
          <w:rFonts w:hint="eastAsia" w:asciiTheme="minorEastAsia" w:hAnsiTheme="minorEastAsia" w:eastAsiaTheme="minorEastAsia" w:cstheme="minorEastAsia"/>
          <w:b/>
          <w:bCs/>
          <w:color w:val="auto"/>
          <w:sz w:val="24"/>
          <w:szCs w:val="24"/>
          <w:highlight w:val="none"/>
          <w:u w:val="single"/>
        </w:rPr>
        <w:t>深圳市湾东物业服务有限公司</w:t>
      </w:r>
    </w:p>
    <w:p w14:paraId="4EC6C468">
      <w:pPr>
        <w:pStyle w:val="19"/>
        <w:keepNext w:val="0"/>
        <w:keepLines w:val="0"/>
        <w:pageBreakBefore w:val="0"/>
        <w:kinsoku/>
        <w:wordWrap/>
        <w:overflowPunct/>
        <w:topLinePunct w:val="0"/>
        <w:bidi w:val="0"/>
        <w:adjustRightInd w:val="0"/>
        <w:snapToGrid w:val="0"/>
        <w:spacing w:line="440" w:lineRule="exact"/>
        <w:ind w:firstLine="482" w:firstLineChars="200"/>
        <w:textAlignment w:val="auto"/>
        <w:rPr>
          <w:rFonts w:hint="default" w:asciiTheme="minorEastAsia" w:hAnsiTheme="minorEastAsia" w:eastAsiaTheme="minorEastAsia" w:cstheme="minorEastAsia"/>
          <w:b/>
          <w:bCs/>
          <w:color w:val="auto"/>
          <w:sz w:val="24"/>
          <w:szCs w:val="24"/>
          <w:highlight w:val="none"/>
          <w:u w:val="single"/>
        </w:rPr>
      </w:pPr>
      <w:r>
        <w:rPr>
          <w:rFonts w:asciiTheme="minorEastAsia" w:hAnsiTheme="minorEastAsia" w:eastAsiaTheme="minorEastAsia" w:cstheme="minorEastAsia"/>
          <w:b/>
          <w:bCs/>
          <w:color w:val="auto"/>
          <w:sz w:val="24"/>
          <w:szCs w:val="24"/>
          <w:highlight w:val="none"/>
        </w:rPr>
        <w:t>乙方：</w:t>
      </w:r>
      <w:r>
        <w:rPr>
          <w:rFonts w:asciiTheme="minorEastAsia" w:hAnsiTheme="minorEastAsia" w:eastAsiaTheme="minorEastAsia" w:cstheme="minorEastAsia"/>
          <w:b/>
          <w:bCs/>
          <w:color w:val="auto"/>
          <w:sz w:val="24"/>
          <w:szCs w:val="24"/>
          <w:highlight w:val="none"/>
          <w:u w:val="single"/>
        </w:rPr>
        <w:t xml:space="preserve">                                 </w:t>
      </w:r>
    </w:p>
    <w:p w14:paraId="455F90CF">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甲乙双方为加强阳光合作，保证职员执业安全，甲乙双方经协商</w:t>
      </w:r>
      <w:r>
        <w:rPr>
          <w:rFonts w:hint="eastAsia" w:asciiTheme="minorEastAsia" w:hAnsiTheme="minorEastAsia" w:cstheme="minorEastAsia"/>
          <w:color w:val="auto"/>
          <w:sz w:val="24"/>
          <w:highlight w:val="none"/>
          <w:lang w:eastAsia="zh-CN"/>
        </w:rPr>
        <w:t>签订</w:t>
      </w:r>
      <w:r>
        <w:rPr>
          <w:rFonts w:hint="eastAsia" w:asciiTheme="minorEastAsia" w:hAnsiTheme="minorEastAsia" w:cstheme="minorEastAsia"/>
          <w:color w:val="auto"/>
          <w:sz w:val="24"/>
          <w:highlight w:val="none"/>
        </w:rPr>
        <w:t>本廉洁协议并作为双方共同遵守的廉政行为准则。</w:t>
      </w:r>
    </w:p>
    <w:p w14:paraId="77055ADD">
      <w:pPr>
        <w:keepNext w:val="0"/>
        <w:keepLines w:val="0"/>
        <w:pageBreakBefore w:val="0"/>
        <w:widowControl/>
        <w:kinsoku/>
        <w:wordWrap/>
        <w:overflowPunct/>
        <w:topLinePunct w:val="0"/>
        <w:bidi w:val="0"/>
        <w:adjustRightInd w:val="0"/>
        <w:snapToGrid w:val="0"/>
        <w:spacing w:line="440" w:lineRule="exact"/>
        <w:ind w:firstLine="482" w:firstLineChars="200"/>
        <w:contextualSpacing/>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一、甲方责任</w:t>
      </w:r>
    </w:p>
    <w:p w14:paraId="44F6E23F">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1.甲方从事业务活动必须坚持公开、公平、公正、诚信、透明的原则（除法律法规认定的商业秘密和合同文件另有规定者外）。</w:t>
      </w:r>
    </w:p>
    <w:p w14:paraId="7898A4C2">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2.甲方人员应严格遵守本单位有廉政管理的规定，不得接受乙方任何形式的回扣、实物、现金、有价证券、礼券等有价物品，不得参加乙方提供的旅游或其他可能影响职务行为公正履行的活动。 </w:t>
      </w:r>
    </w:p>
    <w:p w14:paraId="1C9C8CE5">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3.甲方人员如违反廉政管理制度及本协议规定，甲方视情节轻重、影响大小给予处罚，或移交司法机关处理。</w:t>
      </w:r>
    </w:p>
    <w:p w14:paraId="3F6FBCD8">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4．对于乙方举报甲方人员违反廉政规定的情况，甲方应及时进行调查，根据调查情况进行处理，并将调查结果向乙方反馈。</w:t>
      </w:r>
    </w:p>
    <w:p w14:paraId="6C88C403">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5.接受举报的一方应为举报方保密，不得对举报方进行报复。</w:t>
      </w:r>
    </w:p>
    <w:p w14:paraId="6EE99E64">
      <w:pPr>
        <w:keepNext w:val="0"/>
        <w:keepLines w:val="0"/>
        <w:pageBreakBefore w:val="0"/>
        <w:widowControl/>
        <w:kinsoku/>
        <w:wordWrap/>
        <w:overflowPunct/>
        <w:topLinePunct w:val="0"/>
        <w:bidi w:val="0"/>
        <w:adjustRightInd w:val="0"/>
        <w:snapToGrid w:val="0"/>
        <w:spacing w:line="440" w:lineRule="exact"/>
        <w:ind w:firstLine="482" w:firstLineChars="200"/>
        <w:contextualSpacing/>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二、乙方责任</w:t>
      </w:r>
    </w:p>
    <w:p w14:paraId="458D8167">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乙方应与甲方保持正常的业务交往，按照有关法律法规和程序开展业务活动。</w:t>
      </w:r>
    </w:p>
    <w:p w14:paraId="572F9554">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1.乙方不得以任何形式给予甲方人员回扣、赠送实物、现金、有价证券、礼券等有价物品或提供旅游等其他可能影响职务行为公正履行的活动（以下统称“财物”）。</w:t>
      </w:r>
    </w:p>
    <w:p w14:paraId="1A66D926">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2.乙方有责任接受甲方对乙方在合作期间廉政管理执行情况的监督，并对甲方相关调查工作主动配合。</w:t>
      </w:r>
    </w:p>
    <w:p w14:paraId="3BCB0E71">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w:t>
      </w:r>
      <w:r>
        <w:rPr>
          <w:rFonts w:hint="eastAsia" w:asciiTheme="minorEastAsia" w:hAnsiTheme="minorEastAsia" w:cstheme="minorEastAsia"/>
          <w:color w:val="auto"/>
          <w:sz w:val="24"/>
          <w:highlight w:val="none"/>
          <w:u w:val="single"/>
          <w:lang w:bidi="en-US"/>
        </w:rPr>
        <w:t>本合同期内服务费总额</w:t>
      </w:r>
      <w:r>
        <w:rPr>
          <w:rFonts w:hint="eastAsia" w:asciiTheme="minorEastAsia" w:hAnsiTheme="minorEastAsia" w:cstheme="minorEastAsia"/>
          <w:color w:val="auto"/>
          <w:sz w:val="24"/>
          <w:highlight w:val="none"/>
          <w:u w:val="single"/>
        </w:rPr>
        <w:t>（      万元）的10%的</w:t>
      </w:r>
      <w:r>
        <w:rPr>
          <w:rFonts w:hint="eastAsia" w:asciiTheme="minorEastAsia" w:hAnsiTheme="minorEastAsia" w:cstheme="minorEastAsia"/>
          <w:color w:val="auto"/>
          <w:sz w:val="24"/>
          <w:highlight w:val="none"/>
        </w:rPr>
        <w:t>违约金，并对乙方知情不报人员进行相应处罚，被司法机关立案查处核实属实的，甲方有权解除原合同，如甲方解除原合同的，则乙方应退还甲方所支付的所有款项并按原合同与本合同约定承担违约责任。</w:t>
      </w:r>
    </w:p>
    <w:p w14:paraId="5901D994">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4．甲方接受乙方实名或匿名举报，保证为举报者的信息保密。</w:t>
      </w:r>
    </w:p>
    <w:p w14:paraId="4D13B0CA">
      <w:pPr>
        <w:keepNext w:val="0"/>
        <w:keepLines w:val="0"/>
        <w:pageBreakBefore w:val="0"/>
        <w:widowControl/>
        <w:kinsoku/>
        <w:wordWrap/>
        <w:overflowPunct/>
        <w:topLinePunct w:val="0"/>
        <w:bidi w:val="0"/>
        <w:adjustRightInd w:val="0"/>
        <w:snapToGrid w:val="0"/>
        <w:spacing w:line="440" w:lineRule="exact"/>
        <w:ind w:firstLine="482" w:firstLineChars="200"/>
        <w:contextualSpacing/>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三、其他</w:t>
      </w:r>
    </w:p>
    <w:p w14:paraId="1C7A7B6B">
      <w:pPr>
        <w:keepNext w:val="0"/>
        <w:keepLines w:val="0"/>
        <w:pageBreakBefore w:val="0"/>
        <w:kinsoku/>
        <w:wordWrap/>
        <w:overflowPunct/>
        <w:topLinePunct w:val="0"/>
        <w:bidi w:val="0"/>
        <w:adjustRightInd w:val="0"/>
        <w:snapToGrid w:val="0"/>
        <w:spacing w:line="440" w:lineRule="exact"/>
        <w:ind w:firstLine="480" w:firstLineChars="200"/>
        <w:contextualSpacing/>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本协议经双方签署后生效。</w:t>
      </w:r>
    </w:p>
    <w:p w14:paraId="7ABCE750">
      <w:pPr>
        <w:keepNext w:val="0"/>
        <w:keepLines w:val="0"/>
        <w:pageBreakBefore w:val="0"/>
        <w:kinsoku/>
        <w:wordWrap/>
        <w:overflowPunct/>
        <w:topLinePunct w:val="0"/>
        <w:bidi w:val="0"/>
        <w:spacing w:line="440" w:lineRule="exact"/>
        <w:contextualSpacing/>
        <w:jc w:val="left"/>
        <w:textAlignment w:val="auto"/>
        <w:rPr>
          <w:rFonts w:asciiTheme="minorEastAsia" w:hAnsiTheme="minorEastAsia" w:cstheme="minorEastAsia"/>
          <w:b/>
          <w:bCs/>
          <w:color w:val="auto"/>
          <w:sz w:val="24"/>
          <w:highlight w:val="none"/>
        </w:rPr>
      </w:pPr>
    </w:p>
    <w:p w14:paraId="4C438796">
      <w:pPr>
        <w:keepNext w:val="0"/>
        <w:keepLines w:val="0"/>
        <w:pageBreakBefore w:val="0"/>
        <w:kinsoku/>
        <w:wordWrap/>
        <w:overflowPunct/>
        <w:topLinePunct w:val="0"/>
        <w:bidi w:val="0"/>
        <w:adjustRightInd w:val="0"/>
        <w:snapToGrid w:val="0"/>
        <w:spacing w:line="440" w:lineRule="exact"/>
        <w:textAlignment w:val="auto"/>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甲乙双方签字盖章：</w:t>
      </w:r>
    </w:p>
    <w:tbl>
      <w:tblPr>
        <w:tblStyle w:val="13"/>
        <w:tblW w:w="9180" w:type="dxa"/>
        <w:tblInd w:w="0" w:type="dxa"/>
        <w:tblLayout w:type="fixed"/>
        <w:tblCellMar>
          <w:top w:w="0" w:type="dxa"/>
          <w:left w:w="108" w:type="dxa"/>
          <w:bottom w:w="0" w:type="dxa"/>
          <w:right w:w="108" w:type="dxa"/>
        </w:tblCellMar>
      </w:tblPr>
      <w:tblGrid>
        <w:gridCol w:w="4590"/>
        <w:gridCol w:w="4590"/>
      </w:tblGrid>
      <w:tr w14:paraId="131C29EF">
        <w:tblPrEx>
          <w:tblCellMar>
            <w:top w:w="0" w:type="dxa"/>
            <w:left w:w="108" w:type="dxa"/>
            <w:bottom w:w="0" w:type="dxa"/>
            <w:right w:w="108" w:type="dxa"/>
          </w:tblCellMar>
        </w:tblPrEx>
        <w:trPr>
          <w:trHeight w:val="1113" w:hRule="atLeast"/>
        </w:trPr>
        <w:tc>
          <w:tcPr>
            <w:tcW w:w="4590" w:type="dxa"/>
          </w:tcPr>
          <w:p w14:paraId="3B62F04C">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甲方（盖章）：</w:t>
            </w:r>
          </w:p>
          <w:p w14:paraId="3CF26564">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p>
        </w:tc>
        <w:tc>
          <w:tcPr>
            <w:tcW w:w="4590" w:type="dxa"/>
          </w:tcPr>
          <w:p w14:paraId="6FF6C7D2">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乙方（盖章）：</w:t>
            </w:r>
          </w:p>
          <w:p w14:paraId="7FB9CC70">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p>
        </w:tc>
      </w:tr>
      <w:tr w14:paraId="4CDE179E">
        <w:tblPrEx>
          <w:tblCellMar>
            <w:top w:w="0" w:type="dxa"/>
            <w:left w:w="108" w:type="dxa"/>
            <w:bottom w:w="0" w:type="dxa"/>
            <w:right w:w="108" w:type="dxa"/>
          </w:tblCellMar>
        </w:tblPrEx>
        <w:trPr>
          <w:trHeight w:val="1195" w:hRule="atLeast"/>
        </w:trPr>
        <w:tc>
          <w:tcPr>
            <w:tcW w:w="4590" w:type="dxa"/>
          </w:tcPr>
          <w:p w14:paraId="48C2D308">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法定代表人（授权代表）签字：</w:t>
            </w:r>
          </w:p>
          <w:p w14:paraId="1D23A618">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p>
        </w:tc>
        <w:tc>
          <w:tcPr>
            <w:tcW w:w="4590" w:type="dxa"/>
          </w:tcPr>
          <w:p w14:paraId="7246D22A">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法定代表人（授权代表）签字：</w:t>
            </w:r>
          </w:p>
          <w:p w14:paraId="474FDC4B">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rPr>
            </w:pPr>
          </w:p>
        </w:tc>
      </w:tr>
      <w:tr w14:paraId="63BD4FB2">
        <w:tblPrEx>
          <w:tblCellMar>
            <w:top w:w="0" w:type="dxa"/>
            <w:left w:w="108" w:type="dxa"/>
            <w:bottom w:w="0" w:type="dxa"/>
            <w:right w:w="108" w:type="dxa"/>
          </w:tblCellMar>
        </w:tblPrEx>
        <w:trPr>
          <w:trHeight w:val="713" w:hRule="atLeast"/>
        </w:trPr>
        <w:tc>
          <w:tcPr>
            <w:tcW w:w="4590" w:type="dxa"/>
          </w:tcPr>
          <w:p w14:paraId="54826166">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u w:val="single"/>
              </w:rPr>
            </w:pPr>
            <w:r>
              <w:rPr>
                <w:rFonts w:hint="eastAsia" w:asciiTheme="minorEastAsia" w:hAnsiTheme="minorEastAsia" w:cstheme="minorEastAsia"/>
                <w:b/>
                <w:color w:val="auto"/>
                <w:sz w:val="24"/>
                <w:highlight w:val="none"/>
              </w:rPr>
              <w:t>签约日期：     年   月   日</w:t>
            </w:r>
          </w:p>
        </w:tc>
        <w:tc>
          <w:tcPr>
            <w:tcW w:w="4590" w:type="dxa"/>
          </w:tcPr>
          <w:p w14:paraId="4F38DC41">
            <w:pPr>
              <w:keepNext w:val="0"/>
              <w:keepLines w:val="0"/>
              <w:pageBreakBefore w:val="0"/>
              <w:kinsoku/>
              <w:wordWrap/>
              <w:overflowPunct/>
              <w:topLinePunct w:val="0"/>
              <w:bidi w:val="0"/>
              <w:spacing w:line="440" w:lineRule="exact"/>
              <w:textAlignment w:val="auto"/>
              <w:rPr>
                <w:rFonts w:asciiTheme="minorEastAsia" w:hAnsiTheme="minorEastAsia" w:cstheme="minorEastAsia"/>
                <w:b/>
                <w:color w:val="auto"/>
                <w:sz w:val="24"/>
                <w:highlight w:val="none"/>
                <w:u w:val="single"/>
              </w:rPr>
            </w:pPr>
            <w:r>
              <w:rPr>
                <w:rFonts w:hint="eastAsia" w:asciiTheme="minorEastAsia" w:hAnsiTheme="minorEastAsia" w:cstheme="minorEastAsia"/>
                <w:b/>
                <w:color w:val="auto"/>
                <w:sz w:val="24"/>
                <w:highlight w:val="none"/>
              </w:rPr>
              <w:t>签约日期：     年   月   日</w:t>
            </w:r>
          </w:p>
        </w:tc>
      </w:tr>
    </w:tbl>
    <w:p w14:paraId="4D612537">
      <w:pPr>
        <w:pStyle w:val="10"/>
        <w:keepNext w:val="0"/>
        <w:keepLines w:val="0"/>
        <w:pageBreakBefore w:val="0"/>
        <w:kinsoku/>
        <w:wordWrap/>
        <w:overflowPunct/>
        <w:topLinePunct w:val="0"/>
        <w:bidi w:val="0"/>
        <w:spacing w:line="440" w:lineRule="exact"/>
        <w:textAlignment w:val="auto"/>
        <w:rPr>
          <w:rFonts w:asciiTheme="minorEastAsia" w:hAnsiTheme="minorEastAsia" w:eastAsiaTheme="minorEastAsia" w:cstheme="minorEastAsia"/>
          <w:color w:val="auto"/>
          <w:highlight w:val="none"/>
        </w:rPr>
      </w:pPr>
    </w:p>
    <w:p w14:paraId="309E752C">
      <w:pPr>
        <w:pStyle w:val="11"/>
        <w:keepNext w:val="0"/>
        <w:keepLines w:val="0"/>
        <w:pageBreakBefore w:val="0"/>
        <w:kinsoku/>
        <w:wordWrap/>
        <w:overflowPunct/>
        <w:topLinePunct w:val="0"/>
        <w:bidi w:val="0"/>
        <w:spacing w:line="440" w:lineRule="exact"/>
        <w:textAlignment w:val="auto"/>
        <w:rPr>
          <w:rFonts w:asciiTheme="minorEastAsia" w:hAnsiTheme="minorEastAsia" w:cstheme="minorEastAsia"/>
          <w:color w:val="auto"/>
          <w:highlight w:val="none"/>
        </w:rPr>
      </w:pPr>
      <w:r>
        <w:rPr>
          <w:rFonts w:hint="eastAsia" w:asciiTheme="minorEastAsia" w:hAnsiTheme="minorEastAsia" w:cstheme="minorEastAsia"/>
          <w:color w:val="auto"/>
          <w:highlight w:val="none"/>
        </w:rPr>
        <w:br w:type="page"/>
      </w:r>
    </w:p>
    <w:p w14:paraId="542850AE">
      <w:pPr>
        <w:pStyle w:val="18"/>
        <w:keepNext w:val="0"/>
        <w:keepLines w:val="0"/>
        <w:pageBreakBefore w:val="0"/>
        <w:kinsoku/>
        <w:wordWrap/>
        <w:overflowPunct/>
        <w:topLinePunct w:val="0"/>
        <w:autoSpaceDE w:val="0"/>
        <w:autoSpaceDN w:val="0"/>
        <w:bidi w:val="0"/>
        <w:adjustRightInd w:val="0"/>
        <w:snapToGrid w:val="0"/>
        <w:spacing w:line="440" w:lineRule="exact"/>
        <w:jc w:val="left"/>
        <w:textAlignment w:val="auto"/>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eastAsiaTheme="minorEastAsia" w:cstheme="minorEastAsia"/>
          <w:b/>
          <w:bCs/>
          <w:color w:val="auto"/>
          <w:sz w:val="28"/>
          <w:szCs w:val="28"/>
          <w:highlight w:val="none"/>
          <w:lang w:val="en-US" w:eastAsia="zh-CN"/>
        </w:rPr>
        <w:t>5</w:t>
      </w:r>
      <w:r>
        <w:rPr>
          <w:rFonts w:hint="eastAsia" w:asciiTheme="minorEastAsia" w:hAnsiTheme="minorEastAsia" w:eastAsiaTheme="minorEastAsia" w:cstheme="minorEastAsia"/>
          <w:b/>
          <w:bCs/>
          <w:color w:val="auto"/>
          <w:sz w:val="28"/>
          <w:szCs w:val="28"/>
          <w:highlight w:val="none"/>
        </w:rPr>
        <w:t>：</w:t>
      </w:r>
    </w:p>
    <w:p w14:paraId="62CD6311">
      <w:pPr>
        <w:pStyle w:val="7"/>
        <w:keepNext w:val="0"/>
        <w:keepLines w:val="0"/>
        <w:pageBreakBefore w:val="0"/>
        <w:kinsoku/>
        <w:wordWrap/>
        <w:overflowPunct/>
        <w:topLinePunct w:val="0"/>
        <w:bidi w:val="0"/>
        <w:adjustRightInd w:val="0"/>
        <w:snapToGrid w:val="0"/>
        <w:spacing w:line="440" w:lineRule="exact"/>
        <w:jc w:val="center"/>
        <w:textAlignment w:val="auto"/>
        <w:rPr>
          <w:rStyle w:val="20"/>
          <w:rFonts w:asciiTheme="minorEastAsia" w:hAnsiTheme="minorEastAsia" w:eastAsiaTheme="minorEastAsia" w:cstheme="minorEastAsia"/>
          <w:b/>
          <w:bCs/>
          <w:color w:val="auto"/>
          <w:sz w:val="28"/>
          <w:szCs w:val="28"/>
          <w:highlight w:val="none"/>
        </w:rPr>
      </w:pPr>
      <w:r>
        <w:rPr>
          <w:rStyle w:val="20"/>
          <w:rFonts w:hint="eastAsia" w:asciiTheme="minorEastAsia" w:hAnsiTheme="minorEastAsia" w:eastAsiaTheme="minorEastAsia" w:cstheme="minorEastAsia"/>
          <w:b/>
          <w:bCs/>
          <w:color w:val="auto"/>
          <w:sz w:val="28"/>
          <w:szCs w:val="28"/>
          <w:highlight w:val="none"/>
        </w:rPr>
        <w:t>龙岗区进一步规范政商交往行为告知书</w:t>
      </w:r>
    </w:p>
    <w:p w14:paraId="72156156">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97C0C3">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一、不得向公职人员赠送礼品、礼金、消费卡等财物。</w:t>
      </w:r>
    </w:p>
    <w:p w14:paraId="7AD7CD06">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二、不得违规向公职人员提供宴请、旅游、娱乐等安排。</w:t>
      </w:r>
    </w:p>
    <w:p w14:paraId="09E4108A">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三、不得通过打麻将等形式向公职人员输送利益。</w:t>
      </w:r>
    </w:p>
    <w:p w14:paraId="598909EF">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四、不得为公职人员报销应由其个人支付的费用。</w:t>
      </w:r>
    </w:p>
    <w:p w14:paraId="512C9F41">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五、不得违规向公职人员及其亲友借贷款。</w:t>
      </w:r>
    </w:p>
    <w:p w14:paraId="742B0AB1">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六、不得违规将车辆、住房等借给公职人员使用。</w:t>
      </w:r>
    </w:p>
    <w:p w14:paraId="1CB49F5E">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七、不得在招投标中与公职人员搞暗箱操作、围标串标。</w:t>
      </w:r>
    </w:p>
    <w:p w14:paraId="0BF6AC44">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八、不得为利益相关人和公职人员牵线搭桥或者代为传递信息、传递财物。</w:t>
      </w:r>
    </w:p>
    <w:p w14:paraId="644009DE">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九、不得让公职人员在企业违规兼职取酬。</w:t>
      </w:r>
    </w:p>
    <w:p w14:paraId="2518A421">
      <w:pPr>
        <w:pStyle w:val="7"/>
        <w:keepNext w:val="0"/>
        <w:keepLines w:val="0"/>
        <w:pageBreakBefore w:val="0"/>
        <w:kinsoku/>
        <w:wordWrap/>
        <w:overflowPunct/>
        <w:topLinePunct w:val="0"/>
        <w:bidi w:val="0"/>
        <w:adjustRightInd w:val="0"/>
        <w:snapToGrid w:val="0"/>
        <w:spacing w:line="440" w:lineRule="exact"/>
        <w:ind w:firstLine="480" w:firstLineChars="200"/>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十、不得为公职人员亲友违规承揽业务提供便利。</w:t>
      </w:r>
    </w:p>
    <w:p w14:paraId="0344BDA3">
      <w:pPr>
        <w:pStyle w:val="7"/>
        <w:keepNext w:val="0"/>
        <w:keepLines w:val="0"/>
        <w:pageBreakBefore w:val="0"/>
        <w:kinsoku/>
        <w:wordWrap/>
        <w:overflowPunct/>
        <w:topLinePunct w:val="0"/>
        <w:bidi w:val="0"/>
        <w:adjustRightInd w:val="0"/>
        <w:snapToGrid w:val="0"/>
        <w:spacing w:line="440" w:lineRule="exact"/>
        <w:ind w:firstLine="480" w:firstLineChars="200"/>
        <w:jc w:val="left"/>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62655C05">
      <w:pPr>
        <w:pStyle w:val="4"/>
        <w:keepNext w:val="0"/>
        <w:keepLines w:val="0"/>
        <w:pageBreakBefore w:val="0"/>
        <w:kinsoku/>
        <w:wordWrap/>
        <w:overflowPunct/>
        <w:topLinePunct w:val="0"/>
        <w:bidi w:val="0"/>
        <w:adjustRightInd w:val="0"/>
        <w:snapToGrid w:val="0"/>
        <w:spacing w:line="440" w:lineRule="exact"/>
        <w:ind w:left="0" w:leftChars="0"/>
        <w:textAlignment w:val="auto"/>
        <w:rPr>
          <w:rFonts w:asciiTheme="minorEastAsia" w:hAnsiTheme="minorEastAsia" w:cstheme="minorEastAsia"/>
          <w:color w:val="auto"/>
          <w:highlight w:val="none"/>
        </w:rPr>
      </w:pPr>
    </w:p>
    <w:p w14:paraId="784B915C">
      <w:pPr>
        <w:pStyle w:val="7"/>
        <w:keepNext w:val="0"/>
        <w:keepLines w:val="0"/>
        <w:pageBreakBefore w:val="0"/>
        <w:kinsoku/>
        <w:wordWrap/>
        <w:overflowPunct/>
        <w:topLinePunct w:val="0"/>
        <w:bidi w:val="0"/>
        <w:adjustRightInd w:val="0"/>
        <w:snapToGrid w:val="0"/>
        <w:spacing w:line="440" w:lineRule="exact"/>
        <w:ind w:firstLine="480" w:firstLineChars="200"/>
        <w:jc w:val="left"/>
        <w:textAlignment w:val="auto"/>
        <w:rPr>
          <w:rStyle w:val="21"/>
          <w:rFonts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本人已知晓上述告知内容，并愿意遵照执行（签名）：</w:t>
      </w:r>
    </w:p>
    <w:p w14:paraId="5D9DC567">
      <w:pPr>
        <w:pStyle w:val="4"/>
        <w:keepNext w:val="0"/>
        <w:keepLines w:val="0"/>
        <w:pageBreakBefore w:val="0"/>
        <w:kinsoku/>
        <w:wordWrap/>
        <w:overflowPunct/>
        <w:topLinePunct w:val="0"/>
        <w:bidi w:val="0"/>
        <w:spacing w:line="440" w:lineRule="exact"/>
        <w:ind w:left="2940"/>
        <w:textAlignment w:val="auto"/>
        <w:rPr>
          <w:rFonts w:asciiTheme="minorEastAsia" w:hAnsiTheme="minorEastAsia" w:cstheme="minorEastAsia"/>
          <w:color w:val="auto"/>
          <w:highlight w:val="none"/>
        </w:rPr>
      </w:pPr>
    </w:p>
    <w:p w14:paraId="74AACC95">
      <w:pPr>
        <w:pStyle w:val="7"/>
        <w:keepNext w:val="0"/>
        <w:keepLines w:val="0"/>
        <w:pageBreakBefore w:val="0"/>
        <w:kinsoku/>
        <w:wordWrap/>
        <w:overflowPunct/>
        <w:topLinePunct w:val="0"/>
        <w:bidi w:val="0"/>
        <w:spacing w:line="440" w:lineRule="exact"/>
        <w:ind w:firstLine="5280" w:firstLineChars="2200"/>
        <w:jc w:val="right"/>
        <w:textAlignment w:val="auto"/>
        <w:rPr>
          <w:rFonts w:asciiTheme="minorEastAsia" w:hAnsiTheme="minorEastAsia" w:cstheme="minorEastAsia"/>
          <w:color w:val="auto"/>
          <w:highlight w:val="none"/>
        </w:rPr>
      </w:pPr>
      <w:r>
        <w:rPr>
          <w:rStyle w:val="21"/>
          <w:rFonts w:hint="eastAsia" w:asciiTheme="minorEastAsia" w:hAnsiTheme="minorEastAsia" w:eastAsiaTheme="minorEastAsia" w:cstheme="minorEastAsia"/>
          <w:color w:val="auto"/>
          <w:sz w:val="24"/>
          <w:szCs w:val="24"/>
          <w:highlight w:val="none"/>
        </w:rPr>
        <w:t>年    月   日</w:t>
      </w:r>
    </w:p>
    <w:p w14:paraId="67A1E8E9">
      <w:pPr>
        <w:pStyle w:val="10"/>
        <w:keepNext w:val="0"/>
        <w:keepLines w:val="0"/>
        <w:pageBreakBefore w:val="0"/>
        <w:kinsoku/>
        <w:wordWrap/>
        <w:overflowPunct/>
        <w:topLinePunct w:val="0"/>
        <w:bidi w:val="0"/>
        <w:spacing w:line="440" w:lineRule="exact"/>
        <w:textAlignment w:val="auto"/>
        <w:rPr>
          <w:color w:val="auto"/>
          <w:highlight w:val="none"/>
        </w:rPr>
      </w:pPr>
    </w:p>
    <w:sectPr>
      <w:pgSz w:w="11906" w:h="16838"/>
      <w:pgMar w:top="1440" w:right="1576" w:bottom="1446"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FZXBSJW--GB1-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Guli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6576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A56BA">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CBA56BA">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YjViMzQyMGQ1Njc3MTYxZDNiYTUwYjA4YjE5MWEifQ=="/>
  </w:docVars>
  <w:rsids>
    <w:rsidRoot w:val="4915620A"/>
    <w:rsid w:val="000579BD"/>
    <w:rsid w:val="000772FA"/>
    <w:rsid w:val="00080CDA"/>
    <w:rsid w:val="000B601C"/>
    <w:rsid w:val="000B7E59"/>
    <w:rsid w:val="00136B2C"/>
    <w:rsid w:val="00145C2F"/>
    <w:rsid w:val="001721C0"/>
    <w:rsid w:val="001869F0"/>
    <w:rsid w:val="00187869"/>
    <w:rsid w:val="00211DB8"/>
    <w:rsid w:val="002B08CE"/>
    <w:rsid w:val="00312FAF"/>
    <w:rsid w:val="003918DE"/>
    <w:rsid w:val="00493C62"/>
    <w:rsid w:val="004D1A24"/>
    <w:rsid w:val="0052300B"/>
    <w:rsid w:val="005A7669"/>
    <w:rsid w:val="005C6D17"/>
    <w:rsid w:val="005D70DC"/>
    <w:rsid w:val="006012CB"/>
    <w:rsid w:val="006029CB"/>
    <w:rsid w:val="00630A98"/>
    <w:rsid w:val="00632ACF"/>
    <w:rsid w:val="00696A75"/>
    <w:rsid w:val="006F5599"/>
    <w:rsid w:val="007A3E25"/>
    <w:rsid w:val="00816A00"/>
    <w:rsid w:val="00960AF3"/>
    <w:rsid w:val="00983B96"/>
    <w:rsid w:val="009C0AC2"/>
    <w:rsid w:val="009C512B"/>
    <w:rsid w:val="009F0152"/>
    <w:rsid w:val="00AB1F93"/>
    <w:rsid w:val="00AC744B"/>
    <w:rsid w:val="00B4108F"/>
    <w:rsid w:val="00C032E4"/>
    <w:rsid w:val="00C576C3"/>
    <w:rsid w:val="00C87492"/>
    <w:rsid w:val="00D86441"/>
    <w:rsid w:val="00D91EB8"/>
    <w:rsid w:val="00DE3C40"/>
    <w:rsid w:val="00DE6F13"/>
    <w:rsid w:val="00DF13E3"/>
    <w:rsid w:val="00FF5D47"/>
    <w:rsid w:val="01087A1A"/>
    <w:rsid w:val="011346A1"/>
    <w:rsid w:val="01814380"/>
    <w:rsid w:val="01817DD5"/>
    <w:rsid w:val="01A95BA6"/>
    <w:rsid w:val="02985ECB"/>
    <w:rsid w:val="02AC09A4"/>
    <w:rsid w:val="02B7541C"/>
    <w:rsid w:val="02C4612E"/>
    <w:rsid w:val="030054FC"/>
    <w:rsid w:val="03152261"/>
    <w:rsid w:val="035469FD"/>
    <w:rsid w:val="03D32124"/>
    <w:rsid w:val="03FA00D5"/>
    <w:rsid w:val="04153C2F"/>
    <w:rsid w:val="044A3D6F"/>
    <w:rsid w:val="04A139AB"/>
    <w:rsid w:val="04D25F16"/>
    <w:rsid w:val="051E257A"/>
    <w:rsid w:val="0537196E"/>
    <w:rsid w:val="05AB762C"/>
    <w:rsid w:val="05E763B1"/>
    <w:rsid w:val="05E80EC0"/>
    <w:rsid w:val="05FB5326"/>
    <w:rsid w:val="060D176D"/>
    <w:rsid w:val="065972F6"/>
    <w:rsid w:val="06647735"/>
    <w:rsid w:val="066B01F8"/>
    <w:rsid w:val="06976013"/>
    <w:rsid w:val="06AB246C"/>
    <w:rsid w:val="06D8499C"/>
    <w:rsid w:val="073F53B2"/>
    <w:rsid w:val="076261E0"/>
    <w:rsid w:val="0765084B"/>
    <w:rsid w:val="076E371E"/>
    <w:rsid w:val="07862CFA"/>
    <w:rsid w:val="07BF7490"/>
    <w:rsid w:val="082C5A3E"/>
    <w:rsid w:val="089207F4"/>
    <w:rsid w:val="090F4200"/>
    <w:rsid w:val="095552D2"/>
    <w:rsid w:val="097710B6"/>
    <w:rsid w:val="09B11201"/>
    <w:rsid w:val="09CD7FF8"/>
    <w:rsid w:val="09D73808"/>
    <w:rsid w:val="0A17166C"/>
    <w:rsid w:val="0A341770"/>
    <w:rsid w:val="0A6371CB"/>
    <w:rsid w:val="0A741EBF"/>
    <w:rsid w:val="0ABB30AA"/>
    <w:rsid w:val="0AD50FC0"/>
    <w:rsid w:val="0AE52F73"/>
    <w:rsid w:val="0AF3705C"/>
    <w:rsid w:val="0AF85654"/>
    <w:rsid w:val="0B19647F"/>
    <w:rsid w:val="0B3F1F4A"/>
    <w:rsid w:val="0B4F00E7"/>
    <w:rsid w:val="0B511605"/>
    <w:rsid w:val="0B553A63"/>
    <w:rsid w:val="0BA1682B"/>
    <w:rsid w:val="0C1409BC"/>
    <w:rsid w:val="0C3F618B"/>
    <w:rsid w:val="0C761CA5"/>
    <w:rsid w:val="0CA57D25"/>
    <w:rsid w:val="0CB86F9F"/>
    <w:rsid w:val="0CC54D68"/>
    <w:rsid w:val="0CFE5889"/>
    <w:rsid w:val="0D352639"/>
    <w:rsid w:val="0D5F5548"/>
    <w:rsid w:val="0D7B5B40"/>
    <w:rsid w:val="0DB03D86"/>
    <w:rsid w:val="0DC678BA"/>
    <w:rsid w:val="0EB37172"/>
    <w:rsid w:val="0EE6151D"/>
    <w:rsid w:val="0EFD148A"/>
    <w:rsid w:val="0F2F0435"/>
    <w:rsid w:val="0F51394A"/>
    <w:rsid w:val="0F5B2655"/>
    <w:rsid w:val="0F8729F2"/>
    <w:rsid w:val="1022792C"/>
    <w:rsid w:val="10393FAE"/>
    <w:rsid w:val="109C3BA5"/>
    <w:rsid w:val="10C55625"/>
    <w:rsid w:val="113849FC"/>
    <w:rsid w:val="113969C6"/>
    <w:rsid w:val="1179067D"/>
    <w:rsid w:val="11D438A6"/>
    <w:rsid w:val="12435D4E"/>
    <w:rsid w:val="125328E0"/>
    <w:rsid w:val="125774AD"/>
    <w:rsid w:val="125D5B64"/>
    <w:rsid w:val="125F19D0"/>
    <w:rsid w:val="130F65B4"/>
    <w:rsid w:val="134A4EBA"/>
    <w:rsid w:val="1381583C"/>
    <w:rsid w:val="13AB626E"/>
    <w:rsid w:val="13D406A9"/>
    <w:rsid w:val="154438BD"/>
    <w:rsid w:val="15D02367"/>
    <w:rsid w:val="16BD5F0D"/>
    <w:rsid w:val="16D5199A"/>
    <w:rsid w:val="16F86AF6"/>
    <w:rsid w:val="16FE111D"/>
    <w:rsid w:val="17123123"/>
    <w:rsid w:val="17257C12"/>
    <w:rsid w:val="17D45EAE"/>
    <w:rsid w:val="17DF3D77"/>
    <w:rsid w:val="17E515E6"/>
    <w:rsid w:val="182061EA"/>
    <w:rsid w:val="18276AC0"/>
    <w:rsid w:val="18664D39"/>
    <w:rsid w:val="1888582A"/>
    <w:rsid w:val="188D1F9A"/>
    <w:rsid w:val="18AD03AA"/>
    <w:rsid w:val="18C951CF"/>
    <w:rsid w:val="18D62E7B"/>
    <w:rsid w:val="18F86286"/>
    <w:rsid w:val="191D7066"/>
    <w:rsid w:val="194874E2"/>
    <w:rsid w:val="19B968F6"/>
    <w:rsid w:val="19C65056"/>
    <w:rsid w:val="19CA25AF"/>
    <w:rsid w:val="19FD67E3"/>
    <w:rsid w:val="1A014939"/>
    <w:rsid w:val="1A1D2B3D"/>
    <w:rsid w:val="1A457C7B"/>
    <w:rsid w:val="1A51644D"/>
    <w:rsid w:val="1A6920CA"/>
    <w:rsid w:val="1AA72BF2"/>
    <w:rsid w:val="1ABB55C7"/>
    <w:rsid w:val="1B4B634A"/>
    <w:rsid w:val="1B6D6792"/>
    <w:rsid w:val="1B813545"/>
    <w:rsid w:val="1C161D8E"/>
    <w:rsid w:val="1C42602E"/>
    <w:rsid w:val="1C4A5B3A"/>
    <w:rsid w:val="1C566EDA"/>
    <w:rsid w:val="1C690493"/>
    <w:rsid w:val="1CC46E0C"/>
    <w:rsid w:val="1CCA66B2"/>
    <w:rsid w:val="1CE32FBF"/>
    <w:rsid w:val="1D831A94"/>
    <w:rsid w:val="1DEB39F5"/>
    <w:rsid w:val="1DEB7674"/>
    <w:rsid w:val="1E033059"/>
    <w:rsid w:val="1EFF288D"/>
    <w:rsid w:val="1F51312D"/>
    <w:rsid w:val="1F5171DB"/>
    <w:rsid w:val="1F88665B"/>
    <w:rsid w:val="1FAF6623"/>
    <w:rsid w:val="203915B6"/>
    <w:rsid w:val="204201F7"/>
    <w:rsid w:val="20653C0A"/>
    <w:rsid w:val="208C3DE0"/>
    <w:rsid w:val="209D5363"/>
    <w:rsid w:val="20E45DE4"/>
    <w:rsid w:val="211F4C71"/>
    <w:rsid w:val="213F215E"/>
    <w:rsid w:val="21440C8D"/>
    <w:rsid w:val="214F2A78"/>
    <w:rsid w:val="21B05E93"/>
    <w:rsid w:val="21BD7A10"/>
    <w:rsid w:val="22923CB0"/>
    <w:rsid w:val="22BD75AF"/>
    <w:rsid w:val="22D8603F"/>
    <w:rsid w:val="2313206F"/>
    <w:rsid w:val="232E3EB1"/>
    <w:rsid w:val="23453F18"/>
    <w:rsid w:val="23662024"/>
    <w:rsid w:val="23794FB4"/>
    <w:rsid w:val="23A00395"/>
    <w:rsid w:val="23CB313F"/>
    <w:rsid w:val="23F90674"/>
    <w:rsid w:val="241E68EF"/>
    <w:rsid w:val="242C7128"/>
    <w:rsid w:val="246D26F9"/>
    <w:rsid w:val="24D84977"/>
    <w:rsid w:val="2547045C"/>
    <w:rsid w:val="255E5A5E"/>
    <w:rsid w:val="258F521A"/>
    <w:rsid w:val="26096C40"/>
    <w:rsid w:val="261476BC"/>
    <w:rsid w:val="26372E93"/>
    <w:rsid w:val="26855D84"/>
    <w:rsid w:val="26D1560B"/>
    <w:rsid w:val="26EA1AA4"/>
    <w:rsid w:val="270069F9"/>
    <w:rsid w:val="27046C92"/>
    <w:rsid w:val="273614F1"/>
    <w:rsid w:val="27983685"/>
    <w:rsid w:val="279B6A56"/>
    <w:rsid w:val="28301449"/>
    <w:rsid w:val="28567C56"/>
    <w:rsid w:val="28660E9B"/>
    <w:rsid w:val="289924A0"/>
    <w:rsid w:val="29A364B3"/>
    <w:rsid w:val="29AB3F56"/>
    <w:rsid w:val="29B7244D"/>
    <w:rsid w:val="2A5A4B43"/>
    <w:rsid w:val="2AC05D36"/>
    <w:rsid w:val="2B021614"/>
    <w:rsid w:val="2B05199B"/>
    <w:rsid w:val="2B83053B"/>
    <w:rsid w:val="2BA0580B"/>
    <w:rsid w:val="2BBE23F4"/>
    <w:rsid w:val="2BCF2B66"/>
    <w:rsid w:val="2BF13CCD"/>
    <w:rsid w:val="2C1F4CDE"/>
    <w:rsid w:val="2C690C05"/>
    <w:rsid w:val="2CB71227"/>
    <w:rsid w:val="2CFA00AD"/>
    <w:rsid w:val="2E200CCA"/>
    <w:rsid w:val="2E425D77"/>
    <w:rsid w:val="2EB12D30"/>
    <w:rsid w:val="2ED12F10"/>
    <w:rsid w:val="2F0C7623"/>
    <w:rsid w:val="2F27673B"/>
    <w:rsid w:val="2F4F0156"/>
    <w:rsid w:val="2F802036"/>
    <w:rsid w:val="2F821F8D"/>
    <w:rsid w:val="2FA11208"/>
    <w:rsid w:val="2FA572A9"/>
    <w:rsid w:val="2FA84136"/>
    <w:rsid w:val="2FBE0F36"/>
    <w:rsid w:val="303A4CCB"/>
    <w:rsid w:val="306C3FE2"/>
    <w:rsid w:val="30934626"/>
    <w:rsid w:val="310B66B3"/>
    <w:rsid w:val="318711C7"/>
    <w:rsid w:val="31A11E23"/>
    <w:rsid w:val="31DA2966"/>
    <w:rsid w:val="31E05C6A"/>
    <w:rsid w:val="321B7C44"/>
    <w:rsid w:val="32A16B4B"/>
    <w:rsid w:val="33116BC7"/>
    <w:rsid w:val="33683939"/>
    <w:rsid w:val="33695444"/>
    <w:rsid w:val="33A62C7B"/>
    <w:rsid w:val="33AA6059"/>
    <w:rsid w:val="33DE4DDC"/>
    <w:rsid w:val="33E055F2"/>
    <w:rsid w:val="33E3095F"/>
    <w:rsid w:val="33E317C6"/>
    <w:rsid w:val="33F44F45"/>
    <w:rsid w:val="3482502A"/>
    <w:rsid w:val="349669C3"/>
    <w:rsid w:val="34E01201"/>
    <w:rsid w:val="34EA0F0A"/>
    <w:rsid w:val="354163A1"/>
    <w:rsid w:val="3551355F"/>
    <w:rsid w:val="35AC47BF"/>
    <w:rsid w:val="35AF59E0"/>
    <w:rsid w:val="36025D2A"/>
    <w:rsid w:val="36394FB5"/>
    <w:rsid w:val="36877708"/>
    <w:rsid w:val="37047A3C"/>
    <w:rsid w:val="373F4A34"/>
    <w:rsid w:val="377816A4"/>
    <w:rsid w:val="379856B1"/>
    <w:rsid w:val="37C0158C"/>
    <w:rsid w:val="37C77B11"/>
    <w:rsid w:val="37E13A61"/>
    <w:rsid w:val="37E53932"/>
    <w:rsid w:val="37ED7A3F"/>
    <w:rsid w:val="38670764"/>
    <w:rsid w:val="38D55202"/>
    <w:rsid w:val="391C018A"/>
    <w:rsid w:val="39233C8D"/>
    <w:rsid w:val="396A0B65"/>
    <w:rsid w:val="397828EF"/>
    <w:rsid w:val="399D4628"/>
    <w:rsid w:val="3A0F44EC"/>
    <w:rsid w:val="3A1E1952"/>
    <w:rsid w:val="3A22116D"/>
    <w:rsid w:val="3A442057"/>
    <w:rsid w:val="3A752A6E"/>
    <w:rsid w:val="3B081C64"/>
    <w:rsid w:val="3B3B4F65"/>
    <w:rsid w:val="3B61144F"/>
    <w:rsid w:val="3C102E5C"/>
    <w:rsid w:val="3C7077C6"/>
    <w:rsid w:val="3CE53C23"/>
    <w:rsid w:val="3DB1418F"/>
    <w:rsid w:val="3DCE4245"/>
    <w:rsid w:val="3DDA2813"/>
    <w:rsid w:val="3DDF00C1"/>
    <w:rsid w:val="3E076A54"/>
    <w:rsid w:val="3E0B601C"/>
    <w:rsid w:val="3E11578D"/>
    <w:rsid w:val="3E2F122E"/>
    <w:rsid w:val="3E387B3D"/>
    <w:rsid w:val="3E9537F8"/>
    <w:rsid w:val="3E9B1C9C"/>
    <w:rsid w:val="3EB26AE9"/>
    <w:rsid w:val="3ECF7E9E"/>
    <w:rsid w:val="3ED449CB"/>
    <w:rsid w:val="3F902C20"/>
    <w:rsid w:val="401450E2"/>
    <w:rsid w:val="403C77B5"/>
    <w:rsid w:val="40E070FE"/>
    <w:rsid w:val="41021100"/>
    <w:rsid w:val="413E6BF6"/>
    <w:rsid w:val="415E7AC6"/>
    <w:rsid w:val="418061D0"/>
    <w:rsid w:val="418D5DEE"/>
    <w:rsid w:val="41BC3100"/>
    <w:rsid w:val="41C42BBB"/>
    <w:rsid w:val="41F060D6"/>
    <w:rsid w:val="42271C5E"/>
    <w:rsid w:val="42333796"/>
    <w:rsid w:val="427822FD"/>
    <w:rsid w:val="42782973"/>
    <w:rsid w:val="42921BA7"/>
    <w:rsid w:val="42B87AB5"/>
    <w:rsid w:val="42C57C14"/>
    <w:rsid w:val="42DF1D6D"/>
    <w:rsid w:val="42F74D3A"/>
    <w:rsid w:val="43132C46"/>
    <w:rsid w:val="436405AD"/>
    <w:rsid w:val="437B2A7B"/>
    <w:rsid w:val="43C461B9"/>
    <w:rsid w:val="43E50B1F"/>
    <w:rsid w:val="449D5670"/>
    <w:rsid w:val="44A36C23"/>
    <w:rsid w:val="44B4181E"/>
    <w:rsid w:val="44D559FA"/>
    <w:rsid w:val="455D0E2E"/>
    <w:rsid w:val="462C622A"/>
    <w:rsid w:val="46733805"/>
    <w:rsid w:val="467A4716"/>
    <w:rsid w:val="469069D6"/>
    <w:rsid w:val="46FA1379"/>
    <w:rsid w:val="47182ABB"/>
    <w:rsid w:val="47ED5839"/>
    <w:rsid w:val="48311BC9"/>
    <w:rsid w:val="48380714"/>
    <w:rsid w:val="48494D53"/>
    <w:rsid w:val="48517ECD"/>
    <w:rsid w:val="48B8289C"/>
    <w:rsid w:val="49131225"/>
    <w:rsid w:val="4915620A"/>
    <w:rsid w:val="49253208"/>
    <w:rsid w:val="49441BF0"/>
    <w:rsid w:val="4963170F"/>
    <w:rsid w:val="499A3043"/>
    <w:rsid w:val="4A186734"/>
    <w:rsid w:val="4A2B6D86"/>
    <w:rsid w:val="4A81079C"/>
    <w:rsid w:val="4A952504"/>
    <w:rsid w:val="4ABB7993"/>
    <w:rsid w:val="4ADE309A"/>
    <w:rsid w:val="4B11618D"/>
    <w:rsid w:val="4B2200D0"/>
    <w:rsid w:val="4B400ACF"/>
    <w:rsid w:val="4B7B6958"/>
    <w:rsid w:val="4B8E2E8F"/>
    <w:rsid w:val="4BB64359"/>
    <w:rsid w:val="4C393DB2"/>
    <w:rsid w:val="4C7A4A89"/>
    <w:rsid w:val="4CBF43A2"/>
    <w:rsid w:val="4CDC2752"/>
    <w:rsid w:val="4CE021AD"/>
    <w:rsid w:val="4D31449C"/>
    <w:rsid w:val="4DE853E1"/>
    <w:rsid w:val="4E3758D8"/>
    <w:rsid w:val="4EF96F16"/>
    <w:rsid w:val="4F161BCE"/>
    <w:rsid w:val="4F6600DE"/>
    <w:rsid w:val="4FCD207F"/>
    <w:rsid w:val="4FE14E57"/>
    <w:rsid w:val="4FEE7ACB"/>
    <w:rsid w:val="4FFC2ABD"/>
    <w:rsid w:val="503E2381"/>
    <w:rsid w:val="508966D5"/>
    <w:rsid w:val="50B4505B"/>
    <w:rsid w:val="50C655DB"/>
    <w:rsid w:val="50DA147C"/>
    <w:rsid w:val="519B22F3"/>
    <w:rsid w:val="51CD07A1"/>
    <w:rsid w:val="51E7216F"/>
    <w:rsid w:val="51FD2301"/>
    <w:rsid w:val="520E7329"/>
    <w:rsid w:val="522634B6"/>
    <w:rsid w:val="524068B5"/>
    <w:rsid w:val="527E73B3"/>
    <w:rsid w:val="528E2901"/>
    <w:rsid w:val="52F35AFF"/>
    <w:rsid w:val="53513120"/>
    <w:rsid w:val="53CA6E9B"/>
    <w:rsid w:val="540E1368"/>
    <w:rsid w:val="54135AF1"/>
    <w:rsid w:val="547623B1"/>
    <w:rsid w:val="54C90ACE"/>
    <w:rsid w:val="5529611A"/>
    <w:rsid w:val="554A1CE1"/>
    <w:rsid w:val="55674CBC"/>
    <w:rsid w:val="556A5B90"/>
    <w:rsid w:val="55D50038"/>
    <w:rsid w:val="55E76874"/>
    <w:rsid w:val="56080958"/>
    <w:rsid w:val="56167B86"/>
    <w:rsid w:val="56257A29"/>
    <w:rsid w:val="563954AE"/>
    <w:rsid w:val="56942B28"/>
    <w:rsid w:val="57A864FC"/>
    <w:rsid w:val="584A78ED"/>
    <w:rsid w:val="58D671BB"/>
    <w:rsid w:val="591B07B7"/>
    <w:rsid w:val="59641607"/>
    <w:rsid w:val="5A14053E"/>
    <w:rsid w:val="5A2A6D15"/>
    <w:rsid w:val="5A7C646D"/>
    <w:rsid w:val="5AB17244"/>
    <w:rsid w:val="5AB41325"/>
    <w:rsid w:val="5AE75706"/>
    <w:rsid w:val="5B5817A2"/>
    <w:rsid w:val="5B9F3076"/>
    <w:rsid w:val="5BD743DE"/>
    <w:rsid w:val="5CFE2AC3"/>
    <w:rsid w:val="5D011B85"/>
    <w:rsid w:val="5D095348"/>
    <w:rsid w:val="5D125F97"/>
    <w:rsid w:val="5D4637D4"/>
    <w:rsid w:val="5D4E572D"/>
    <w:rsid w:val="5DC56BE4"/>
    <w:rsid w:val="5E17502B"/>
    <w:rsid w:val="5E1F1C1D"/>
    <w:rsid w:val="5E8871E5"/>
    <w:rsid w:val="5EB82263"/>
    <w:rsid w:val="5F104F86"/>
    <w:rsid w:val="5F6D29FE"/>
    <w:rsid w:val="5FB958A6"/>
    <w:rsid w:val="5FD74158"/>
    <w:rsid w:val="5FE96A86"/>
    <w:rsid w:val="602F47E9"/>
    <w:rsid w:val="60303537"/>
    <w:rsid w:val="604152F7"/>
    <w:rsid w:val="60493427"/>
    <w:rsid w:val="605B1F0A"/>
    <w:rsid w:val="609E371C"/>
    <w:rsid w:val="60B8094C"/>
    <w:rsid w:val="61962B17"/>
    <w:rsid w:val="61AB60F1"/>
    <w:rsid w:val="61D15CE8"/>
    <w:rsid w:val="61EA7B99"/>
    <w:rsid w:val="61F44BDE"/>
    <w:rsid w:val="62432603"/>
    <w:rsid w:val="625422E5"/>
    <w:rsid w:val="62565E50"/>
    <w:rsid w:val="626C560E"/>
    <w:rsid w:val="62C16D03"/>
    <w:rsid w:val="62DB79A8"/>
    <w:rsid w:val="62F11C75"/>
    <w:rsid w:val="630E66B1"/>
    <w:rsid w:val="631C2C70"/>
    <w:rsid w:val="63205F61"/>
    <w:rsid w:val="632779F9"/>
    <w:rsid w:val="639808F7"/>
    <w:rsid w:val="63A43E03"/>
    <w:rsid w:val="63F86834"/>
    <w:rsid w:val="63FD0486"/>
    <w:rsid w:val="64571ADB"/>
    <w:rsid w:val="64E8753C"/>
    <w:rsid w:val="64EC5995"/>
    <w:rsid w:val="655D3BA6"/>
    <w:rsid w:val="655F0F60"/>
    <w:rsid w:val="65C1130F"/>
    <w:rsid w:val="65D75AEC"/>
    <w:rsid w:val="65FF25D5"/>
    <w:rsid w:val="66233905"/>
    <w:rsid w:val="662B379A"/>
    <w:rsid w:val="66546D57"/>
    <w:rsid w:val="66692535"/>
    <w:rsid w:val="668573FD"/>
    <w:rsid w:val="668A02B0"/>
    <w:rsid w:val="66903B07"/>
    <w:rsid w:val="66B1224D"/>
    <w:rsid w:val="66E53165"/>
    <w:rsid w:val="66E97BBA"/>
    <w:rsid w:val="66F414D2"/>
    <w:rsid w:val="676A4DC8"/>
    <w:rsid w:val="67797610"/>
    <w:rsid w:val="67BF2342"/>
    <w:rsid w:val="68900623"/>
    <w:rsid w:val="68980710"/>
    <w:rsid w:val="68BA7637"/>
    <w:rsid w:val="690A2C80"/>
    <w:rsid w:val="69292894"/>
    <w:rsid w:val="69622C53"/>
    <w:rsid w:val="69761887"/>
    <w:rsid w:val="6A0879A2"/>
    <w:rsid w:val="6A663D8E"/>
    <w:rsid w:val="6AB76F14"/>
    <w:rsid w:val="6AFB3C45"/>
    <w:rsid w:val="6B2020CE"/>
    <w:rsid w:val="6B491840"/>
    <w:rsid w:val="6B5D0E15"/>
    <w:rsid w:val="6B6508CA"/>
    <w:rsid w:val="6BA43BCB"/>
    <w:rsid w:val="6BEB1003"/>
    <w:rsid w:val="6BED4A55"/>
    <w:rsid w:val="6C2523C5"/>
    <w:rsid w:val="6C257DF2"/>
    <w:rsid w:val="6C34218A"/>
    <w:rsid w:val="6C6770B8"/>
    <w:rsid w:val="6C950093"/>
    <w:rsid w:val="6CEC03AD"/>
    <w:rsid w:val="6D3A657B"/>
    <w:rsid w:val="6DB931F4"/>
    <w:rsid w:val="6DBE672A"/>
    <w:rsid w:val="6DF57BD7"/>
    <w:rsid w:val="6E66012B"/>
    <w:rsid w:val="6E6D272C"/>
    <w:rsid w:val="6E781EF0"/>
    <w:rsid w:val="6EFC3DE6"/>
    <w:rsid w:val="6F1D7C76"/>
    <w:rsid w:val="6F377109"/>
    <w:rsid w:val="6F507036"/>
    <w:rsid w:val="6F553C08"/>
    <w:rsid w:val="6F810B55"/>
    <w:rsid w:val="6FA94949"/>
    <w:rsid w:val="6FC409B2"/>
    <w:rsid w:val="6FD62AC0"/>
    <w:rsid w:val="6FE60997"/>
    <w:rsid w:val="70123B16"/>
    <w:rsid w:val="70177949"/>
    <w:rsid w:val="702F28CA"/>
    <w:rsid w:val="706D4D66"/>
    <w:rsid w:val="70792233"/>
    <w:rsid w:val="70CB52BD"/>
    <w:rsid w:val="71347E58"/>
    <w:rsid w:val="71CF6EDF"/>
    <w:rsid w:val="723D52FE"/>
    <w:rsid w:val="72CB5FE1"/>
    <w:rsid w:val="730C3770"/>
    <w:rsid w:val="73581A85"/>
    <w:rsid w:val="737547B1"/>
    <w:rsid w:val="73A559F6"/>
    <w:rsid w:val="73D1186C"/>
    <w:rsid w:val="73DA06ED"/>
    <w:rsid w:val="73F73D09"/>
    <w:rsid w:val="74165046"/>
    <w:rsid w:val="74236F09"/>
    <w:rsid w:val="74442AB0"/>
    <w:rsid w:val="74CB3FDB"/>
    <w:rsid w:val="74F55BA9"/>
    <w:rsid w:val="74FE406D"/>
    <w:rsid w:val="75302251"/>
    <w:rsid w:val="757D5374"/>
    <w:rsid w:val="759A4AC2"/>
    <w:rsid w:val="75D420DE"/>
    <w:rsid w:val="7625559B"/>
    <w:rsid w:val="7636135C"/>
    <w:rsid w:val="764A47BE"/>
    <w:rsid w:val="77011E7D"/>
    <w:rsid w:val="7772291D"/>
    <w:rsid w:val="77FF0B27"/>
    <w:rsid w:val="782F6B02"/>
    <w:rsid w:val="784A7A67"/>
    <w:rsid w:val="78E97F32"/>
    <w:rsid w:val="794335FD"/>
    <w:rsid w:val="79CB205E"/>
    <w:rsid w:val="79E11E5E"/>
    <w:rsid w:val="7A1205D3"/>
    <w:rsid w:val="7A6349C7"/>
    <w:rsid w:val="7A9208C7"/>
    <w:rsid w:val="7ADB6ACB"/>
    <w:rsid w:val="7AE07C8F"/>
    <w:rsid w:val="7B1228E5"/>
    <w:rsid w:val="7B1A2611"/>
    <w:rsid w:val="7B2D25E7"/>
    <w:rsid w:val="7B517526"/>
    <w:rsid w:val="7B6A2C5F"/>
    <w:rsid w:val="7BC56D15"/>
    <w:rsid w:val="7BD63734"/>
    <w:rsid w:val="7BDB5171"/>
    <w:rsid w:val="7D4C4F41"/>
    <w:rsid w:val="7D87194E"/>
    <w:rsid w:val="7D9B634B"/>
    <w:rsid w:val="7DAD401E"/>
    <w:rsid w:val="7DBC3CB3"/>
    <w:rsid w:val="7DD12055"/>
    <w:rsid w:val="7E1853C8"/>
    <w:rsid w:val="7E7F59EA"/>
    <w:rsid w:val="7EB02822"/>
    <w:rsid w:val="7EE9773C"/>
    <w:rsid w:val="7F281D4D"/>
    <w:rsid w:val="7F637BB3"/>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before="340" w:after="330"/>
      <w:jc w:val="left"/>
      <w:outlineLvl w:val="0"/>
    </w:pPr>
    <w:rPr>
      <w:rFonts w:ascii="华文细黑" w:hAnsi="宋体" w:eastAsia="宋体" w:cs="宋体"/>
      <w:b/>
      <w:bCs/>
      <w:snapToGrid w:val="0"/>
      <w:kern w:val="0"/>
      <w:sz w:val="28"/>
      <w:szCs w:val="44"/>
      <w:lang w:val="zh-CN"/>
    </w:rPr>
  </w:style>
  <w:style w:type="paragraph" w:styleId="3">
    <w:name w:val="heading 2"/>
    <w:basedOn w:val="1"/>
    <w:next w:val="1"/>
    <w:qFormat/>
    <w:uiPriority w:val="0"/>
    <w:pPr>
      <w:keepNext/>
      <w:keepLines/>
      <w:jc w:val="center"/>
      <w:outlineLvl w:val="1"/>
    </w:pPr>
    <w:rPr>
      <w:rFonts w:ascii="Arial" w:hAnsi="Arial" w:eastAsia="微软雅黑"/>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style>
  <w:style w:type="paragraph" w:styleId="5">
    <w:name w:val="Body Text"/>
    <w:basedOn w:val="1"/>
    <w:next w:val="1"/>
    <w:qFormat/>
    <w:uiPriority w:val="0"/>
    <w:pPr>
      <w:spacing w:after="120"/>
    </w:pPr>
  </w:style>
  <w:style w:type="paragraph" w:styleId="6">
    <w:name w:val="Body Text Indent"/>
    <w:basedOn w:val="1"/>
    <w:qFormat/>
    <w:uiPriority w:val="0"/>
    <w:pPr>
      <w:spacing w:line="360" w:lineRule="auto"/>
      <w:ind w:firstLine="480"/>
    </w:pPr>
    <w:rPr>
      <w:rFonts w:ascii="仿宋_GB2312" w:hAnsi="Times New Roman" w:eastAsia="仿宋_GB2312"/>
      <w:sz w:val="24"/>
    </w:rPr>
  </w:style>
  <w:style w:type="paragraph" w:styleId="7">
    <w:name w:val="Plain Text"/>
    <w:basedOn w:val="1"/>
    <w:next w:val="4"/>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pPr>
      <w:spacing w:line="380" w:lineRule="exact"/>
    </w:pPr>
    <w:rPr>
      <w:rFonts w:ascii="Calibri" w:hAnsi="Calibri" w:eastAsia="宋体" w:cs="Times New Roman"/>
    </w:rPr>
  </w:style>
  <w:style w:type="paragraph" w:styleId="11">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b/>
      <w:smallCaps/>
      <w:sz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正文文本1"/>
    <w:basedOn w:val="1"/>
    <w:qFormat/>
    <w:uiPriority w:val="0"/>
    <w:pPr>
      <w:spacing w:line="384" w:lineRule="auto"/>
      <w:ind w:firstLine="400"/>
    </w:pPr>
    <w:rPr>
      <w:rFonts w:ascii="宋体" w:hAnsi="宋体" w:eastAsia="宋体" w:cs="宋体"/>
      <w:sz w:val="30"/>
      <w:szCs w:val="30"/>
    </w:rPr>
  </w:style>
  <w:style w:type="paragraph" w:customStyle="1" w:styleId="18">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A"/>
    <w:qFormat/>
    <w:uiPriority w:val="0"/>
    <w:pPr>
      <w:widowControl w:val="0"/>
      <w:spacing w:line="312" w:lineRule="atLeast"/>
      <w:jc w:val="both"/>
    </w:pPr>
    <w:rPr>
      <w:rFonts w:hint="eastAsia" w:ascii="Arial Unicode MS" w:hAnsi="Arial Unicode MS" w:eastAsia="Arial Unicode MS" w:cs="Arial Unicode MS"/>
      <w:color w:val="000000"/>
      <w:sz w:val="21"/>
      <w:szCs w:val="21"/>
      <w:lang w:val="en-US" w:eastAsia="zh-CN" w:bidi="ar-SA"/>
    </w:rPr>
  </w:style>
  <w:style w:type="character" w:customStyle="1" w:styleId="20">
    <w:name w:val="fontstyle21"/>
    <w:basedOn w:val="15"/>
    <w:qFormat/>
    <w:uiPriority w:val="0"/>
    <w:rPr>
      <w:rFonts w:ascii="FZXBSJW--GB1-0" w:hAnsi="FZXBSJW--GB1-0" w:eastAsia="FZXBSJW--GB1-0" w:cs="FZXBSJW--GB1-0"/>
      <w:color w:val="000000"/>
      <w:sz w:val="44"/>
      <w:szCs w:val="44"/>
    </w:rPr>
  </w:style>
  <w:style w:type="character" w:customStyle="1" w:styleId="21">
    <w:name w:val="fontstyle31"/>
    <w:basedOn w:val="15"/>
    <w:qFormat/>
    <w:uiPriority w:val="0"/>
    <w:rPr>
      <w:rFonts w:ascii="仿宋_GB2312" w:hAnsi="仿宋_GB2312" w:eastAsia="仿宋_GB2312" w:cs="仿宋_GB2312"/>
      <w:color w:val="000000"/>
      <w:sz w:val="32"/>
      <w:szCs w:val="32"/>
    </w:rPr>
  </w:style>
  <w:style w:type="character" w:customStyle="1" w:styleId="22">
    <w:name w:val="fontstyle01"/>
    <w:qFormat/>
    <w:uiPriority w:val="0"/>
    <w:rPr>
      <w:rFonts w:hint="eastAsia" w:ascii="仿宋_GB2312" w:eastAsia="仿宋_GB2312"/>
      <w:color w:val="000000"/>
      <w:sz w:val="32"/>
      <w:szCs w:val="32"/>
    </w:rPr>
  </w:style>
  <w:style w:type="paragraph" w:customStyle="1" w:styleId="23">
    <w:name w:val="列表段落1"/>
    <w:basedOn w:val="1"/>
    <w:qFormat/>
    <w:uiPriority w:val="0"/>
    <w:pPr>
      <w:ind w:firstLine="420" w:firstLineChars="200"/>
    </w:pPr>
  </w:style>
  <w:style w:type="paragraph" w:styleId="24">
    <w:name w:val="List Paragraph"/>
    <w:basedOn w:val="1"/>
    <w:unhideWhenUsed/>
    <w:qFormat/>
    <w:uiPriority w:val="99"/>
    <w:pPr>
      <w:ind w:firstLine="420" w:firstLineChars="200"/>
    </w:pPr>
  </w:style>
  <w:style w:type="paragraph" w:customStyle="1" w:styleId="2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21592</Words>
  <Characters>21988</Characters>
  <Lines>140</Lines>
  <Paragraphs>39</Paragraphs>
  <TotalTime>0</TotalTime>
  <ScaleCrop>false</ScaleCrop>
  <LinksUpToDate>false</LinksUpToDate>
  <CharactersWithSpaces>22465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2019-12-23T09:05:00Z</dcterms:created>
  <dc:creator>嘉丽</dc:creator>
  <cp:lastModifiedBy>-</cp:lastModifiedBy>
  <cp:lastPrinted>2026-05-09T07:11:00Z</cp:lastPrinted>
  <dcterms:modified xsi:type="dcterms:W3CDTF">2026-05-19T09:46:10Z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7F5246257A6940388031B1863C65D9E5_13</vt:lpwstr>
  </property>
  <property fmtid="{D5CDD505-2E9C-101B-9397-08002B2CF9AE}" pid="4" name="KSOTemplateDocerSaveRecord">
    <vt:lpwstr>eyJoZGlkIjoiMzEwNTM5NzYwMDRjMzkwZTVkZjY2ODkwMGIxNGU0OTUiLCJ1c2VySWQiOiIyODI0MTI0MTEifQ==</vt:lpwstr>
  </property>
</Properties>
</file>