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5B65">
      <w:pPr>
        <w:spacing w:line="360" w:lineRule="auto"/>
        <w:jc w:val="center"/>
        <w:rPr>
          <w:rFonts w:ascii="宋体" w:hAnsi="宋体"/>
          <w:b/>
          <w:sz w:val="32"/>
          <w:szCs w:val="32"/>
        </w:rPr>
      </w:pPr>
      <w:r>
        <w:rPr>
          <w:rFonts w:hint="eastAsia" w:ascii="宋体" w:hAnsi="宋体"/>
          <w:b/>
          <w:sz w:val="32"/>
          <w:szCs w:val="32"/>
          <w:lang w:val="en-US" w:eastAsia="zh-CN"/>
        </w:rPr>
        <w:t>龙岗区妇幼保健院医学影像系统及区域云胶片维保服务项目</w:t>
      </w:r>
      <w:r>
        <w:rPr>
          <w:rFonts w:hint="eastAsia" w:ascii="宋体" w:hAnsi="宋体"/>
          <w:b/>
          <w:sz w:val="32"/>
          <w:szCs w:val="32"/>
        </w:rPr>
        <w:t>需求文件</w:t>
      </w:r>
    </w:p>
    <w:p w14:paraId="6ACD41C9">
      <w:pPr>
        <w:pStyle w:val="2"/>
        <w:numPr>
          <w:ilvl w:val="-1"/>
          <w:numId w:val="0"/>
        </w:numPr>
        <w:ind w:left="0" w:firstLine="0"/>
      </w:pPr>
      <w:bookmarkStart w:id="0" w:name="_Toc361780468"/>
    </w:p>
    <w:p w14:paraId="5A08FC45">
      <w:pPr>
        <w:pStyle w:val="4"/>
        <w:numPr>
          <w:ilvl w:val="0"/>
          <w:numId w:val="1"/>
        </w:numPr>
        <w:spacing w:before="156" w:beforeLines="50" w:after="156" w:afterLines="50"/>
        <w:rPr>
          <w:rFonts w:hint="eastAsia" w:cs="宋体"/>
          <w:b/>
          <w:bCs/>
          <w:sz w:val="28"/>
          <w:szCs w:val="28"/>
        </w:rPr>
      </w:pPr>
      <w:r>
        <w:rPr>
          <w:rFonts w:hint="eastAsia" w:cs="宋体"/>
          <w:b/>
          <w:bCs/>
          <w:sz w:val="28"/>
          <w:szCs w:val="28"/>
        </w:rPr>
        <w:t>项目</w:t>
      </w:r>
      <w:r>
        <w:rPr>
          <w:rFonts w:hint="eastAsia" w:cs="宋体"/>
          <w:b/>
          <w:bCs/>
          <w:sz w:val="28"/>
          <w:szCs w:val="28"/>
          <w:lang w:val="en-US" w:eastAsia="zh-CN"/>
        </w:rPr>
        <w:t>概述</w:t>
      </w:r>
    </w:p>
    <w:p w14:paraId="2FA6BEEF">
      <w:pPr>
        <w:pStyle w:val="12"/>
        <w:numPr>
          <w:ilvl w:val="-1"/>
          <w:numId w:val="0"/>
        </w:numPr>
        <w:spacing w:line="360" w:lineRule="auto"/>
        <w:ind w:left="0" w:firstLine="480" w:firstLineChars="200"/>
        <w:rPr>
          <w:rFonts w:hint="eastAsia" w:ascii="宋体" w:hAnsi="宋体" w:cs="宋体"/>
          <w:b/>
          <w:bCs/>
          <w:sz w:val="24"/>
        </w:rPr>
      </w:pPr>
      <w:r>
        <w:rPr>
          <w:rFonts w:hint="eastAsia" w:ascii="宋体" w:hAnsi="宋体" w:cs="宋体"/>
          <w:b/>
          <w:bCs/>
          <w:sz w:val="24"/>
          <w:lang w:val="en-US" w:eastAsia="zh-CN"/>
        </w:rPr>
        <w:t>医院影像系统及区域云胶片作</w:t>
      </w:r>
      <w:r>
        <w:rPr>
          <w:rFonts w:hint="eastAsia" w:ascii="宋体" w:hAnsi="宋体" w:cs="宋体"/>
          <w:b/>
          <w:bCs/>
          <w:sz w:val="24"/>
        </w:rPr>
        <w:t>为系统作为医院信息系统的重要组成部分，在医院的业务流程中发挥着重要的作用，为临床医生的诊断提供检查依据，因此保证医技科室系统正常而可靠地运行，并使系统不断得到改善和提高，以充分发挥作用就显得十分重要。而系统的稳定运行，需要完善的维护体系和维护团队，进而系统维护的任务就是要有计划、有组织地对系统进行巡检，以保证系统中的各个要素随着环境的变化始终处于最新的、正确的工作状态，更好的服务于医技科室和临床科室，为医院信息化建设服务。</w:t>
      </w:r>
    </w:p>
    <w:p w14:paraId="7E44916D">
      <w:pPr>
        <w:pStyle w:val="2"/>
        <w:jc w:val="left"/>
        <w:rPr>
          <w:rFonts w:asciiTheme="majorEastAsia" w:hAnsiTheme="majorEastAsia"/>
          <w:sz w:val="28"/>
          <w:szCs w:val="28"/>
        </w:rPr>
      </w:pPr>
      <w:r>
        <w:rPr>
          <w:rFonts w:hint="eastAsia" w:asciiTheme="majorEastAsia" w:hAnsiTheme="majorEastAsia"/>
          <w:sz w:val="28"/>
          <w:szCs w:val="28"/>
        </w:rPr>
        <w:t>二、采购清单</w:t>
      </w:r>
    </w:p>
    <w:tbl>
      <w:tblPr>
        <w:tblStyle w:val="1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3409"/>
        <w:gridCol w:w="995"/>
        <w:gridCol w:w="1377"/>
        <w:gridCol w:w="2550"/>
      </w:tblGrid>
      <w:tr w14:paraId="27ED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2" w:type="dxa"/>
            <w:vAlign w:val="center"/>
          </w:tcPr>
          <w:p w14:paraId="7F863B9D">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序号</w:t>
            </w:r>
          </w:p>
        </w:tc>
        <w:tc>
          <w:tcPr>
            <w:tcW w:w="3409" w:type="dxa"/>
            <w:vAlign w:val="center"/>
          </w:tcPr>
          <w:p w14:paraId="5BA9EB39">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lang w:val="en-US" w:eastAsia="zh-CN"/>
              </w:rPr>
              <w:t>项目</w:t>
            </w:r>
            <w:r>
              <w:rPr>
                <w:rFonts w:hint="eastAsia" w:ascii="宋体" w:hAnsi="宋体"/>
                <w:b/>
                <w:color w:val="000000"/>
                <w:kern w:val="0"/>
                <w:szCs w:val="21"/>
              </w:rPr>
              <w:t>名称</w:t>
            </w:r>
          </w:p>
        </w:tc>
        <w:tc>
          <w:tcPr>
            <w:tcW w:w="995" w:type="dxa"/>
            <w:vAlign w:val="center"/>
          </w:tcPr>
          <w:p w14:paraId="20B1C6D8">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数量</w:t>
            </w:r>
          </w:p>
        </w:tc>
        <w:tc>
          <w:tcPr>
            <w:tcW w:w="1377" w:type="dxa"/>
            <w:vAlign w:val="center"/>
          </w:tcPr>
          <w:p w14:paraId="7F560F9E">
            <w:pPr>
              <w:widowControl/>
              <w:spacing w:before="120" w:line="360" w:lineRule="auto"/>
              <w:jc w:val="center"/>
              <w:rPr>
                <w:rFonts w:hint="default" w:ascii="宋体" w:hAnsi="宋体" w:eastAsia="宋体"/>
                <w:b/>
                <w:color w:val="000000"/>
                <w:kern w:val="0"/>
                <w:szCs w:val="21"/>
                <w:lang w:val="en-US" w:eastAsia="zh-CN"/>
              </w:rPr>
            </w:pPr>
            <w:r>
              <w:rPr>
                <w:rFonts w:hint="eastAsia" w:ascii="宋体" w:hAnsi="宋体"/>
                <w:b/>
                <w:color w:val="000000"/>
                <w:kern w:val="0"/>
                <w:szCs w:val="21"/>
                <w:lang w:val="en-US" w:eastAsia="zh-CN"/>
              </w:rPr>
              <w:t>单位</w:t>
            </w:r>
          </w:p>
        </w:tc>
        <w:tc>
          <w:tcPr>
            <w:tcW w:w="2550" w:type="dxa"/>
            <w:vAlign w:val="center"/>
          </w:tcPr>
          <w:p w14:paraId="5F261DD7">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预算总金额（元）</w:t>
            </w:r>
          </w:p>
        </w:tc>
      </w:tr>
      <w:tr w14:paraId="16D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42" w:type="dxa"/>
            <w:vAlign w:val="center"/>
          </w:tcPr>
          <w:p w14:paraId="52474C3B">
            <w:pPr>
              <w:widowControl/>
              <w:spacing w:before="120" w:line="36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9" w:type="dxa"/>
            <w:vAlign w:val="center"/>
          </w:tcPr>
          <w:p w14:paraId="3E9318FF">
            <w:pPr>
              <w:widowControl/>
              <w:spacing w:before="120" w:line="360" w:lineRule="auto"/>
              <w:jc w:val="center"/>
              <w:rPr>
                <w:rFonts w:hint="eastAsia" w:ascii="宋体" w:hAnsi="宋体" w:cs="宋体"/>
                <w:szCs w:val="21"/>
              </w:rPr>
            </w:pPr>
            <w:r>
              <w:rPr>
                <w:rFonts w:hint="eastAsia" w:ascii="宋体" w:hAnsi="宋体" w:cs="宋体"/>
                <w:szCs w:val="21"/>
                <w:lang w:val="en-US" w:eastAsia="zh-CN"/>
              </w:rPr>
              <w:t>影像系统及区域云胶片维保服务</w:t>
            </w:r>
          </w:p>
        </w:tc>
        <w:tc>
          <w:tcPr>
            <w:tcW w:w="995" w:type="dxa"/>
            <w:vAlign w:val="center"/>
          </w:tcPr>
          <w:p w14:paraId="1B5DE7B7">
            <w:pPr>
              <w:widowControl/>
              <w:spacing w:before="120" w:line="360" w:lineRule="auto"/>
              <w:jc w:val="center"/>
              <w:rPr>
                <w:rFonts w:hint="eastAsia" w:ascii="宋体" w:hAnsi="宋体" w:cs="宋体"/>
                <w:szCs w:val="21"/>
              </w:rPr>
            </w:pPr>
            <w:r>
              <w:rPr>
                <w:rFonts w:hint="eastAsia" w:ascii="宋体" w:hAnsi="宋体" w:cs="宋体"/>
                <w:szCs w:val="21"/>
                <w:lang w:val="en-US" w:eastAsia="zh-CN"/>
              </w:rPr>
              <w:t>1</w:t>
            </w:r>
          </w:p>
        </w:tc>
        <w:tc>
          <w:tcPr>
            <w:tcW w:w="1377" w:type="dxa"/>
            <w:vAlign w:val="center"/>
          </w:tcPr>
          <w:p w14:paraId="24273425">
            <w:pPr>
              <w:widowControl/>
              <w:spacing w:before="120" w:line="360" w:lineRule="auto"/>
              <w:jc w:val="center"/>
              <w:rPr>
                <w:rFonts w:hint="default" w:ascii="宋体" w:hAnsi="宋体" w:cs="宋体"/>
                <w:szCs w:val="21"/>
                <w:lang w:val="en-US" w:eastAsia="zh-CN"/>
              </w:rPr>
            </w:pPr>
            <w:r>
              <w:rPr>
                <w:rFonts w:hint="eastAsia" w:ascii="宋体" w:hAnsi="宋体" w:cs="宋体"/>
                <w:szCs w:val="21"/>
                <w:lang w:val="en-US" w:eastAsia="zh-CN"/>
              </w:rPr>
              <w:t>套</w:t>
            </w:r>
          </w:p>
        </w:tc>
        <w:tc>
          <w:tcPr>
            <w:tcW w:w="2550" w:type="dxa"/>
            <w:vAlign w:val="center"/>
          </w:tcPr>
          <w:p w14:paraId="7C8F2481">
            <w:pPr>
              <w:widowControl/>
              <w:spacing w:before="120"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99600</w:t>
            </w:r>
          </w:p>
        </w:tc>
      </w:tr>
    </w:tbl>
    <w:p w14:paraId="704F696D">
      <w:pPr>
        <w:pStyle w:val="2"/>
        <w:jc w:val="left"/>
        <w:rPr>
          <w:rFonts w:hint="eastAsia" w:asciiTheme="majorEastAsia" w:hAnsiTheme="majorEastAsia"/>
          <w:sz w:val="28"/>
          <w:szCs w:val="28"/>
        </w:rPr>
      </w:pPr>
      <w:r>
        <w:rPr>
          <w:rFonts w:hint="eastAsia" w:asciiTheme="majorEastAsia" w:hAnsiTheme="majorEastAsia"/>
          <w:sz w:val="28"/>
          <w:szCs w:val="28"/>
          <w:lang w:val="en-US" w:eastAsia="zh-CN"/>
        </w:rPr>
        <w:t>三</w:t>
      </w:r>
      <w:r>
        <w:rPr>
          <w:rFonts w:hint="eastAsia" w:asciiTheme="majorEastAsia" w:hAnsiTheme="majorEastAsia"/>
          <w:sz w:val="28"/>
          <w:szCs w:val="28"/>
        </w:rPr>
        <w:t>、</w:t>
      </w:r>
      <w:r>
        <w:rPr>
          <w:rFonts w:hint="eastAsia" w:asciiTheme="majorEastAsia" w:hAnsiTheme="majorEastAsia"/>
          <w:sz w:val="28"/>
          <w:szCs w:val="28"/>
          <w:lang w:val="en-US" w:eastAsia="zh-CN"/>
        </w:rPr>
        <w:t>服务</w:t>
      </w:r>
      <w:r>
        <w:rPr>
          <w:rFonts w:hint="eastAsia" w:asciiTheme="majorEastAsia" w:hAnsiTheme="majorEastAsia"/>
          <w:sz w:val="28"/>
          <w:szCs w:val="28"/>
        </w:rPr>
        <w:t>技术要求</w:t>
      </w:r>
    </w:p>
    <w:tbl>
      <w:tblPr>
        <w:tblStyle w:val="19"/>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40"/>
        <w:gridCol w:w="5659"/>
        <w:gridCol w:w="939"/>
      </w:tblGrid>
      <w:tr w14:paraId="4C04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4D04AF5">
            <w:pPr>
              <w:jc w:val="center"/>
              <w:rPr>
                <w:b/>
                <w:sz w:val="24"/>
                <w:szCs w:val="24"/>
              </w:rPr>
            </w:pPr>
            <w:r>
              <w:rPr>
                <w:rFonts w:hint="eastAsia"/>
                <w:b/>
                <w:sz w:val="24"/>
                <w:szCs w:val="24"/>
              </w:rPr>
              <w:t>序号</w:t>
            </w:r>
          </w:p>
        </w:tc>
        <w:tc>
          <w:tcPr>
            <w:tcW w:w="1340" w:type="dxa"/>
            <w:vAlign w:val="center"/>
          </w:tcPr>
          <w:p w14:paraId="2C4D4552">
            <w:pPr>
              <w:jc w:val="center"/>
              <w:rPr>
                <w:b/>
                <w:sz w:val="24"/>
                <w:szCs w:val="24"/>
              </w:rPr>
            </w:pPr>
            <w:r>
              <w:rPr>
                <w:rFonts w:hint="eastAsia"/>
                <w:b/>
                <w:sz w:val="24"/>
                <w:szCs w:val="24"/>
              </w:rPr>
              <w:t>服务类别</w:t>
            </w:r>
          </w:p>
        </w:tc>
        <w:tc>
          <w:tcPr>
            <w:tcW w:w="5659" w:type="dxa"/>
            <w:vAlign w:val="center"/>
          </w:tcPr>
          <w:p w14:paraId="4435BD3D">
            <w:pPr>
              <w:jc w:val="center"/>
              <w:rPr>
                <w:b/>
                <w:sz w:val="24"/>
                <w:szCs w:val="24"/>
              </w:rPr>
            </w:pPr>
            <w:r>
              <w:rPr>
                <w:rFonts w:hint="eastAsia"/>
                <w:b/>
                <w:sz w:val="24"/>
                <w:szCs w:val="24"/>
              </w:rPr>
              <w:t>服务内容</w:t>
            </w:r>
          </w:p>
        </w:tc>
        <w:tc>
          <w:tcPr>
            <w:tcW w:w="939" w:type="dxa"/>
            <w:vAlign w:val="center"/>
          </w:tcPr>
          <w:p w14:paraId="16C808CA">
            <w:pPr>
              <w:jc w:val="center"/>
              <w:rPr>
                <w:b/>
                <w:sz w:val="24"/>
                <w:szCs w:val="24"/>
              </w:rPr>
            </w:pPr>
            <w:r>
              <w:rPr>
                <w:rFonts w:hint="eastAsia"/>
                <w:b/>
                <w:sz w:val="24"/>
                <w:szCs w:val="24"/>
              </w:rPr>
              <w:t>备注</w:t>
            </w:r>
          </w:p>
        </w:tc>
      </w:tr>
      <w:tr w14:paraId="5AD7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5243483">
            <w:pPr>
              <w:numPr>
                <w:ilvl w:val="0"/>
                <w:numId w:val="2"/>
              </w:numPr>
              <w:ind w:left="425" w:hanging="425"/>
              <w:jc w:val="center"/>
              <w:rPr>
                <w:sz w:val="24"/>
                <w:szCs w:val="24"/>
              </w:rPr>
            </w:pPr>
          </w:p>
        </w:tc>
        <w:tc>
          <w:tcPr>
            <w:tcW w:w="1340" w:type="dxa"/>
            <w:vMerge w:val="restart"/>
            <w:vAlign w:val="center"/>
          </w:tcPr>
          <w:p w14:paraId="1C7A6844">
            <w:pPr>
              <w:jc w:val="center"/>
              <w:rPr>
                <w:sz w:val="24"/>
                <w:szCs w:val="24"/>
              </w:rPr>
            </w:pPr>
            <w:r>
              <w:rPr>
                <w:rFonts w:hint="eastAsia"/>
                <w:sz w:val="24"/>
                <w:szCs w:val="24"/>
              </w:rPr>
              <w:t>服务报告类</w:t>
            </w:r>
          </w:p>
        </w:tc>
        <w:tc>
          <w:tcPr>
            <w:tcW w:w="5659" w:type="dxa"/>
            <w:vAlign w:val="center"/>
          </w:tcPr>
          <w:p w14:paraId="2B543492">
            <w:pPr>
              <w:numPr>
                <w:ilvl w:val="0"/>
                <w:numId w:val="3"/>
              </w:numPr>
              <w:spacing w:line="360" w:lineRule="auto"/>
              <w:textAlignment w:val="baseline"/>
              <w:rPr>
                <w:sz w:val="24"/>
                <w:szCs w:val="24"/>
              </w:rPr>
            </w:pPr>
            <w:r>
              <w:rPr>
                <w:rFonts w:hint="eastAsia"/>
                <w:sz w:val="24"/>
                <w:szCs w:val="24"/>
              </w:rPr>
              <w:t>结合</w:t>
            </w:r>
            <w:r>
              <w:rPr>
                <w:rFonts w:hint="eastAsia"/>
                <w:sz w:val="24"/>
                <w:szCs w:val="24"/>
                <w:lang w:val="en-US" w:eastAsia="zh-CN"/>
              </w:rPr>
              <w:t>用户</w:t>
            </w:r>
            <w:r>
              <w:rPr>
                <w:rFonts w:hint="eastAsia"/>
                <w:sz w:val="24"/>
                <w:szCs w:val="24"/>
              </w:rPr>
              <w:t>现场实际环境，制定并提供产品运行指导书和操作文档；</w:t>
            </w:r>
          </w:p>
        </w:tc>
        <w:tc>
          <w:tcPr>
            <w:tcW w:w="939" w:type="dxa"/>
            <w:vAlign w:val="center"/>
          </w:tcPr>
          <w:p w14:paraId="33BDB0E2">
            <w:pPr>
              <w:jc w:val="center"/>
              <w:rPr>
                <w:sz w:val="24"/>
                <w:szCs w:val="24"/>
              </w:rPr>
            </w:pPr>
          </w:p>
        </w:tc>
      </w:tr>
      <w:tr w14:paraId="0C83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60BAF26">
            <w:pPr>
              <w:numPr>
                <w:ilvl w:val="0"/>
                <w:numId w:val="2"/>
              </w:numPr>
              <w:ind w:left="425" w:hanging="425"/>
              <w:jc w:val="center"/>
              <w:rPr>
                <w:sz w:val="24"/>
                <w:szCs w:val="24"/>
              </w:rPr>
            </w:pPr>
          </w:p>
        </w:tc>
        <w:tc>
          <w:tcPr>
            <w:tcW w:w="1340" w:type="dxa"/>
            <w:vMerge w:val="continue"/>
            <w:vAlign w:val="center"/>
          </w:tcPr>
          <w:p w14:paraId="551E5BCA">
            <w:pPr>
              <w:jc w:val="center"/>
              <w:rPr>
                <w:sz w:val="24"/>
                <w:szCs w:val="24"/>
              </w:rPr>
            </w:pPr>
          </w:p>
        </w:tc>
        <w:tc>
          <w:tcPr>
            <w:tcW w:w="5659" w:type="dxa"/>
            <w:vAlign w:val="center"/>
          </w:tcPr>
          <w:p w14:paraId="36E53972">
            <w:pPr>
              <w:jc w:val="left"/>
              <w:rPr>
                <w:sz w:val="24"/>
                <w:szCs w:val="24"/>
              </w:rPr>
            </w:pPr>
            <w:r>
              <w:rPr>
                <w:sz w:val="24"/>
                <w:szCs w:val="24"/>
              </w:rPr>
              <w:t>制定符合</w:t>
            </w:r>
            <w:r>
              <w:rPr>
                <w:rFonts w:hint="eastAsia"/>
                <w:sz w:val="24"/>
                <w:szCs w:val="24"/>
                <w:lang w:val="en-US" w:eastAsia="zh-CN"/>
              </w:rPr>
              <w:t>用户</w:t>
            </w:r>
            <w:r>
              <w:rPr>
                <w:sz w:val="24"/>
                <w:szCs w:val="24"/>
              </w:rPr>
              <w:t>现场环境的产品维护方案，形成文档，并提交</w:t>
            </w:r>
            <w:r>
              <w:rPr>
                <w:rFonts w:hint="eastAsia"/>
                <w:sz w:val="24"/>
                <w:szCs w:val="24"/>
                <w:lang w:val="en-US" w:eastAsia="zh-CN"/>
              </w:rPr>
              <w:t>用户</w:t>
            </w:r>
            <w:r>
              <w:rPr>
                <w:sz w:val="24"/>
                <w:szCs w:val="24"/>
              </w:rPr>
              <w:t>审核确认；</w:t>
            </w:r>
          </w:p>
        </w:tc>
        <w:tc>
          <w:tcPr>
            <w:tcW w:w="939" w:type="dxa"/>
            <w:vAlign w:val="center"/>
          </w:tcPr>
          <w:p w14:paraId="1B8E6A63">
            <w:pPr>
              <w:jc w:val="center"/>
              <w:rPr>
                <w:sz w:val="24"/>
                <w:szCs w:val="24"/>
              </w:rPr>
            </w:pPr>
          </w:p>
        </w:tc>
      </w:tr>
      <w:tr w14:paraId="0FA7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544DC13">
            <w:pPr>
              <w:numPr>
                <w:ilvl w:val="0"/>
                <w:numId w:val="2"/>
              </w:numPr>
              <w:ind w:left="425" w:hanging="425"/>
              <w:jc w:val="center"/>
              <w:rPr>
                <w:sz w:val="24"/>
                <w:szCs w:val="24"/>
              </w:rPr>
            </w:pPr>
          </w:p>
        </w:tc>
        <w:tc>
          <w:tcPr>
            <w:tcW w:w="1340" w:type="dxa"/>
            <w:vMerge w:val="continue"/>
            <w:vAlign w:val="center"/>
          </w:tcPr>
          <w:p w14:paraId="0816AE4C">
            <w:pPr>
              <w:jc w:val="center"/>
              <w:rPr>
                <w:sz w:val="24"/>
                <w:szCs w:val="24"/>
              </w:rPr>
            </w:pPr>
          </w:p>
        </w:tc>
        <w:tc>
          <w:tcPr>
            <w:tcW w:w="5659" w:type="dxa"/>
            <w:vAlign w:val="center"/>
          </w:tcPr>
          <w:p w14:paraId="54D628B8">
            <w:pPr>
              <w:jc w:val="left"/>
              <w:rPr>
                <w:sz w:val="24"/>
                <w:szCs w:val="24"/>
              </w:rPr>
            </w:pPr>
            <w:r>
              <w:rPr>
                <w:rFonts w:hint="eastAsia"/>
                <w:sz w:val="24"/>
                <w:szCs w:val="24"/>
              </w:rPr>
              <w:t>每月提供用户报告，报告内容包括服务器运行状态、数据库运行状态分析、</w:t>
            </w:r>
            <w:r>
              <w:rPr>
                <w:sz w:val="24"/>
                <w:szCs w:val="24"/>
              </w:rPr>
              <w:t>蓝网产品运行状态分析等内容；</w:t>
            </w:r>
          </w:p>
        </w:tc>
        <w:tc>
          <w:tcPr>
            <w:tcW w:w="939" w:type="dxa"/>
            <w:vAlign w:val="center"/>
          </w:tcPr>
          <w:p w14:paraId="718066C9">
            <w:pPr>
              <w:jc w:val="center"/>
              <w:rPr>
                <w:sz w:val="24"/>
                <w:szCs w:val="24"/>
              </w:rPr>
            </w:pPr>
            <w:r>
              <w:rPr>
                <w:sz w:val="24"/>
                <w:szCs w:val="24"/>
              </w:rPr>
              <w:t>每</w:t>
            </w:r>
            <w:r>
              <w:rPr>
                <w:rFonts w:hint="eastAsia"/>
                <w:sz w:val="24"/>
                <w:szCs w:val="24"/>
              </w:rPr>
              <w:t>6个月</w:t>
            </w:r>
            <w:r>
              <w:rPr>
                <w:sz w:val="24"/>
                <w:szCs w:val="24"/>
              </w:rPr>
              <w:t>提交一次；</w:t>
            </w:r>
          </w:p>
        </w:tc>
      </w:tr>
      <w:tr w14:paraId="31F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1541F75">
            <w:pPr>
              <w:numPr>
                <w:ilvl w:val="0"/>
                <w:numId w:val="2"/>
              </w:numPr>
              <w:ind w:left="425" w:hanging="425"/>
              <w:jc w:val="center"/>
              <w:rPr>
                <w:sz w:val="24"/>
                <w:szCs w:val="24"/>
              </w:rPr>
            </w:pPr>
          </w:p>
        </w:tc>
        <w:tc>
          <w:tcPr>
            <w:tcW w:w="1340" w:type="dxa"/>
            <w:vMerge w:val="restart"/>
            <w:vAlign w:val="center"/>
          </w:tcPr>
          <w:p w14:paraId="1E5B7A53">
            <w:pPr>
              <w:jc w:val="center"/>
              <w:rPr>
                <w:sz w:val="24"/>
                <w:szCs w:val="24"/>
              </w:rPr>
            </w:pPr>
            <w:r>
              <w:rPr>
                <w:rFonts w:hint="eastAsia"/>
                <w:sz w:val="24"/>
                <w:szCs w:val="24"/>
              </w:rPr>
              <w:t>服务器管理及维护</w:t>
            </w:r>
          </w:p>
        </w:tc>
        <w:tc>
          <w:tcPr>
            <w:tcW w:w="5659" w:type="dxa"/>
            <w:vAlign w:val="center"/>
          </w:tcPr>
          <w:p w14:paraId="215A0970">
            <w:pPr>
              <w:rPr>
                <w:sz w:val="24"/>
                <w:szCs w:val="24"/>
              </w:rPr>
            </w:pPr>
            <w:r>
              <w:rPr>
                <w:sz w:val="24"/>
                <w:szCs w:val="24"/>
              </w:rPr>
              <w:t>服务器登录用户、用户权限及密码管理；</w:t>
            </w:r>
          </w:p>
        </w:tc>
        <w:tc>
          <w:tcPr>
            <w:tcW w:w="939" w:type="dxa"/>
            <w:vAlign w:val="center"/>
          </w:tcPr>
          <w:p w14:paraId="19E53E60">
            <w:pPr>
              <w:jc w:val="center"/>
              <w:rPr>
                <w:sz w:val="24"/>
                <w:szCs w:val="24"/>
              </w:rPr>
            </w:pPr>
          </w:p>
        </w:tc>
      </w:tr>
      <w:tr w14:paraId="7B75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1CA73AB">
            <w:pPr>
              <w:numPr>
                <w:ilvl w:val="0"/>
                <w:numId w:val="2"/>
              </w:numPr>
              <w:ind w:left="425" w:hanging="425"/>
              <w:jc w:val="center"/>
              <w:rPr>
                <w:sz w:val="24"/>
                <w:szCs w:val="24"/>
              </w:rPr>
            </w:pPr>
          </w:p>
        </w:tc>
        <w:tc>
          <w:tcPr>
            <w:tcW w:w="1340" w:type="dxa"/>
            <w:vMerge w:val="continue"/>
            <w:vAlign w:val="center"/>
          </w:tcPr>
          <w:p w14:paraId="4D68343D">
            <w:pPr>
              <w:jc w:val="center"/>
              <w:rPr>
                <w:sz w:val="24"/>
                <w:szCs w:val="24"/>
              </w:rPr>
            </w:pPr>
          </w:p>
        </w:tc>
        <w:tc>
          <w:tcPr>
            <w:tcW w:w="5659" w:type="dxa"/>
            <w:vAlign w:val="center"/>
          </w:tcPr>
          <w:p w14:paraId="5C172F2B">
            <w:pPr>
              <w:rPr>
                <w:sz w:val="24"/>
                <w:szCs w:val="24"/>
              </w:rPr>
            </w:pPr>
            <w:r>
              <w:rPr>
                <w:rFonts w:hint="eastAsia"/>
                <w:sz w:val="24"/>
                <w:szCs w:val="24"/>
              </w:rPr>
              <w:t>服务器CPU运行状态监控；</w:t>
            </w:r>
          </w:p>
        </w:tc>
        <w:tc>
          <w:tcPr>
            <w:tcW w:w="939" w:type="dxa"/>
            <w:vAlign w:val="center"/>
          </w:tcPr>
          <w:p w14:paraId="25FEEC6D">
            <w:pPr>
              <w:jc w:val="center"/>
              <w:rPr>
                <w:sz w:val="24"/>
                <w:szCs w:val="24"/>
              </w:rPr>
            </w:pPr>
          </w:p>
        </w:tc>
      </w:tr>
      <w:tr w14:paraId="2CFF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CC176E5">
            <w:pPr>
              <w:numPr>
                <w:ilvl w:val="0"/>
                <w:numId w:val="2"/>
              </w:numPr>
              <w:ind w:left="425" w:hanging="425"/>
              <w:jc w:val="center"/>
              <w:rPr>
                <w:sz w:val="24"/>
                <w:szCs w:val="24"/>
              </w:rPr>
            </w:pPr>
          </w:p>
        </w:tc>
        <w:tc>
          <w:tcPr>
            <w:tcW w:w="1340" w:type="dxa"/>
            <w:vMerge w:val="continue"/>
            <w:vAlign w:val="center"/>
          </w:tcPr>
          <w:p w14:paraId="2BF59B2E">
            <w:pPr>
              <w:jc w:val="center"/>
              <w:rPr>
                <w:sz w:val="24"/>
                <w:szCs w:val="24"/>
              </w:rPr>
            </w:pPr>
          </w:p>
        </w:tc>
        <w:tc>
          <w:tcPr>
            <w:tcW w:w="5659" w:type="dxa"/>
            <w:vAlign w:val="center"/>
          </w:tcPr>
          <w:p w14:paraId="2DAB1A96">
            <w:pPr>
              <w:jc w:val="left"/>
              <w:rPr>
                <w:sz w:val="24"/>
                <w:szCs w:val="24"/>
              </w:rPr>
            </w:pPr>
            <w:r>
              <w:rPr>
                <w:rFonts w:hint="eastAsia"/>
                <w:sz w:val="24"/>
                <w:szCs w:val="24"/>
              </w:rPr>
              <w:t>服务器内存占用量状态监控；</w:t>
            </w:r>
          </w:p>
        </w:tc>
        <w:tc>
          <w:tcPr>
            <w:tcW w:w="939" w:type="dxa"/>
            <w:vAlign w:val="center"/>
          </w:tcPr>
          <w:p w14:paraId="3957AE22">
            <w:pPr>
              <w:jc w:val="center"/>
              <w:rPr>
                <w:sz w:val="24"/>
                <w:szCs w:val="24"/>
              </w:rPr>
            </w:pPr>
          </w:p>
        </w:tc>
      </w:tr>
      <w:tr w14:paraId="6472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EBE8F30">
            <w:pPr>
              <w:numPr>
                <w:ilvl w:val="0"/>
                <w:numId w:val="2"/>
              </w:numPr>
              <w:ind w:left="425" w:hanging="425"/>
              <w:jc w:val="center"/>
              <w:rPr>
                <w:sz w:val="24"/>
                <w:szCs w:val="24"/>
              </w:rPr>
            </w:pPr>
          </w:p>
        </w:tc>
        <w:tc>
          <w:tcPr>
            <w:tcW w:w="1340" w:type="dxa"/>
            <w:vMerge w:val="continue"/>
            <w:vAlign w:val="center"/>
          </w:tcPr>
          <w:p w14:paraId="3BA5D039">
            <w:pPr>
              <w:jc w:val="center"/>
              <w:rPr>
                <w:sz w:val="24"/>
                <w:szCs w:val="24"/>
              </w:rPr>
            </w:pPr>
          </w:p>
        </w:tc>
        <w:tc>
          <w:tcPr>
            <w:tcW w:w="5659" w:type="dxa"/>
            <w:vAlign w:val="center"/>
          </w:tcPr>
          <w:p w14:paraId="2889BE68">
            <w:pPr>
              <w:rPr>
                <w:sz w:val="24"/>
                <w:szCs w:val="24"/>
              </w:rPr>
            </w:pPr>
            <w:r>
              <w:rPr>
                <w:rFonts w:hint="eastAsia"/>
                <w:sz w:val="24"/>
                <w:szCs w:val="24"/>
              </w:rPr>
              <w:t>服务器系统盘容量监控及预警；</w:t>
            </w:r>
          </w:p>
        </w:tc>
        <w:tc>
          <w:tcPr>
            <w:tcW w:w="939" w:type="dxa"/>
            <w:vAlign w:val="center"/>
          </w:tcPr>
          <w:p w14:paraId="38AB9DFE">
            <w:pPr>
              <w:jc w:val="center"/>
              <w:rPr>
                <w:sz w:val="24"/>
                <w:szCs w:val="24"/>
              </w:rPr>
            </w:pPr>
          </w:p>
        </w:tc>
      </w:tr>
      <w:tr w14:paraId="74A0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EDFB74D">
            <w:pPr>
              <w:numPr>
                <w:ilvl w:val="0"/>
                <w:numId w:val="2"/>
              </w:numPr>
              <w:ind w:left="425" w:hanging="425"/>
              <w:jc w:val="center"/>
              <w:rPr>
                <w:sz w:val="24"/>
                <w:szCs w:val="24"/>
              </w:rPr>
            </w:pPr>
          </w:p>
        </w:tc>
        <w:tc>
          <w:tcPr>
            <w:tcW w:w="1340" w:type="dxa"/>
            <w:vMerge w:val="continue"/>
            <w:vAlign w:val="center"/>
          </w:tcPr>
          <w:p w14:paraId="74D78E68">
            <w:pPr>
              <w:jc w:val="center"/>
              <w:rPr>
                <w:sz w:val="24"/>
                <w:szCs w:val="24"/>
              </w:rPr>
            </w:pPr>
          </w:p>
        </w:tc>
        <w:tc>
          <w:tcPr>
            <w:tcW w:w="5659" w:type="dxa"/>
            <w:vAlign w:val="center"/>
          </w:tcPr>
          <w:p w14:paraId="44B2EA38">
            <w:pPr>
              <w:rPr>
                <w:sz w:val="24"/>
                <w:szCs w:val="24"/>
              </w:rPr>
            </w:pPr>
            <w:r>
              <w:rPr>
                <w:rFonts w:hint="eastAsia"/>
                <w:sz w:val="24"/>
                <w:szCs w:val="24"/>
              </w:rPr>
              <w:t>服务器数据盘容量监控及预警；</w:t>
            </w:r>
          </w:p>
        </w:tc>
        <w:tc>
          <w:tcPr>
            <w:tcW w:w="939" w:type="dxa"/>
            <w:vAlign w:val="center"/>
          </w:tcPr>
          <w:p w14:paraId="7D766BE8">
            <w:pPr>
              <w:jc w:val="center"/>
              <w:rPr>
                <w:sz w:val="24"/>
                <w:szCs w:val="24"/>
              </w:rPr>
            </w:pPr>
          </w:p>
        </w:tc>
      </w:tr>
      <w:tr w14:paraId="560F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bottom w:val="single" w:color="auto" w:sz="4" w:space="0"/>
            </w:tcBorders>
            <w:vAlign w:val="center"/>
          </w:tcPr>
          <w:p w14:paraId="5492ED6A">
            <w:pPr>
              <w:numPr>
                <w:ilvl w:val="0"/>
                <w:numId w:val="2"/>
              </w:numPr>
              <w:ind w:left="425" w:hanging="425"/>
              <w:jc w:val="center"/>
              <w:rPr>
                <w:sz w:val="24"/>
                <w:szCs w:val="24"/>
              </w:rPr>
            </w:pPr>
          </w:p>
        </w:tc>
        <w:tc>
          <w:tcPr>
            <w:tcW w:w="1340" w:type="dxa"/>
            <w:vMerge w:val="continue"/>
            <w:tcBorders>
              <w:bottom w:val="single" w:color="auto" w:sz="4" w:space="0"/>
            </w:tcBorders>
            <w:vAlign w:val="center"/>
          </w:tcPr>
          <w:p w14:paraId="56B99F5A">
            <w:pPr>
              <w:jc w:val="center"/>
              <w:rPr>
                <w:sz w:val="24"/>
                <w:szCs w:val="24"/>
              </w:rPr>
            </w:pPr>
          </w:p>
        </w:tc>
        <w:tc>
          <w:tcPr>
            <w:tcW w:w="5659" w:type="dxa"/>
            <w:tcBorders>
              <w:bottom w:val="single" w:color="auto" w:sz="4" w:space="0"/>
            </w:tcBorders>
            <w:vAlign w:val="center"/>
          </w:tcPr>
          <w:p w14:paraId="5A816D4C">
            <w:pPr>
              <w:rPr>
                <w:sz w:val="24"/>
                <w:szCs w:val="24"/>
              </w:rPr>
            </w:pPr>
            <w:r>
              <w:rPr>
                <w:rFonts w:hint="eastAsia"/>
                <w:sz w:val="24"/>
                <w:szCs w:val="24"/>
              </w:rPr>
              <w:t>服务器系统日志分析；</w:t>
            </w:r>
          </w:p>
        </w:tc>
        <w:tc>
          <w:tcPr>
            <w:tcW w:w="939" w:type="dxa"/>
            <w:tcBorders>
              <w:bottom w:val="single" w:color="auto" w:sz="4" w:space="0"/>
            </w:tcBorders>
            <w:vAlign w:val="center"/>
          </w:tcPr>
          <w:p w14:paraId="2DE30F1E">
            <w:pPr>
              <w:jc w:val="center"/>
              <w:rPr>
                <w:sz w:val="24"/>
                <w:szCs w:val="24"/>
              </w:rPr>
            </w:pPr>
          </w:p>
        </w:tc>
      </w:tr>
      <w:tr w14:paraId="1D8E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nil"/>
              <w:right w:val="single" w:color="auto" w:sz="4" w:space="0"/>
            </w:tcBorders>
            <w:vAlign w:val="center"/>
          </w:tcPr>
          <w:p w14:paraId="6B142900">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nil"/>
              <w:right w:val="single" w:color="auto" w:sz="4" w:space="0"/>
            </w:tcBorders>
            <w:vAlign w:val="center"/>
          </w:tcPr>
          <w:p w14:paraId="552FB14B">
            <w:pPr>
              <w:jc w:val="center"/>
              <w:rPr>
                <w:sz w:val="24"/>
                <w:szCs w:val="24"/>
              </w:rPr>
            </w:pPr>
          </w:p>
        </w:tc>
        <w:tc>
          <w:tcPr>
            <w:tcW w:w="5659" w:type="dxa"/>
            <w:tcBorders>
              <w:top w:val="single" w:color="auto" w:sz="4" w:space="0"/>
              <w:left w:val="single" w:color="auto" w:sz="4" w:space="0"/>
              <w:bottom w:val="nil"/>
              <w:right w:val="single" w:color="auto" w:sz="4" w:space="0"/>
            </w:tcBorders>
            <w:vAlign w:val="center"/>
          </w:tcPr>
          <w:p w14:paraId="4F402CF2">
            <w:pPr>
              <w:rPr>
                <w:sz w:val="24"/>
                <w:szCs w:val="24"/>
              </w:rPr>
            </w:pPr>
            <w:r>
              <w:rPr>
                <w:sz w:val="24"/>
                <w:szCs w:val="24"/>
              </w:rPr>
              <w:t>服务器防火墙、病毒防范管理；</w:t>
            </w:r>
          </w:p>
        </w:tc>
        <w:tc>
          <w:tcPr>
            <w:tcW w:w="939" w:type="dxa"/>
            <w:tcBorders>
              <w:top w:val="single" w:color="auto" w:sz="4" w:space="0"/>
              <w:left w:val="single" w:color="auto" w:sz="4" w:space="0"/>
              <w:bottom w:val="nil"/>
              <w:right w:val="single" w:color="auto" w:sz="4" w:space="0"/>
            </w:tcBorders>
            <w:vAlign w:val="center"/>
          </w:tcPr>
          <w:p w14:paraId="544BD88B">
            <w:pPr>
              <w:jc w:val="center"/>
              <w:rPr>
                <w:sz w:val="24"/>
                <w:szCs w:val="24"/>
              </w:rPr>
            </w:pPr>
          </w:p>
        </w:tc>
      </w:tr>
      <w:tr w14:paraId="0987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0CEA24B8">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62E52045">
            <w:pPr>
              <w:jc w:val="center"/>
              <w:rPr>
                <w:sz w:val="24"/>
                <w:szCs w:val="24"/>
              </w:rPr>
            </w:pPr>
          </w:p>
        </w:tc>
        <w:tc>
          <w:tcPr>
            <w:tcW w:w="5659" w:type="dxa"/>
            <w:tcBorders>
              <w:top w:val="single" w:color="auto" w:sz="4" w:space="0"/>
              <w:left w:val="single" w:color="auto" w:sz="4" w:space="0"/>
              <w:bottom w:val="single" w:color="auto" w:sz="4" w:space="0"/>
              <w:right w:val="single" w:color="auto" w:sz="4" w:space="0"/>
            </w:tcBorders>
            <w:vAlign w:val="center"/>
          </w:tcPr>
          <w:p w14:paraId="0C70BC7F">
            <w:pPr>
              <w:rPr>
                <w:sz w:val="24"/>
                <w:szCs w:val="24"/>
              </w:rPr>
            </w:pPr>
            <w:r>
              <w:rPr>
                <w:sz w:val="24"/>
                <w:szCs w:val="24"/>
              </w:rPr>
              <w:t>服务器操作系统更新补丁安装及风险评估；</w:t>
            </w:r>
          </w:p>
        </w:tc>
        <w:tc>
          <w:tcPr>
            <w:tcW w:w="939" w:type="dxa"/>
            <w:tcBorders>
              <w:top w:val="single" w:color="auto" w:sz="4" w:space="0"/>
              <w:left w:val="single" w:color="auto" w:sz="4" w:space="0"/>
              <w:bottom w:val="single" w:color="auto" w:sz="4" w:space="0"/>
              <w:right w:val="single" w:color="auto" w:sz="4" w:space="0"/>
            </w:tcBorders>
            <w:vAlign w:val="center"/>
          </w:tcPr>
          <w:p w14:paraId="5B622A94">
            <w:pPr>
              <w:jc w:val="center"/>
              <w:rPr>
                <w:sz w:val="24"/>
                <w:szCs w:val="24"/>
              </w:rPr>
            </w:pPr>
          </w:p>
        </w:tc>
      </w:tr>
      <w:tr w14:paraId="732C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3CE264EB">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75A4B094">
            <w:pPr>
              <w:jc w:val="center"/>
              <w:rPr>
                <w:sz w:val="24"/>
                <w:szCs w:val="24"/>
              </w:rPr>
            </w:pPr>
          </w:p>
        </w:tc>
        <w:tc>
          <w:tcPr>
            <w:tcW w:w="5659" w:type="dxa"/>
            <w:tcBorders>
              <w:top w:val="single" w:color="auto" w:sz="4" w:space="0"/>
              <w:left w:val="single" w:color="auto" w:sz="4" w:space="0"/>
              <w:bottom w:val="single" w:color="auto" w:sz="4" w:space="0"/>
              <w:right w:val="single" w:color="auto" w:sz="4" w:space="0"/>
            </w:tcBorders>
            <w:vAlign w:val="center"/>
          </w:tcPr>
          <w:p w14:paraId="0A8F4E70">
            <w:pPr>
              <w:rPr>
                <w:sz w:val="24"/>
                <w:szCs w:val="24"/>
              </w:rPr>
            </w:pPr>
            <w:r>
              <w:rPr>
                <w:sz w:val="24"/>
                <w:szCs w:val="24"/>
              </w:rPr>
              <w:t>服务器磁盘使用增量及可用空间状态监控；</w:t>
            </w:r>
          </w:p>
        </w:tc>
        <w:tc>
          <w:tcPr>
            <w:tcW w:w="939" w:type="dxa"/>
            <w:tcBorders>
              <w:top w:val="single" w:color="auto" w:sz="4" w:space="0"/>
              <w:left w:val="single" w:color="auto" w:sz="4" w:space="0"/>
              <w:bottom w:val="single" w:color="auto" w:sz="4" w:space="0"/>
              <w:right w:val="single" w:color="auto" w:sz="4" w:space="0"/>
            </w:tcBorders>
            <w:vAlign w:val="center"/>
          </w:tcPr>
          <w:p w14:paraId="2683324F">
            <w:pPr>
              <w:jc w:val="center"/>
              <w:rPr>
                <w:sz w:val="24"/>
                <w:szCs w:val="24"/>
              </w:rPr>
            </w:pPr>
          </w:p>
        </w:tc>
      </w:tr>
      <w:tr w14:paraId="28B7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0CDB49FB">
            <w:pPr>
              <w:numPr>
                <w:ilvl w:val="0"/>
                <w:numId w:val="2"/>
              </w:numPr>
              <w:ind w:left="425" w:hanging="425"/>
              <w:jc w:val="center"/>
              <w:rPr>
                <w:sz w:val="24"/>
                <w:szCs w:val="24"/>
              </w:rPr>
            </w:pPr>
          </w:p>
        </w:tc>
        <w:tc>
          <w:tcPr>
            <w:tcW w:w="1340" w:type="dxa"/>
            <w:vMerge w:val="restart"/>
            <w:tcBorders>
              <w:top w:val="single" w:color="auto" w:sz="4" w:space="0"/>
              <w:left w:val="single" w:color="auto" w:sz="4" w:space="0"/>
              <w:bottom w:val="single" w:color="auto" w:sz="4" w:space="0"/>
              <w:right w:val="single" w:color="auto" w:sz="4" w:space="0"/>
            </w:tcBorders>
            <w:vAlign w:val="center"/>
          </w:tcPr>
          <w:p w14:paraId="63CEAB3A">
            <w:pPr>
              <w:jc w:val="center"/>
              <w:rPr>
                <w:sz w:val="24"/>
                <w:szCs w:val="24"/>
              </w:rPr>
            </w:pPr>
            <w:r>
              <w:rPr>
                <w:rFonts w:hint="eastAsia"/>
                <w:sz w:val="24"/>
                <w:szCs w:val="24"/>
              </w:rPr>
              <w:t>数据库管理及维护</w:t>
            </w:r>
          </w:p>
        </w:tc>
        <w:tc>
          <w:tcPr>
            <w:tcW w:w="5659" w:type="dxa"/>
            <w:tcBorders>
              <w:top w:val="single" w:color="auto" w:sz="4" w:space="0"/>
              <w:left w:val="single" w:color="auto" w:sz="4" w:space="0"/>
              <w:bottom w:val="single" w:color="auto" w:sz="4" w:space="0"/>
              <w:right w:val="single" w:color="auto" w:sz="4" w:space="0"/>
            </w:tcBorders>
            <w:vAlign w:val="center"/>
          </w:tcPr>
          <w:p w14:paraId="4A5633ED">
            <w:pPr>
              <w:rPr>
                <w:sz w:val="24"/>
                <w:szCs w:val="24"/>
              </w:rPr>
            </w:pPr>
            <w:r>
              <w:rPr>
                <w:rFonts w:hint="eastAsia"/>
                <w:sz w:val="24"/>
                <w:szCs w:val="24"/>
              </w:rPr>
              <w:t>SQL数据库登录用户、用户权限及密码管理；</w:t>
            </w:r>
          </w:p>
        </w:tc>
        <w:tc>
          <w:tcPr>
            <w:tcW w:w="939" w:type="dxa"/>
            <w:tcBorders>
              <w:top w:val="single" w:color="auto" w:sz="4" w:space="0"/>
              <w:left w:val="single" w:color="auto" w:sz="4" w:space="0"/>
              <w:bottom w:val="single" w:color="auto" w:sz="4" w:space="0"/>
              <w:right w:val="single" w:color="auto" w:sz="4" w:space="0"/>
            </w:tcBorders>
            <w:vAlign w:val="center"/>
          </w:tcPr>
          <w:p w14:paraId="6696F62C">
            <w:pPr>
              <w:jc w:val="center"/>
              <w:rPr>
                <w:sz w:val="24"/>
                <w:szCs w:val="24"/>
              </w:rPr>
            </w:pPr>
          </w:p>
        </w:tc>
      </w:tr>
      <w:tr w14:paraId="6870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tcBorders>
            <w:vAlign w:val="center"/>
          </w:tcPr>
          <w:p w14:paraId="425664C6">
            <w:pPr>
              <w:numPr>
                <w:ilvl w:val="0"/>
                <w:numId w:val="2"/>
              </w:numPr>
              <w:ind w:left="425" w:hanging="425"/>
              <w:jc w:val="center"/>
              <w:rPr>
                <w:sz w:val="24"/>
                <w:szCs w:val="24"/>
              </w:rPr>
            </w:pPr>
          </w:p>
        </w:tc>
        <w:tc>
          <w:tcPr>
            <w:tcW w:w="1340" w:type="dxa"/>
            <w:vMerge w:val="continue"/>
            <w:tcBorders>
              <w:top w:val="single" w:color="auto" w:sz="4" w:space="0"/>
            </w:tcBorders>
            <w:vAlign w:val="center"/>
          </w:tcPr>
          <w:p w14:paraId="7F18B750">
            <w:pPr>
              <w:jc w:val="center"/>
              <w:rPr>
                <w:sz w:val="24"/>
                <w:szCs w:val="24"/>
              </w:rPr>
            </w:pPr>
          </w:p>
        </w:tc>
        <w:tc>
          <w:tcPr>
            <w:tcW w:w="5659" w:type="dxa"/>
            <w:tcBorders>
              <w:top w:val="single" w:color="auto" w:sz="4" w:space="0"/>
            </w:tcBorders>
            <w:vAlign w:val="center"/>
          </w:tcPr>
          <w:p w14:paraId="4D74A017">
            <w:pPr>
              <w:rPr>
                <w:sz w:val="24"/>
                <w:szCs w:val="24"/>
              </w:rPr>
            </w:pPr>
            <w:r>
              <w:rPr>
                <w:sz w:val="24"/>
                <w:szCs w:val="24"/>
              </w:rPr>
              <w:t>SQL</w:t>
            </w:r>
            <w:r>
              <w:rPr>
                <w:rFonts w:hint="eastAsia"/>
                <w:sz w:val="24"/>
                <w:szCs w:val="24"/>
              </w:rPr>
              <w:t>服务占用服务器内存及CPU数据收集分析；</w:t>
            </w:r>
          </w:p>
        </w:tc>
        <w:tc>
          <w:tcPr>
            <w:tcW w:w="939" w:type="dxa"/>
            <w:tcBorders>
              <w:top w:val="single" w:color="auto" w:sz="4" w:space="0"/>
            </w:tcBorders>
            <w:vAlign w:val="center"/>
          </w:tcPr>
          <w:p w14:paraId="7C49E204">
            <w:pPr>
              <w:jc w:val="center"/>
              <w:rPr>
                <w:sz w:val="24"/>
                <w:szCs w:val="24"/>
              </w:rPr>
            </w:pPr>
          </w:p>
        </w:tc>
      </w:tr>
      <w:tr w14:paraId="7737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F2940F8">
            <w:pPr>
              <w:numPr>
                <w:ilvl w:val="0"/>
                <w:numId w:val="2"/>
              </w:numPr>
              <w:ind w:left="425" w:hanging="425"/>
              <w:jc w:val="center"/>
              <w:rPr>
                <w:sz w:val="24"/>
                <w:szCs w:val="24"/>
              </w:rPr>
            </w:pPr>
          </w:p>
        </w:tc>
        <w:tc>
          <w:tcPr>
            <w:tcW w:w="1340" w:type="dxa"/>
            <w:vMerge w:val="continue"/>
            <w:vAlign w:val="center"/>
          </w:tcPr>
          <w:p w14:paraId="0D61FE47">
            <w:pPr>
              <w:jc w:val="center"/>
              <w:rPr>
                <w:sz w:val="24"/>
                <w:szCs w:val="24"/>
              </w:rPr>
            </w:pPr>
          </w:p>
        </w:tc>
        <w:tc>
          <w:tcPr>
            <w:tcW w:w="5659" w:type="dxa"/>
            <w:vAlign w:val="center"/>
          </w:tcPr>
          <w:p w14:paraId="27A09DE5">
            <w:pPr>
              <w:rPr>
                <w:sz w:val="24"/>
                <w:szCs w:val="24"/>
              </w:rPr>
            </w:pPr>
            <w:r>
              <w:rPr>
                <w:sz w:val="24"/>
                <w:szCs w:val="24"/>
              </w:rPr>
              <w:t>SQL数据库运行内存监控；</w:t>
            </w:r>
          </w:p>
        </w:tc>
        <w:tc>
          <w:tcPr>
            <w:tcW w:w="939" w:type="dxa"/>
            <w:vAlign w:val="center"/>
          </w:tcPr>
          <w:p w14:paraId="762C773B">
            <w:pPr>
              <w:jc w:val="center"/>
              <w:rPr>
                <w:sz w:val="24"/>
                <w:szCs w:val="24"/>
              </w:rPr>
            </w:pPr>
          </w:p>
        </w:tc>
      </w:tr>
      <w:tr w14:paraId="7895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E3357DF">
            <w:pPr>
              <w:numPr>
                <w:ilvl w:val="0"/>
                <w:numId w:val="2"/>
              </w:numPr>
              <w:ind w:left="425" w:hanging="425"/>
              <w:jc w:val="center"/>
              <w:rPr>
                <w:sz w:val="24"/>
                <w:szCs w:val="24"/>
              </w:rPr>
            </w:pPr>
          </w:p>
        </w:tc>
        <w:tc>
          <w:tcPr>
            <w:tcW w:w="1340" w:type="dxa"/>
            <w:vMerge w:val="continue"/>
            <w:vAlign w:val="center"/>
          </w:tcPr>
          <w:p w14:paraId="110B7674">
            <w:pPr>
              <w:jc w:val="center"/>
              <w:rPr>
                <w:sz w:val="24"/>
                <w:szCs w:val="24"/>
              </w:rPr>
            </w:pPr>
          </w:p>
        </w:tc>
        <w:tc>
          <w:tcPr>
            <w:tcW w:w="5659" w:type="dxa"/>
            <w:vAlign w:val="center"/>
          </w:tcPr>
          <w:p w14:paraId="79951C4D">
            <w:pPr>
              <w:rPr>
                <w:sz w:val="24"/>
                <w:szCs w:val="24"/>
              </w:rPr>
            </w:pPr>
            <w:r>
              <w:rPr>
                <w:rFonts w:hint="eastAsia"/>
                <w:sz w:val="24"/>
                <w:szCs w:val="24"/>
              </w:rPr>
              <w:t>SQL数据库运行内存设置及检查；</w:t>
            </w:r>
          </w:p>
        </w:tc>
        <w:tc>
          <w:tcPr>
            <w:tcW w:w="939" w:type="dxa"/>
            <w:vAlign w:val="center"/>
          </w:tcPr>
          <w:p w14:paraId="17C73725">
            <w:pPr>
              <w:jc w:val="center"/>
              <w:rPr>
                <w:sz w:val="24"/>
                <w:szCs w:val="24"/>
              </w:rPr>
            </w:pPr>
          </w:p>
        </w:tc>
      </w:tr>
      <w:tr w14:paraId="7406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001C3C8">
            <w:pPr>
              <w:numPr>
                <w:ilvl w:val="0"/>
                <w:numId w:val="2"/>
              </w:numPr>
              <w:ind w:left="425" w:hanging="425"/>
              <w:jc w:val="center"/>
              <w:rPr>
                <w:sz w:val="24"/>
                <w:szCs w:val="24"/>
              </w:rPr>
            </w:pPr>
          </w:p>
        </w:tc>
        <w:tc>
          <w:tcPr>
            <w:tcW w:w="1340" w:type="dxa"/>
            <w:vMerge w:val="continue"/>
            <w:vAlign w:val="center"/>
          </w:tcPr>
          <w:p w14:paraId="179A0E20">
            <w:pPr>
              <w:jc w:val="center"/>
              <w:rPr>
                <w:sz w:val="24"/>
                <w:szCs w:val="24"/>
              </w:rPr>
            </w:pPr>
          </w:p>
        </w:tc>
        <w:tc>
          <w:tcPr>
            <w:tcW w:w="5659" w:type="dxa"/>
            <w:vAlign w:val="center"/>
          </w:tcPr>
          <w:p w14:paraId="78BBD1E7">
            <w:pPr>
              <w:rPr>
                <w:sz w:val="24"/>
                <w:szCs w:val="24"/>
              </w:rPr>
            </w:pPr>
            <w:r>
              <w:rPr>
                <w:rFonts w:hint="eastAsia"/>
                <w:sz w:val="24"/>
                <w:szCs w:val="24"/>
              </w:rPr>
              <w:t>蓝网科技产品运行基础数据及业务数据增量监控；</w:t>
            </w:r>
          </w:p>
        </w:tc>
        <w:tc>
          <w:tcPr>
            <w:tcW w:w="939" w:type="dxa"/>
            <w:vAlign w:val="center"/>
          </w:tcPr>
          <w:p w14:paraId="7D57B90E">
            <w:pPr>
              <w:jc w:val="center"/>
              <w:rPr>
                <w:sz w:val="24"/>
                <w:szCs w:val="24"/>
              </w:rPr>
            </w:pPr>
          </w:p>
        </w:tc>
      </w:tr>
      <w:tr w14:paraId="6747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199BEA8">
            <w:pPr>
              <w:numPr>
                <w:ilvl w:val="0"/>
                <w:numId w:val="2"/>
              </w:numPr>
              <w:ind w:left="425" w:hanging="425"/>
              <w:jc w:val="center"/>
              <w:rPr>
                <w:sz w:val="24"/>
                <w:szCs w:val="24"/>
              </w:rPr>
            </w:pPr>
          </w:p>
        </w:tc>
        <w:tc>
          <w:tcPr>
            <w:tcW w:w="1340" w:type="dxa"/>
            <w:vMerge w:val="continue"/>
            <w:vAlign w:val="center"/>
          </w:tcPr>
          <w:p w14:paraId="6B5BB0EB">
            <w:pPr>
              <w:jc w:val="center"/>
              <w:rPr>
                <w:sz w:val="24"/>
                <w:szCs w:val="24"/>
              </w:rPr>
            </w:pPr>
          </w:p>
        </w:tc>
        <w:tc>
          <w:tcPr>
            <w:tcW w:w="5659" w:type="dxa"/>
            <w:vAlign w:val="center"/>
          </w:tcPr>
          <w:p w14:paraId="0D3996DC">
            <w:pPr>
              <w:rPr>
                <w:sz w:val="24"/>
                <w:szCs w:val="24"/>
              </w:rPr>
            </w:pPr>
            <w:r>
              <w:rPr>
                <w:rFonts w:hint="eastAsia"/>
                <w:sz w:val="24"/>
                <w:szCs w:val="24"/>
              </w:rPr>
              <w:t>蓝网科技产品运行数据库备份管理（自动备份与手动备份）；</w:t>
            </w:r>
          </w:p>
        </w:tc>
        <w:tc>
          <w:tcPr>
            <w:tcW w:w="939" w:type="dxa"/>
            <w:vAlign w:val="center"/>
          </w:tcPr>
          <w:p w14:paraId="0D24E699">
            <w:pPr>
              <w:jc w:val="center"/>
              <w:rPr>
                <w:sz w:val="24"/>
                <w:szCs w:val="24"/>
              </w:rPr>
            </w:pPr>
          </w:p>
        </w:tc>
      </w:tr>
      <w:tr w14:paraId="0B7B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86A31BE">
            <w:pPr>
              <w:numPr>
                <w:ilvl w:val="0"/>
                <w:numId w:val="2"/>
              </w:numPr>
              <w:ind w:left="425" w:hanging="425"/>
              <w:jc w:val="center"/>
              <w:rPr>
                <w:sz w:val="24"/>
                <w:szCs w:val="24"/>
              </w:rPr>
            </w:pPr>
          </w:p>
        </w:tc>
        <w:tc>
          <w:tcPr>
            <w:tcW w:w="1340" w:type="dxa"/>
            <w:vMerge w:val="continue"/>
            <w:vAlign w:val="center"/>
          </w:tcPr>
          <w:p w14:paraId="71DF885C">
            <w:pPr>
              <w:jc w:val="center"/>
              <w:rPr>
                <w:sz w:val="24"/>
                <w:szCs w:val="24"/>
              </w:rPr>
            </w:pPr>
          </w:p>
        </w:tc>
        <w:tc>
          <w:tcPr>
            <w:tcW w:w="5659" w:type="dxa"/>
            <w:vAlign w:val="center"/>
          </w:tcPr>
          <w:p w14:paraId="6575A465">
            <w:pPr>
              <w:rPr>
                <w:sz w:val="24"/>
                <w:szCs w:val="24"/>
              </w:rPr>
            </w:pPr>
            <w:r>
              <w:rPr>
                <w:rFonts w:hint="eastAsia"/>
                <w:sz w:val="24"/>
                <w:szCs w:val="24"/>
              </w:rPr>
              <w:t>蓝网科技产品业务数据库手动异地备份管理；</w:t>
            </w:r>
          </w:p>
        </w:tc>
        <w:tc>
          <w:tcPr>
            <w:tcW w:w="939" w:type="dxa"/>
            <w:vAlign w:val="center"/>
          </w:tcPr>
          <w:p w14:paraId="6C74AF51">
            <w:pPr>
              <w:jc w:val="center"/>
              <w:rPr>
                <w:sz w:val="24"/>
                <w:szCs w:val="24"/>
              </w:rPr>
            </w:pPr>
          </w:p>
        </w:tc>
      </w:tr>
      <w:tr w14:paraId="60AD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0E9A37B">
            <w:pPr>
              <w:numPr>
                <w:ilvl w:val="0"/>
                <w:numId w:val="2"/>
              </w:numPr>
              <w:ind w:left="425" w:hanging="425"/>
              <w:jc w:val="center"/>
              <w:rPr>
                <w:sz w:val="24"/>
                <w:szCs w:val="24"/>
              </w:rPr>
            </w:pPr>
          </w:p>
        </w:tc>
        <w:tc>
          <w:tcPr>
            <w:tcW w:w="1340" w:type="dxa"/>
            <w:vMerge w:val="continue"/>
            <w:vAlign w:val="center"/>
          </w:tcPr>
          <w:p w14:paraId="11E13CED">
            <w:pPr>
              <w:jc w:val="center"/>
              <w:rPr>
                <w:sz w:val="24"/>
                <w:szCs w:val="24"/>
              </w:rPr>
            </w:pPr>
          </w:p>
        </w:tc>
        <w:tc>
          <w:tcPr>
            <w:tcW w:w="5659" w:type="dxa"/>
            <w:vAlign w:val="center"/>
          </w:tcPr>
          <w:p w14:paraId="0061334D">
            <w:pPr>
              <w:rPr>
                <w:sz w:val="24"/>
                <w:szCs w:val="24"/>
              </w:rPr>
            </w:pPr>
            <w:r>
              <w:rPr>
                <w:rFonts w:hint="eastAsia"/>
                <w:sz w:val="24"/>
                <w:szCs w:val="24"/>
              </w:rPr>
              <w:t>SQL</w:t>
            </w:r>
            <w:r>
              <w:rPr>
                <w:sz w:val="24"/>
                <w:szCs w:val="24"/>
              </w:rPr>
              <w:t>数据库维护计划之自动删除备份任务功能监控；</w:t>
            </w:r>
          </w:p>
        </w:tc>
        <w:tc>
          <w:tcPr>
            <w:tcW w:w="939" w:type="dxa"/>
            <w:vAlign w:val="center"/>
          </w:tcPr>
          <w:p w14:paraId="24A813D4">
            <w:pPr>
              <w:jc w:val="center"/>
              <w:rPr>
                <w:sz w:val="24"/>
                <w:szCs w:val="24"/>
              </w:rPr>
            </w:pPr>
          </w:p>
        </w:tc>
      </w:tr>
      <w:tr w14:paraId="1CC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C3618CB">
            <w:pPr>
              <w:numPr>
                <w:ilvl w:val="0"/>
                <w:numId w:val="2"/>
              </w:numPr>
              <w:ind w:left="425" w:hanging="425"/>
              <w:jc w:val="center"/>
              <w:rPr>
                <w:sz w:val="24"/>
                <w:szCs w:val="24"/>
              </w:rPr>
            </w:pPr>
          </w:p>
        </w:tc>
        <w:tc>
          <w:tcPr>
            <w:tcW w:w="1340" w:type="dxa"/>
            <w:vMerge w:val="continue"/>
            <w:vAlign w:val="center"/>
          </w:tcPr>
          <w:p w14:paraId="5584B962">
            <w:pPr>
              <w:jc w:val="center"/>
              <w:rPr>
                <w:sz w:val="24"/>
                <w:szCs w:val="24"/>
              </w:rPr>
            </w:pPr>
          </w:p>
        </w:tc>
        <w:tc>
          <w:tcPr>
            <w:tcW w:w="5659" w:type="dxa"/>
            <w:vAlign w:val="center"/>
          </w:tcPr>
          <w:p w14:paraId="1AC2D7CA">
            <w:pPr>
              <w:rPr>
                <w:sz w:val="24"/>
                <w:szCs w:val="24"/>
              </w:rPr>
            </w:pPr>
            <w:r>
              <w:rPr>
                <w:sz w:val="24"/>
                <w:szCs w:val="24"/>
              </w:rPr>
              <w:t>SQL数据库文件增长方式及日志文件增量监控；</w:t>
            </w:r>
          </w:p>
        </w:tc>
        <w:tc>
          <w:tcPr>
            <w:tcW w:w="939" w:type="dxa"/>
            <w:vAlign w:val="center"/>
          </w:tcPr>
          <w:p w14:paraId="262C2C37">
            <w:pPr>
              <w:jc w:val="center"/>
              <w:rPr>
                <w:sz w:val="24"/>
                <w:szCs w:val="24"/>
              </w:rPr>
            </w:pPr>
          </w:p>
        </w:tc>
      </w:tr>
      <w:tr w14:paraId="0A77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EECB5D1">
            <w:pPr>
              <w:numPr>
                <w:ilvl w:val="0"/>
                <w:numId w:val="2"/>
              </w:numPr>
              <w:ind w:left="425" w:hanging="425"/>
              <w:jc w:val="center"/>
              <w:rPr>
                <w:sz w:val="24"/>
                <w:szCs w:val="24"/>
              </w:rPr>
            </w:pPr>
          </w:p>
        </w:tc>
        <w:tc>
          <w:tcPr>
            <w:tcW w:w="1340" w:type="dxa"/>
            <w:vMerge w:val="continue"/>
            <w:vAlign w:val="center"/>
          </w:tcPr>
          <w:p w14:paraId="073B2C7C">
            <w:pPr>
              <w:jc w:val="center"/>
              <w:rPr>
                <w:sz w:val="24"/>
                <w:szCs w:val="24"/>
              </w:rPr>
            </w:pPr>
          </w:p>
        </w:tc>
        <w:tc>
          <w:tcPr>
            <w:tcW w:w="5659" w:type="dxa"/>
            <w:vAlign w:val="center"/>
          </w:tcPr>
          <w:p w14:paraId="47B8DB6A">
            <w:pPr>
              <w:rPr>
                <w:sz w:val="24"/>
                <w:szCs w:val="24"/>
              </w:rPr>
            </w:pPr>
            <w:r>
              <w:rPr>
                <w:rFonts w:hint="eastAsia"/>
                <w:sz w:val="24"/>
                <w:szCs w:val="24"/>
              </w:rPr>
              <w:t>S</w:t>
            </w:r>
            <w:r>
              <w:rPr>
                <w:sz w:val="24"/>
                <w:szCs w:val="24"/>
              </w:rPr>
              <w:t>QL代理服务运行状态监控；</w:t>
            </w:r>
          </w:p>
        </w:tc>
        <w:tc>
          <w:tcPr>
            <w:tcW w:w="939" w:type="dxa"/>
            <w:vAlign w:val="center"/>
          </w:tcPr>
          <w:p w14:paraId="1F4625AF">
            <w:pPr>
              <w:jc w:val="center"/>
              <w:rPr>
                <w:sz w:val="24"/>
                <w:szCs w:val="24"/>
              </w:rPr>
            </w:pPr>
          </w:p>
        </w:tc>
      </w:tr>
      <w:tr w14:paraId="071F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D01F2B7">
            <w:pPr>
              <w:numPr>
                <w:ilvl w:val="0"/>
                <w:numId w:val="2"/>
              </w:numPr>
              <w:ind w:left="425" w:hanging="425"/>
              <w:jc w:val="center"/>
              <w:rPr>
                <w:sz w:val="24"/>
                <w:szCs w:val="24"/>
              </w:rPr>
            </w:pPr>
          </w:p>
        </w:tc>
        <w:tc>
          <w:tcPr>
            <w:tcW w:w="1340" w:type="dxa"/>
            <w:vMerge w:val="continue"/>
            <w:vAlign w:val="center"/>
          </w:tcPr>
          <w:p w14:paraId="367C797B">
            <w:pPr>
              <w:jc w:val="center"/>
              <w:rPr>
                <w:sz w:val="24"/>
                <w:szCs w:val="24"/>
              </w:rPr>
            </w:pPr>
          </w:p>
        </w:tc>
        <w:tc>
          <w:tcPr>
            <w:tcW w:w="5659" w:type="dxa"/>
            <w:vAlign w:val="center"/>
          </w:tcPr>
          <w:p w14:paraId="2DAA4076">
            <w:pPr>
              <w:rPr>
                <w:sz w:val="24"/>
                <w:szCs w:val="24"/>
              </w:rPr>
            </w:pPr>
            <w:r>
              <w:rPr>
                <w:rFonts w:hint="eastAsia"/>
                <w:sz w:val="24"/>
                <w:szCs w:val="24"/>
              </w:rPr>
              <w:t>SQL Server更新补丁安装及风险评估；</w:t>
            </w:r>
          </w:p>
        </w:tc>
        <w:tc>
          <w:tcPr>
            <w:tcW w:w="939" w:type="dxa"/>
            <w:vAlign w:val="center"/>
          </w:tcPr>
          <w:p w14:paraId="1F1453C9">
            <w:pPr>
              <w:jc w:val="center"/>
              <w:rPr>
                <w:sz w:val="24"/>
                <w:szCs w:val="24"/>
              </w:rPr>
            </w:pPr>
          </w:p>
        </w:tc>
      </w:tr>
      <w:tr w14:paraId="4998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9405F8E">
            <w:pPr>
              <w:numPr>
                <w:ilvl w:val="0"/>
                <w:numId w:val="2"/>
              </w:numPr>
              <w:ind w:left="425" w:hanging="425"/>
              <w:jc w:val="center"/>
              <w:rPr>
                <w:sz w:val="24"/>
                <w:szCs w:val="24"/>
              </w:rPr>
            </w:pPr>
          </w:p>
        </w:tc>
        <w:tc>
          <w:tcPr>
            <w:tcW w:w="1340" w:type="dxa"/>
            <w:vMerge w:val="restart"/>
            <w:vAlign w:val="center"/>
          </w:tcPr>
          <w:p w14:paraId="3F1D8601">
            <w:pPr>
              <w:jc w:val="center"/>
              <w:rPr>
                <w:sz w:val="24"/>
                <w:szCs w:val="24"/>
              </w:rPr>
            </w:pPr>
            <w:r>
              <w:rPr>
                <w:rFonts w:hint="eastAsia"/>
                <w:sz w:val="24"/>
                <w:szCs w:val="24"/>
              </w:rPr>
              <w:t>蓝网产品服务端程序管理及维护</w:t>
            </w:r>
          </w:p>
        </w:tc>
        <w:tc>
          <w:tcPr>
            <w:tcW w:w="5659" w:type="dxa"/>
            <w:vAlign w:val="center"/>
          </w:tcPr>
          <w:p w14:paraId="5B98E348">
            <w:pPr>
              <w:rPr>
                <w:sz w:val="24"/>
                <w:szCs w:val="24"/>
              </w:rPr>
            </w:pPr>
            <w:r>
              <w:rPr>
                <w:rFonts w:hint="eastAsia"/>
                <w:sz w:val="24"/>
                <w:szCs w:val="24"/>
              </w:rPr>
              <w:t>服务端运行程序文件异地备份；</w:t>
            </w:r>
          </w:p>
        </w:tc>
        <w:tc>
          <w:tcPr>
            <w:tcW w:w="939" w:type="dxa"/>
            <w:vAlign w:val="center"/>
          </w:tcPr>
          <w:p w14:paraId="5FEC5FF3">
            <w:pPr>
              <w:jc w:val="center"/>
              <w:rPr>
                <w:sz w:val="24"/>
                <w:szCs w:val="24"/>
              </w:rPr>
            </w:pPr>
          </w:p>
        </w:tc>
      </w:tr>
      <w:tr w14:paraId="2D3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B0432CB">
            <w:pPr>
              <w:numPr>
                <w:ilvl w:val="0"/>
                <w:numId w:val="2"/>
              </w:numPr>
              <w:ind w:left="425" w:hanging="425"/>
              <w:jc w:val="center"/>
              <w:rPr>
                <w:sz w:val="24"/>
                <w:szCs w:val="24"/>
              </w:rPr>
            </w:pPr>
          </w:p>
        </w:tc>
        <w:tc>
          <w:tcPr>
            <w:tcW w:w="1340" w:type="dxa"/>
            <w:vMerge w:val="continue"/>
            <w:vAlign w:val="center"/>
          </w:tcPr>
          <w:p w14:paraId="0D1762EC">
            <w:pPr>
              <w:jc w:val="center"/>
              <w:rPr>
                <w:sz w:val="24"/>
                <w:szCs w:val="24"/>
              </w:rPr>
            </w:pPr>
          </w:p>
        </w:tc>
        <w:tc>
          <w:tcPr>
            <w:tcW w:w="5659" w:type="dxa"/>
            <w:vAlign w:val="center"/>
          </w:tcPr>
          <w:p w14:paraId="5D486AA5">
            <w:pPr>
              <w:rPr>
                <w:sz w:val="24"/>
                <w:szCs w:val="24"/>
              </w:rPr>
            </w:pPr>
            <w:r>
              <w:rPr>
                <w:rFonts w:hint="eastAsia"/>
                <w:sz w:val="24"/>
                <w:szCs w:val="24"/>
              </w:rPr>
              <w:t>服务端文件升级管理，并有完整的文件更新记录；</w:t>
            </w:r>
          </w:p>
        </w:tc>
        <w:tc>
          <w:tcPr>
            <w:tcW w:w="939" w:type="dxa"/>
            <w:vAlign w:val="center"/>
          </w:tcPr>
          <w:p w14:paraId="05877760">
            <w:pPr>
              <w:jc w:val="center"/>
              <w:rPr>
                <w:sz w:val="24"/>
                <w:szCs w:val="24"/>
              </w:rPr>
            </w:pPr>
          </w:p>
        </w:tc>
      </w:tr>
      <w:tr w14:paraId="74F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7B5192B">
            <w:pPr>
              <w:numPr>
                <w:ilvl w:val="0"/>
                <w:numId w:val="2"/>
              </w:numPr>
              <w:ind w:left="425" w:hanging="425"/>
              <w:jc w:val="center"/>
              <w:rPr>
                <w:sz w:val="24"/>
                <w:szCs w:val="24"/>
              </w:rPr>
            </w:pPr>
          </w:p>
        </w:tc>
        <w:tc>
          <w:tcPr>
            <w:tcW w:w="1340" w:type="dxa"/>
            <w:vMerge w:val="continue"/>
            <w:vAlign w:val="center"/>
          </w:tcPr>
          <w:p w14:paraId="5F2B35F7">
            <w:pPr>
              <w:jc w:val="center"/>
              <w:rPr>
                <w:sz w:val="24"/>
                <w:szCs w:val="24"/>
              </w:rPr>
            </w:pPr>
          </w:p>
        </w:tc>
        <w:tc>
          <w:tcPr>
            <w:tcW w:w="5659" w:type="dxa"/>
            <w:vAlign w:val="center"/>
          </w:tcPr>
          <w:p w14:paraId="3CD6DB50">
            <w:pPr>
              <w:rPr>
                <w:sz w:val="24"/>
                <w:szCs w:val="24"/>
              </w:rPr>
            </w:pPr>
            <w:r>
              <w:rPr>
                <w:sz w:val="24"/>
                <w:szCs w:val="24"/>
              </w:rPr>
              <w:t>服务端基本参数设置检查核对；</w:t>
            </w:r>
          </w:p>
        </w:tc>
        <w:tc>
          <w:tcPr>
            <w:tcW w:w="939" w:type="dxa"/>
            <w:vAlign w:val="center"/>
          </w:tcPr>
          <w:p w14:paraId="7B522986">
            <w:pPr>
              <w:jc w:val="center"/>
              <w:rPr>
                <w:sz w:val="24"/>
                <w:szCs w:val="24"/>
              </w:rPr>
            </w:pPr>
          </w:p>
        </w:tc>
      </w:tr>
      <w:tr w14:paraId="2BDE0512">
        <w:tblPrEx>
          <w:tblCellMar>
            <w:top w:w="0" w:type="dxa"/>
            <w:left w:w="108" w:type="dxa"/>
            <w:bottom w:w="0" w:type="dxa"/>
            <w:right w:w="108" w:type="dxa"/>
          </w:tblCellMar>
        </w:tblPrEx>
        <w:trPr>
          <w:trHeight w:val="567" w:hRule="atLeast"/>
        </w:trPr>
        <w:tc>
          <w:tcPr>
            <w:tcW w:w="709" w:type="dxa"/>
            <w:vAlign w:val="center"/>
          </w:tcPr>
          <w:p w14:paraId="04CC117D">
            <w:pPr>
              <w:numPr>
                <w:ilvl w:val="0"/>
                <w:numId w:val="2"/>
              </w:numPr>
              <w:ind w:left="425" w:hanging="425"/>
              <w:jc w:val="center"/>
              <w:rPr>
                <w:sz w:val="24"/>
                <w:szCs w:val="24"/>
              </w:rPr>
            </w:pPr>
          </w:p>
        </w:tc>
        <w:tc>
          <w:tcPr>
            <w:tcW w:w="1340" w:type="dxa"/>
            <w:vMerge w:val="continue"/>
            <w:vAlign w:val="center"/>
          </w:tcPr>
          <w:p w14:paraId="0500C77A">
            <w:pPr>
              <w:jc w:val="center"/>
              <w:rPr>
                <w:sz w:val="24"/>
                <w:szCs w:val="24"/>
              </w:rPr>
            </w:pPr>
          </w:p>
        </w:tc>
        <w:tc>
          <w:tcPr>
            <w:tcW w:w="5659" w:type="dxa"/>
            <w:vAlign w:val="center"/>
          </w:tcPr>
          <w:p w14:paraId="09473310">
            <w:pPr>
              <w:rPr>
                <w:sz w:val="24"/>
                <w:szCs w:val="24"/>
              </w:rPr>
            </w:pPr>
            <w:r>
              <w:rPr>
                <w:sz w:val="24"/>
                <w:szCs w:val="24"/>
              </w:rPr>
              <w:t>服务端各子服务运行方式、日志级别定期检查；</w:t>
            </w:r>
          </w:p>
        </w:tc>
        <w:tc>
          <w:tcPr>
            <w:tcW w:w="939" w:type="dxa"/>
            <w:vAlign w:val="center"/>
          </w:tcPr>
          <w:p w14:paraId="1BC9A88F">
            <w:pPr>
              <w:jc w:val="center"/>
              <w:rPr>
                <w:sz w:val="24"/>
                <w:szCs w:val="24"/>
              </w:rPr>
            </w:pPr>
          </w:p>
        </w:tc>
      </w:tr>
      <w:tr w14:paraId="6D23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943C971">
            <w:pPr>
              <w:numPr>
                <w:ilvl w:val="0"/>
                <w:numId w:val="2"/>
              </w:numPr>
              <w:ind w:left="425" w:hanging="425"/>
              <w:jc w:val="center"/>
              <w:rPr>
                <w:sz w:val="24"/>
                <w:szCs w:val="24"/>
              </w:rPr>
            </w:pPr>
          </w:p>
        </w:tc>
        <w:tc>
          <w:tcPr>
            <w:tcW w:w="1340" w:type="dxa"/>
            <w:vMerge w:val="continue"/>
            <w:vAlign w:val="center"/>
          </w:tcPr>
          <w:p w14:paraId="7D9680D4">
            <w:pPr>
              <w:jc w:val="center"/>
              <w:rPr>
                <w:sz w:val="24"/>
                <w:szCs w:val="24"/>
              </w:rPr>
            </w:pPr>
          </w:p>
        </w:tc>
        <w:tc>
          <w:tcPr>
            <w:tcW w:w="5659" w:type="dxa"/>
            <w:vAlign w:val="center"/>
          </w:tcPr>
          <w:p w14:paraId="0BB82949">
            <w:pPr>
              <w:rPr>
                <w:sz w:val="24"/>
                <w:szCs w:val="24"/>
              </w:rPr>
            </w:pPr>
            <w:r>
              <w:rPr>
                <w:sz w:val="24"/>
                <w:szCs w:val="24"/>
              </w:rPr>
              <w:t>服务端加密狗授权及权限管理；</w:t>
            </w:r>
          </w:p>
        </w:tc>
        <w:tc>
          <w:tcPr>
            <w:tcW w:w="939" w:type="dxa"/>
            <w:vAlign w:val="center"/>
          </w:tcPr>
          <w:p w14:paraId="441C5D65">
            <w:pPr>
              <w:jc w:val="center"/>
              <w:rPr>
                <w:sz w:val="24"/>
                <w:szCs w:val="24"/>
              </w:rPr>
            </w:pPr>
          </w:p>
        </w:tc>
      </w:tr>
      <w:tr w14:paraId="707979A6">
        <w:tblPrEx>
          <w:tblCellMar>
            <w:top w:w="0" w:type="dxa"/>
            <w:left w:w="108" w:type="dxa"/>
            <w:bottom w:w="0" w:type="dxa"/>
            <w:right w:w="108" w:type="dxa"/>
          </w:tblCellMar>
        </w:tblPrEx>
        <w:trPr>
          <w:trHeight w:val="567" w:hRule="atLeast"/>
        </w:trPr>
        <w:tc>
          <w:tcPr>
            <w:tcW w:w="709" w:type="dxa"/>
            <w:vAlign w:val="center"/>
          </w:tcPr>
          <w:p w14:paraId="568B54DF">
            <w:pPr>
              <w:numPr>
                <w:ilvl w:val="0"/>
                <w:numId w:val="2"/>
              </w:numPr>
              <w:ind w:left="425" w:hanging="425"/>
              <w:jc w:val="center"/>
              <w:rPr>
                <w:sz w:val="24"/>
                <w:szCs w:val="24"/>
              </w:rPr>
            </w:pPr>
          </w:p>
        </w:tc>
        <w:tc>
          <w:tcPr>
            <w:tcW w:w="1340" w:type="dxa"/>
            <w:vMerge w:val="continue"/>
            <w:vAlign w:val="center"/>
          </w:tcPr>
          <w:p w14:paraId="7E930F70">
            <w:pPr>
              <w:jc w:val="center"/>
              <w:rPr>
                <w:sz w:val="24"/>
                <w:szCs w:val="24"/>
              </w:rPr>
            </w:pPr>
          </w:p>
        </w:tc>
        <w:tc>
          <w:tcPr>
            <w:tcW w:w="5659" w:type="dxa"/>
            <w:vAlign w:val="center"/>
          </w:tcPr>
          <w:p w14:paraId="7F41CD21">
            <w:pPr>
              <w:rPr>
                <w:sz w:val="24"/>
                <w:szCs w:val="24"/>
              </w:rPr>
            </w:pPr>
            <w:r>
              <w:rPr>
                <w:sz w:val="24"/>
                <w:szCs w:val="24"/>
              </w:rPr>
              <w:t>服务端数据管理脚本目录script、error文件夹定期检查；</w:t>
            </w:r>
          </w:p>
        </w:tc>
        <w:tc>
          <w:tcPr>
            <w:tcW w:w="939" w:type="dxa"/>
            <w:vAlign w:val="center"/>
          </w:tcPr>
          <w:p w14:paraId="52AE91AA">
            <w:pPr>
              <w:jc w:val="center"/>
              <w:rPr>
                <w:sz w:val="24"/>
                <w:szCs w:val="24"/>
              </w:rPr>
            </w:pPr>
          </w:p>
        </w:tc>
      </w:tr>
      <w:tr w14:paraId="432F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984ADEF">
            <w:pPr>
              <w:numPr>
                <w:ilvl w:val="0"/>
                <w:numId w:val="2"/>
              </w:numPr>
              <w:ind w:left="425" w:hanging="425"/>
              <w:jc w:val="center"/>
              <w:rPr>
                <w:sz w:val="24"/>
                <w:szCs w:val="24"/>
              </w:rPr>
            </w:pPr>
          </w:p>
        </w:tc>
        <w:tc>
          <w:tcPr>
            <w:tcW w:w="1340" w:type="dxa"/>
            <w:vMerge w:val="continue"/>
            <w:vAlign w:val="center"/>
          </w:tcPr>
          <w:p w14:paraId="079381CA">
            <w:pPr>
              <w:jc w:val="center"/>
              <w:rPr>
                <w:sz w:val="24"/>
                <w:szCs w:val="24"/>
              </w:rPr>
            </w:pPr>
          </w:p>
        </w:tc>
        <w:tc>
          <w:tcPr>
            <w:tcW w:w="5659" w:type="dxa"/>
            <w:vAlign w:val="center"/>
          </w:tcPr>
          <w:p w14:paraId="36A03A84">
            <w:pPr>
              <w:rPr>
                <w:sz w:val="24"/>
                <w:szCs w:val="24"/>
              </w:rPr>
            </w:pPr>
            <w:r>
              <w:rPr>
                <w:sz w:val="24"/>
                <w:szCs w:val="24"/>
              </w:rPr>
              <w:t>服务端容灾配置方案部署及检查；</w:t>
            </w:r>
          </w:p>
        </w:tc>
        <w:tc>
          <w:tcPr>
            <w:tcW w:w="939" w:type="dxa"/>
            <w:vAlign w:val="center"/>
          </w:tcPr>
          <w:p w14:paraId="27F4D567">
            <w:pPr>
              <w:jc w:val="center"/>
              <w:rPr>
                <w:sz w:val="24"/>
                <w:szCs w:val="24"/>
              </w:rPr>
            </w:pPr>
          </w:p>
        </w:tc>
      </w:tr>
      <w:tr w14:paraId="5A1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8CBFE02">
            <w:pPr>
              <w:numPr>
                <w:ilvl w:val="0"/>
                <w:numId w:val="2"/>
              </w:numPr>
              <w:ind w:left="425" w:hanging="425"/>
              <w:jc w:val="center"/>
              <w:rPr>
                <w:sz w:val="24"/>
                <w:szCs w:val="24"/>
              </w:rPr>
            </w:pPr>
          </w:p>
        </w:tc>
        <w:tc>
          <w:tcPr>
            <w:tcW w:w="1340" w:type="dxa"/>
            <w:vMerge w:val="continue"/>
            <w:vAlign w:val="center"/>
          </w:tcPr>
          <w:p w14:paraId="629C6A54">
            <w:pPr>
              <w:jc w:val="center"/>
              <w:rPr>
                <w:sz w:val="24"/>
                <w:szCs w:val="24"/>
              </w:rPr>
            </w:pPr>
          </w:p>
        </w:tc>
        <w:tc>
          <w:tcPr>
            <w:tcW w:w="5659" w:type="dxa"/>
            <w:vAlign w:val="center"/>
          </w:tcPr>
          <w:p w14:paraId="07F84BE1">
            <w:pPr>
              <w:rPr>
                <w:sz w:val="24"/>
                <w:szCs w:val="24"/>
              </w:rPr>
            </w:pPr>
            <w:r>
              <w:rPr>
                <w:sz w:val="24"/>
                <w:szCs w:val="24"/>
              </w:rPr>
              <w:t>服务端电子申请单及检查报告归档功能检查；</w:t>
            </w:r>
          </w:p>
        </w:tc>
        <w:tc>
          <w:tcPr>
            <w:tcW w:w="939" w:type="dxa"/>
            <w:vAlign w:val="center"/>
          </w:tcPr>
          <w:p w14:paraId="0750CAFC">
            <w:pPr>
              <w:jc w:val="center"/>
              <w:rPr>
                <w:sz w:val="24"/>
                <w:szCs w:val="24"/>
              </w:rPr>
            </w:pPr>
          </w:p>
        </w:tc>
      </w:tr>
      <w:tr w14:paraId="1DAFD66A">
        <w:tblPrEx>
          <w:tblCellMar>
            <w:top w:w="0" w:type="dxa"/>
            <w:left w:w="108" w:type="dxa"/>
            <w:bottom w:w="0" w:type="dxa"/>
            <w:right w:w="108" w:type="dxa"/>
          </w:tblCellMar>
        </w:tblPrEx>
        <w:trPr>
          <w:trHeight w:val="567" w:hRule="atLeast"/>
        </w:trPr>
        <w:tc>
          <w:tcPr>
            <w:tcW w:w="709" w:type="dxa"/>
            <w:vAlign w:val="center"/>
          </w:tcPr>
          <w:p w14:paraId="286E8B14">
            <w:pPr>
              <w:numPr>
                <w:ilvl w:val="0"/>
                <w:numId w:val="2"/>
              </w:numPr>
              <w:ind w:left="425" w:hanging="425"/>
              <w:jc w:val="center"/>
              <w:rPr>
                <w:sz w:val="24"/>
                <w:szCs w:val="24"/>
              </w:rPr>
            </w:pPr>
          </w:p>
        </w:tc>
        <w:tc>
          <w:tcPr>
            <w:tcW w:w="1340" w:type="dxa"/>
            <w:vMerge w:val="continue"/>
            <w:vAlign w:val="center"/>
          </w:tcPr>
          <w:p w14:paraId="3AD908EB">
            <w:pPr>
              <w:jc w:val="center"/>
              <w:rPr>
                <w:sz w:val="24"/>
                <w:szCs w:val="24"/>
              </w:rPr>
            </w:pPr>
          </w:p>
        </w:tc>
        <w:tc>
          <w:tcPr>
            <w:tcW w:w="5659" w:type="dxa"/>
            <w:vAlign w:val="center"/>
          </w:tcPr>
          <w:p w14:paraId="4DF1F171">
            <w:pPr>
              <w:rPr>
                <w:sz w:val="24"/>
                <w:szCs w:val="24"/>
              </w:rPr>
            </w:pPr>
            <w:r>
              <w:rPr>
                <w:sz w:val="24"/>
                <w:szCs w:val="24"/>
              </w:rPr>
              <w:t>服务端第三方</w:t>
            </w:r>
            <w:r>
              <w:rPr>
                <w:rFonts w:hint="eastAsia"/>
                <w:sz w:val="24"/>
                <w:szCs w:val="24"/>
              </w:rPr>
              <w:t>DICOM设备管理及维护；</w:t>
            </w:r>
          </w:p>
        </w:tc>
        <w:tc>
          <w:tcPr>
            <w:tcW w:w="939" w:type="dxa"/>
            <w:vAlign w:val="center"/>
          </w:tcPr>
          <w:p w14:paraId="1212CCB3">
            <w:pPr>
              <w:jc w:val="center"/>
              <w:rPr>
                <w:sz w:val="24"/>
                <w:szCs w:val="24"/>
              </w:rPr>
            </w:pPr>
          </w:p>
        </w:tc>
      </w:tr>
      <w:tr w14:paraId="4A89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CB7D706">
            <w:pPr>
              <w:numPr>
                <w:ilvl w:val="0"/>
                <w:numId w:val="2"/>
              </w:numPr>
              <w:ind w:left="425" w:hanging="425"/>
              <w:jc w:val="center"/>
              <w:rPr>
                <w:sz w:val="24"/>
                <w:szCs w:val="24"/>
              </w:rPr>
            </w:pPr>
          </w:p>
        </w:tc>
        <w:tc>
          <w:tcPr>
            <w:tcW w:w="1340" w:type="dxa"/>
            <w:vMerge w:val="continue"/>
            <w:vAlign w:val="center"/>
          </w:tcPr>
          <w:p w14:paraId="306E12AF">
            <w:pPr>
              <w:jc w:val="center"/>
              <w:rPr>
                <w:sz w:val="24"/>
                <w:szCs w:val="24"/>
              </w:rPr>
            </w:pPr>
          </w:p>
        </w:tc>
        <w:tc>
          <w:tcPr>
            <w:tcW w:w="5659" w:type="dxa"/>
            <w:vAlign w:val="center"/>
          </w:tcPr>
          <w:p w14:paraId="14C6EBF2">
            <w:pPr>
              <w:rPr>
                <w:sz w:val="24"/>
                <w:szCs w:val="24"/>
              </w:rPr>
            </w:pPr>
            <w:r>
              <w:rPr>
                <w:rFonts w:hint="eastAsia"/>
                <w:sz w:val="24"/>
                <w:szCs w:val="24"/>
              </w:rPr>
              <w:t>服务端各业务数据库对应关系及连通情况检查；</w:t>
            </w:r>
          </w:p>
        </w:tc>
        <w:tc>
          <w:tcPr>
            <w:tcW w:w="939" w:type="dxa"/>
            <w:vAlign w:val="center"/>
          </w:tcPr>
          <w:p w14:paraId="005ADEF7">
            <w:pPr>
              <w:jc w:val="center"/>
              <w:rPr>
                <w:sz w:val="24"/>
                <w:szCs w:val="24"/>
              </w:rPr>
            </w:pPr>
          </w:p>
        </w:tc>
      </w:tr>
      <w:tr w14:paraId="009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B149178">
            <w:pPr>
              <w:numPr>
                <w:ilvl w:val="0"/>
                <w:numId w:val="2"/>
              </w:numPr>
              <w:ind w:left="425" w:hanging="425"/>
              <w:jc w:val="center"/>
              <w:rPr>
                <w:sz w:val="24"/>
                <w:szCs w:val="24"/>
              </w:rPr>
            </w:pPr>
          </w:p>
        </w:tc>
        <w:tc>
          <w:tcPr>
            <w:tcW w:w="1340" w:type="dxa"/>
            <w:vMerge w:val="continue"/>
            <w:vAlign w:val="center"/>
          </w:tcPr>
          <w:p w14:paraId="66AD4041">
            <w:pPr>
              <w:jc w:val="center"/>
              <w:rPr>
                <w:sz w:val="24"/>
                <w:szCs w:val="24"/>
              </w:rPr>
            </w:pPr>
          </w:p>
        </w:tc>
        <w:tc>
          <w:tcPr>
            <w:tcW w:w="5659" w:type="dxa"/>
            <w:vAlign w:val="center"/>
          </w:tcPr>
          <w:p w14:paraId="540F13D1">
            <w:pPr>
              <w:rPr>
                <w:sz w:val="24"/>
                <w:szCs w:val="24"/>
              </w:rPr>
            </w:pPr>
            <w:r>
              <w:rPr>
                <w:rFonts w:hint="eastAsia"/>
                <w:sz w:val="24"/>
                <w:szCs w:val="24"/>
              </w:rPr>
              <w:t>服务端</w:t>
            </w:r>
            <w:r>
              <w:rPr>
                <w:sz w:val="24"/>
                <w:szCs w:val="24"/>
              </w:rPr>
              <w:t>各子服务</w:t>
            </w:r>
            <w:r>
              <w:rPr>
                <w:rFonts w:hint="eastAsia"/>
                <w:sz w:val="24"/>
                <w:szCs w:val="24"/>
              </w:rPr>
              <w:t>日志收集及日志分析，解决报错问题；</w:t>
            </w:r>
          </w:p>
        </w:tc>
        <w:tc>
          <w:tcPr>
            <w:tcW w:w="939" w:type="dxa"/>
            <w:vAlign w:val="center"/>
          </w:tcPr>
          <w:p w14:paraId="76C558EC">
            <w:pPr>
              <w:jc w:val="center"/>
              <w:rPr>
                <w:sz w:val="24"/>
                <w:szCs w:val="24"/>
              </w:rPr>
            </w:pPr>
          </w:p>
        </w:tc>
      </w:tr>
      <w:tr w14:paraId="4504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AED5CDA">
            <w:pPr>
              <w:numPr>
                <w:ilvl w:val="0"/>
                <w:numId w:val="2"/>
              </w:numPr>
              <w:ind w:left="425" w:hanging="425"/>
              <w:jc w:val="center"/>
              <w:rPr>
                <w:sz w:val="24"/>
                <w:szCs w:val="24"/>
              </w:rPr>
            </w:pPr>
          </w:p>
        </w:tc>
        <w:tc>
          <w:tcPr>
            <w:tcW w:w="1340" w:type="dxa"/>
            <w:vMerge w:val="continue"/>
            <w:vAlign w:val="center"/>
          </w:tcPr>
          <w:p w14:paraId="41E18393">
            <w:pPr>
              <w:jc w:val="center"/>
              <w:rPr>
                <w:sz w:val="24"/>
                <w:szCs w:val="24"/>
              </w:rPr>
            </w:pPr>
          </w:p>
        </w:tc>
        <w:tc>
          <w:tcPr>
            <w:tcW w:w="5659" w:type="dxa"/>
            <w:vAlign w:val="center"/>
          </w:tcPr>
          <w:p w14:paraId="12145AF0">
            <w:pPr>
              <w:rPr>
                <w:sz w:val="24"/>
                <w:szCs w:val="24"/>
              </w:rPr>
            </w:pPr>
            <w:r>
              <w:rPr>
                <w:rFonts w:hint="eastAsia"/>
                <w:sz w:val="24"/>
                <w:szCs w:val="24"/>
              </w:rPr>
              <w:t>服务端临床发布网关运行状态监控及日志分析；</w:t>
            </w:r>
          </w:p>
        </w:tc>
        <w:tc>
          <w:tcPr>
            <w:tcW w:w="939" w:type="dxa"/>
            <w:vAlign w:val="center"/>
          </w:tcPr>
          <w:p w14:paraId="52D508C7">
            <w:pPr>
              <w:jc w:val="center"/>
              <w:rPr>
                <w:sz w:val="24"/>
                <w:szCs w:val="24"/>
              </w:rPr>
            </w:pPr>
          </w:p>
        </w:tc>
      </w:tr>
      <w:tr w14:paraId="03A3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F649508">
            <w:pPr>
              <w:numPr>
                <w:ilvl w:val="0"/>
                <w:numId w:val="2"/>
              </w:numPr>
              <w:ind w:left="425" w:hanging="425"/>
              <w:jc w:val="center"/>
              <w:rPr>
                <w:sz w:val="24"/>
                <w:szCs w:val="24"/>
              </w:rPr>
            </w:pPr>
          </w:p>
        </w:tc>
        <w:tc>
          <w:tcPr>
            <w:tcW w:w="1340" w:type="dxa"/>
            <w:vMerge w:val="restart"/>
            <w:vAlign w:val="center"/>
          </w:tcPr>
          <w:p w14:paraId="63535E9A">
            <w:pPr>
              <w:jc w:val="center"/>
              <w:rPr>
                <w:sz w:val="24"/>
                <w:szCs w:val="24"/>
              </w:rPr>
            </w:pPr>
            <w:r>
              <w:rPr>
                <w:rFonts w:hint="eastAsia"/>
                <w:sz w:val="24"/>
                <w:szCs w:val="24"/>
              </w:rPr>
              <w:t>蓝网产品客户端程序管理及维护</w:t>
            </w:r>
          </w:p>
        </w:tc>
        <w:tc>
          <w:tcPr>
            <w:tcW w:w="5659" w:type="dxa"/>
            <w:vAlign w:val="center"/>
          </w:tcPr>
          <w:p w14:paraId="61B599CC">
            <w:pPr>
              <w:rPr>
                <w:sz w:val="24"/>
                <w:szCs w:val="24"/>
              </w:rPr>
            </w:pPr>
            <w:r>
              <w:rPr>
                <w:sz w:val="24"/>
                <w:szCs w:val="24"/>
              </w:rPr>
              <w:t>客户端电脑系统备份及还原维护；</w:t>
            </w:r>
          </w:p>
          <w:p w14:paraId="68C392F5"/>
        </w:tc>
        <w:tc>
          <w:tcPr>
            <w:tcW w:w="939" w:type="dxa"/>
            <w:vAlign w:val="center"/>
          </w:tcPr>
          <w:p w14:paraId="15B04902">
            <w:pPr>
              <w:jc w:val="center"/>
              <w:rPr>
                <w:sz w:val="24"/>
                <w:szCs w:val="24"/>
              </w:rPr>
            </w:pPr>
          </w:p>
        </w:tc>
      </w:tr>
      <w:tr w14:paraId="4A06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3C4F446">
            <w:pPr>
              <w:numPr>
                <w:ilvl w:val="0"/>
                <w:numId w:val="2"/>
              </w:numPr>
              <w:ind w:left="425" w:hanging="425"/>
              <w:jc w:val="center"/>
              <w:rPr>
                <w:sz w:val="24"/>
                <w:szCs w:val="24"/>
              </w:rPr>
            </w:pPr>
          </w:p>
        </w:tc>
        <w:tc>
          <w:tcPr>
            <w:tcW w:w="1340" w:type="dxa"/>
            <w:vMerge w:val="continue"/>
            <w:vAlign w:val="center"/>
          </w:tcPr>
          <w:p w14:paraId="20CE8D72">
            <w:pPr>
              <w:jc w:val="center"/>
              <w:rPr>
                <w:sz w:val="24"/>
                <w:szCs w:val="24"/>
              </w:rPr>
            </w:pPr>
          </w:p>
        </w:tc>
        <w:tc>
          <w:tcPr>
            <w:tcW w:w="5659" w:type="dxa"/>
            <w:vAlign w:val="center"/>
          </w:tcPr>
          <w:p w14:paraId="166862B9">
            <w:pPr>
              <w:rPr>
                <w:sz w:val="24"/>
                <w:szCs w:val="24"/>
              </w:rPr>
            </w:pPr>
            <w:r>
              <w:rPr>
                <w:rFonts w:hint="eastAsia"/>
                <w:sz w:val="24"/>
                <w:szCs w:val="24"/>
              </w:rPr>
              <w:t>客户端电脑</w:t>
            </w:r>
            <w:r>
              <w:rPr>
                <w:sz w:val="24"/>
                <w:szCs w:val="24"/>
              </w:rPr>
              <w:t>防火墙、病毒防范管理；</w:t>
            </w:r>
          </w:p>
        </w:tc>
        <w:tc>
          <w:tcPr>
            <w:tcW w:w="939" w:type="dxa"/>
            <w:vAlign w:val="center"/>
          </w:tcPr>
          <w:p w14:paraId="4EF9F325">
            <w:pPr>
              <w:jc w:val="center"/>
              <w:rPr>
                <w:sz w:val="24"/>
                <w:szCs w:val="24"/>
              </w:rPr>
            </w:pPr>
          </w:p>
        </w:tc>
      </w:tr>
      <w:tr w14:paraId="5092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40C5F22">
            <w:pPr>
              <w:numPr>
                <w:ilvl w:val="0"/>
                <w:numId w:val="2"/>
              </w:numPr>
              <w:ind w:left="425" w:hanging="425"/>
              <w:jc w:val="center"/>
              <w:rPr>
                <w:sz w:val="24"/>
                <w:szCs w:val="24"/>
              </w:rPr>
            </w:pPr>
          </w:p>
        </w:tc>
        <w:tc>
          <w:tcPr>
            <w:tcW w:w="1340" w:type="dxa"/>
            <w:vMerge w:val="continue"/>
            <w:vAlign w:val="center"/>
          </w:tcPr>
          <w:p w14:paraId="0EAD3129">
            <w:pPr>
              <w:jc w:val="center"/>
              <w:rPr>
                <w:sz w:val="24"/>
                <w:szCs w:val="24"/>
              </w:rPr>
            </w:pPr>
          </w:p>
        </w:tc>
        <w:tc>
          <w:tcPr>
            <w:tcW w:w="5659" w:type="dxa"/>
            <w:vAlign w:val="center"/>
          </w:tcPr>
          <w:p w14:paraId="2E447B70">
            <w:pPr>
              <w:rPr>
                <w:sz w:val="24"/>
                <w:szCs w:val="24"/>
              </w:rPr>
            </w:pPr>
            <w:r>
              <w:rPr>
                <w:sz w:val="24"/>
                <w:szCs w:val="24"/>
              </w:rPr>
              <w:t>客户端登记叫号、诊断工作站程序备份；</w:t>
            </w:r>
          </w:p>
        </w:tc>
        <w:tc>
          <w:tcPr>
            <w:tcW w:w="939" w:type="dxa"/>
            <w:vAlign w:val="center"/>
          </w:tcPr>
          <w:p w14:paraId="3D4C21AD">
            <w:pPr>
              <w:jc w:val="center"/>
              <w:rPr>
                <w:sz w:val="24"/>
                <w:szCs w:val="24"/>
              </w:rPr>
            </w:pPr>
          </w:p>
        </w:tc>
      </w:tr>
      <w:tr w14:paraId="1120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BE6CC03">
            <w:pPr>
              <w:numPr>
                <w:ilvl w:val="0"/>
                <w:numId w:val="2"/>
              </w:numPr>
              <w:ind w:left="425" w:hanging="425"/>
              <w:jc w:val="center"/>
              <w:rPr>
                <w:sz w:val="24"/>
                <w:szCs w:val="24"/>
              </w:rPr>
            </w:pPr>
          </w:p>
        </w:tc>
        <w:tc>
          <w:tcPr>
            <w:tcW w:w="1340" w:type="dxa"/>
            <w:vMerge w:val="continue"/>
            <w:vAlign w:val="center"/>
          </w:tcPr>
          <w:p w14:paraId="373B1F70">
            <w:pPr>
              <w:jc w:val="center"/>
              <w:rPr>
                <w:sz w:val="24"/>
                <w:szCs w:val="24"/>
              </w:rPr>
            </w:pPr>
          </w:p>
        </w:tc>
        <w:tc>
          <w:tcPr>
            <w:tcW w:w="5659" w:type="dxa"/>
            <w:vAlign w:val="center"/>
          </w:tcPr>
          <w:p w14:paraId="2F726B3E">
            <w:pPr>
              <w:rPr>
                <w:sz w:val="24"/>
                <w:szCs w:val="24"/>
              </w:rPr>
            </w:pPr>
            <w:r>
              <w:rPr>
                <w:sz w:val="24"/>
                <w:szCs w:val="24"/>
              </w:rPr>
              <w:t>客户端程序功能授权分配管理；</w:t>
            </w:r>
          </w:p>
        </w:tc>
        <w:tc>
          <w:tcPr>
            <w:tcW w:w="939" w:type="dxa"/>
            <w:vAlign w:val="center"/>
          </w:tcPr>
          <w:p w14:paraId="023A1750">
            <w:pPr>
              <w:jc w:val="center"/>
              <w:rPr>
                <w:sz w:val="24"/>
                <w:szCs w:val="24"/>
              </w:rPr>
            </w:pPr>
          </w:p>
        </w:tc>
      </w:tr>
      <w:tr w14:paraId="5AD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29C3790">
            <w:pPr>
              <w:numPr>
                <w:ilvl w:val="0"/>
                <w:numId w:val="2"/>
              </w:numPr>
              <w:ind w:left="425" w:hanging="425"/>
              <w:jc w:val="center"/>
              <w:rPr>
                <w:sz w:val="24"/>
                <w:szCs w:val="24"/>
              </w:rPr>
            </w:pPr>
          </w:p>
        </w:tc>
        <w:tc>
          <w:tcPr>
            <w:tcW w:w="1340" w:type="dxa"/>
            <w:vMerge w:val="continue"/>
            <w:vAlign w:val="center"/>
          </w:tcPr>
          <w:p w14:paraId="62602EE0">
            <w:pPr>
              <w:jc w:val="center"/>
              <w:rPr>
                <w:sz w:val="24"/>
                <w:szCs w:val="24"/>
              </w:rPr>
            </w:pPr>
          </w:p>
        </w:tc>
        <w:tc>
          <w:tcPr>
            <w:tcW w:w="5659" w:type="dxa"/>
            <w:vAlign w:val="center"/>
          </w:tcPr>
          <w:p w14:paraId="7D2296A2">
            <w:pPr>
              <w:rPr>
                <w:sz w:val="24"/>
                <w:szCs w:val="24"/>
              </w:rPr>
            </w:pPr>
            <w:r>
              <w:rPr>
                <w:sz w:val="24"/>
                <w:szCs w:val="24"/>
              </w:rPr>
              <w:t>客户端程序本地参数设置检查、程序运行日志级别检查；</w:t>
            </w:r>
          </w:p>
        </w:tc>
        <w:tc>
          <w:tcPr>
            <w:tcW w:w="939" w:type="dxa"/>
            <w:vAlign w:val="center"/>
          </w:tcPr>
          <w:p w14:paraId="39154F14">
            <w:pPr>
              <w:jc w:val="center"/>
              <w:rPr>
                <w:sz w:val="24"/>
                <w:szCs w:val="24"/>
              </w:rPr>
            </w:pPr>
          </w:p>
        </w:tc>
      </w:tr>
      <w:tr w14:paraId="5FDC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31DB045">
            <w:pPr>
              <w:numPr>
                <w:ilvl w:val="0"/>
                <w:numId w:val="2"/>
              </w:numPr>
              <w:ind w:left="425" w:hanging="425"/>
              <w:jc w:val="center"/>
              <w:rPr>
                <w:sz w:val="24"/>
                <w:szCs w:val="24"/>
              </w:rPr>
            </w:pPr>
          </w:p>
        </w:tc>
        <w:tc>
          <w:tcPr>
            <w:tcW w:w="1340" w:type="dxa"/>
            <w:vMerge w:val="continue"/>
            <w:vAlign w:val="center"/>
          </w:tcPr>
          <w:p w14:paraId="7D8BCF99">
            <w:pPr>
              <w:jc w:val="center"/>
              <w:rPr>
                <w:sz w:val="24"/>
                <w:szCs w:val="24"/>
              </w:rPr>
            </w:pPr>
          </w:p>
        </w:tc>
        <w:tc>
          <w:tcPr>
            <w:tcW w:w="5659" w:type="dxa"/>
            <w:vAlign w:val="center"/>
          </w:tcPr>
          <w:p w14:paraId="7073B11F">
            <w:pPr>
              <w:rPr>
                <w:sz w:val="24"/>
                <w:szCs w:val="24"/>
              </w:rPr>
            </w:pPr>
            <w:r>
              <w:rPr>
                <w:sz w:val="24"/>
                <w:szCs w:val="24"/>
              </w:rPr>
              <w:t>客户端程序日志分析，解决日志报错问题；</w:t>
            </w:r>
          </w:p>
        </w:tc>
        <w:tc>
          <w:tcPr>
            <w:tcW w:w="939" w:type="dxa"/>
            <w:vAlign w:val="center"/>
          </w:tcPr>
          <w:p w14:paraId="2DBD69C5">
            <w:pPr>
              <w:jc w:val="center"/>
              <w:rPr>
                <w:sz w:val="24"/>
                <w:szCs w:val="24"/>
              </w:rPr>
            </w:pPr>
          </w:p>
        </w:tc>
      </w:tr>
      <w:tr w14:paraId="1B2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C3C00E7">
            <w:pPr>
              <w:numPr>
                <w:ilvl w:val="0"/>
                <w:numId w:val="2"/>
              </w:numPr>
              <w:ind w:left="425" w:hanging="425"/>
              <w:jc w:val="center"/>
              <w:rPr>
                <w:sz w:val="24"/>
                <w:szCs w:val="24"/>
              </w:rPr>
            </w:pPr>
          </w:p>
        </w:tc>
        <w:tc>
          <w:tcPr>
            <w:tcW w:w="1340" w:type="dxa"/>
            <w:vMerge w:val="continue"/>
            <w:vAlign w:val="center"/>
          </w:tcPr>
          <w:p w14:paraId="610F91A5">
            <w:pPr>
              <w:jc w:val="center"/>
              <w:rPr>
                <w:sz w:val="24"/>
                <w:szCs w:val="24"/>
              </w:rPr>
            </w:pPr>
          </w:p>
        </w:tc>
        <w:tc>
          <w:tcPr>
            <w:tcW w:w="5659" w:type="dxa"/>
            <w:vAlign w:val="center"/>
          </w:tcPr>
          <w:p w14:paraId="55500647">
            <w:pPr>
              <w:rPr>
                <w:sz w:val="24"/>
                <w:szCs w:val="24"/>
              </w:rPr>
            </w:pPr>
            <w:r>
              <w:rPr>
                <w:sz w:val="24"/>
                <w:szCs w:val="24"/>
              </w:rPr>
              <w:t>客户端报告单模板调整更新；</w:t>
            </w:r>
          </w:p>
        </w:tc>
        <w:tc>
          <w:tcPr>
            <w:tcW w:w="939" w:type="dxa"/>
            <w:vAlign w:val="center"/>
          </w:tcPr>
          <w:p w14:paraId="71C14AF8">
            <w:pPr>
              <w:jc w:val="center"/>
              <w:rPr>
                <w:sz w:val="24"/>
                <w:szCs w:val="24"/>
              </w:rPr>
            </w:pPr>
          </w:p>
        </w:tc>
      </w:tr>
      <w:tr w14:paraId="3630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57FF1B">
            <w:pPr>
              <w:numPr>
                <w:ilvl w:val="0"/>
                <w:numId w:val="2"/>
              </w:numPr>
              <w:ind w:left="425" w:hanging="425"/>
              <w:jc w:val="center"/>
              <w:rPr>
                <w:sz w:val="24"/>
                <w:szCs w:val="24"/>
              </w:rPr>
            </w:pPr>
          </w:p>
        </w:tc>
        <w:tc>
          <w:tcPr>
            <w:tcW w:w="1340" w:type="dxa"/>
            <w:vMerge w:val="continue"/>
            <w:vAlign w:val="center"/>
          </w:tcPr>
          <w:p w14:paraId="73C27B62">
            <w:pPr>
              <w:jc w:val="center"/>
              <w:rPr>
                <w:sz w:val="24"/>
                <w:szCs w:val="24"/>
              </w:rPr>
            </w:pPr>
          </w:p>
        </w:tc>
        <w:tc>
          <w:tcPr>
            <w:tcW w:w="5659" w:type="dxa"/>
            <w:vAlign w:val="center"/>
          </w:tcPr>
          <w:p w14:paraId="649B3B83">
            <w:pPr>
              <w:rPr>
                <w:sz w:val="24"/>
                <w:szCs w:val="24"/>
              </w:rPr>
            </w:pPr>
            <w:r>
              <w:rPr>
                <w:sz w:val="24"/>
                <w:szCs w:val="24"/>
              </w:rPr>
              <w:t>客户端叫号小票、申请单格式调整；</w:t>
            </w:r>
          </w:p>
        </w:tc>
        <w:tc>
          <w:tcPr>
            <w:tcW w:w="939" w:type="dxa"/>
            <w:vAlign w:val="center"/>
          </w:tcPr>
          <w:p w14:paraId="3952690E">
            <w:pPr>
              <w:jc w:val="center"/>
              <w:rPr>
                <w:sz w:val="24"/>
                <w:szCs w:val="24"/>
              </w:rPr>
            </w:pPr>
          </w:p>
        </w:tc>
      </w:tr>
      <w:tr w14:paraId="40B8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1774EBA">
            <w:pPr>
              <w:numPr>
                <w:ilvl w:val="0"/>
                <w:numId w:val="2"/>
              </w:numPr>
              <w:ind w:left="425" w:hanging="425"/>
              <w:jc w:val="center"/>
              <w:rPr>
                <w:sz w:val="24"/>
                <w:szCs w:val="24"/>
              </w:rPr>
            </w:pPr>
          </w:p>
        </w:tc>
        <w:tc>
          <w:tcPr>
            <w:tcW w:w="1340" w:type="dxa"/>
            <w:vMerge w:val="continue"/>
            <w:vAlign w:val="center"/>
          </w:tcPr>
          <w:p w14:paraId="5E9026B9">
            <w:pPr>
              <w:jc w:val="center"/>
              <w:rPr>
                <w:sz w:val="24"/>
                <w:szCs w:val="24"/>
              </w:rPr>
            </w:pPr>
          </w:p>
        </w:tc>
        <w:tc>
          <w:tcPr>
            <w:tcW w:w="5659" w:type="dxa"/>
            <w:vAlign w:val="center"/>
          </w:tcPr>
          <w:p w14:paraId="290DD831">
            <w:pPr>
              <w:rPr>
                <w:sz w:val="24"/>
                <w:szCs w:val="24"/>
              </w:rPr>
            </w:pPr>
            <w:r>
              <w:rPr>
                <w:sz w:val="24"/>
                <w:szCs w:val="24"/>
              </w:rPr>
              <w:t>客户端叫号、报告默认打印机设置管理；</w:t>
            </w:r>
          </w:p>
        </w:tc>
        <w:tc>
          <w:tcPr>
            <w:tcW w:w="939" w:type="dxa"/>
            <w:vAlign w:val="center"/>
          </w:tcPr>
          <w:p w14:paraId="2A24158C">
            <w:pPr>
              <w:jc w:val="center"/>
              <w:rPr>
                <w:sz w:val="24"/>
                <w:szCs w:val="24"/>
              </w:rPr>
            </w:pPr>
          </w:p>
        </w:tc>
      </w:tr>
      <w:tr w14:paraId="3D68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841CD84">
            <w:pPr>
              <w:numPr>
                <w:ilvl w:val="0"/>
                <w:numId w:val="2"/>
              </w:numPr>
              <w:ind w:left="425" w:hanging="425"/>
              <w:jc w:val="center"/>
              <w:rPr>
                <w:sz w:val="24"/>
                <w:szCs w:val="24"/>
              </w:rPr>
            </w:pPr>
          </w:p>
        </w:tc>
        <w:tc>
          <w:tcPr>
            <w:tcW w:w="1340" w:type="dxa"/>
            <w:vMerge w:val="continue"/>
            <w:vAlign w:val="center"/>
          </w:tcPr>
          <w:p w14:paraId="6A9CFF2C">
            <w:pPr>
              <w:jc w:val="center"/>
              <w:rPr>
                <w:sz w:val="24"/>
                <w:szCs w:val="24"/>
              </w:rPr>
            </w:pPr>
          </w:p>
        </w:tc>
        <w:tc>
          <w:tcPr>
            <w:tcW w:w="5659" w:type="dxa"/>
            <w:vAlign w:val="center"/>
          </w:tcPr>
          <w:p w14:paraId="5D20623F">
            <w:pPr>
              <w:rPr>
                <w:sz w:val="24"/>
                <w:szCs w:val="24"/>
              </w:rPr>
            </w:pPr>
            <w:r>
              <w:rPr>
                <w:sz w:val="24"/>
                <w:szCs w:val="24"/>
              </w:rPr>
              <w:t>客户端程序ImageCache目录定期清理；</w:t>
            </w:r>
          </w:p>
        </w:tc>
        <w:tc>
          <w:tcPr>
            <w:tcW w:w="939" w:type="dxa"/>
            <w:vAlign w:val="center"/>
          </w:tcPr>
          <w:p w14:paraId="6E29C854">
            <w:pPr>
              <w:jc w:val="center"/>
              <w:rPr>
                <w:sz w:val="24"/>
                <w:szCs w:val="24"/>
              </w:rPr>
            </w:pPr>
          </w:p>
        </w:tc>
      </w:tr>
      <w:tr w14:paraId="7B37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18E7C52">
            <w:pPr>
              <w:numPr>
                <w:ilvl w:val="0"/>
                <w:numId w:val="2"/>
              </w:numPr>
              <w:ind w:left="425" w:hanging="425"/>
              <w:jc w:val="center"/>
              <w:rPr>
                <w:sz w:val="24"/>
                <w:szCs w:val="24"/>
              </w:rPr>
            </w:pPr>
          </w:p>
        </w:tc>
        <w:tc>
          <w:tcPr>
            <w:tcW w:w="1340" w:type="dxa"/>
            <w:vMerge w:val="continue"/>
            <w:vAlign w:val="center"/>
          </w:tcPr>
          <w:p w14:paraId="33FCA339">
            <w:pPr>
              <w:jc w:val="center"/>
              <w:rPr>
                <w:sz w:val="24"/>
                <w:szCs w:val="24"/>
              </w:rPr>
            </w:pPr>
          </w:p>
        </w:tc>
        <w:tc>
          <w:tcPr>
            <w:tcW w:w="5659" w:type="dxa"/>
            <w:vAlign w:val="center"/>
          </w:tcPr>
          <w:p w14:paraId="3943CCF9">
            <w:pPr>
              <w:rPr>
                <w:sz w:val="24"/>
                <w:szCs w:val="24"/>
              </w:rPr>
            </w:pPr>
            <w:r>
              <w:rPr>
                <w:sz w:val="24"/>
                <w:szCs w:val="24"/>
              </w:rPr>
              <w:t>客户端文件上传管理，定期检查客户端文件是否正常上传，对未上传成功的文件手动上传并查找原因解决；</w:t>
            </w:r>
          </w:p>
        </w:tc>
        <w:tc>
          <w:tcPr>
            <w:tcW w:w="939" w:type="dxa"/>
            <w:vAlign w:val="center"/>
          </w:tcPr>
          <w:p w14:paraId="27EF6BD1">
            <w:pPr>
              <w:jc w:val="center"/>
              <w:rPr>
                <w:sz w:val="24"/>
                <w:szCs w:val="24"/>
              </w:rPr>
            </w:pPr>
          </w:p>
        </w:tc>
      </w:tr>
      <w:tr w14:paraId="08D3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E341C36">
            <w:pPr>
              <w:numPr>
                <w:ilvl w:val="0"/>
                <w:numId w:val="2"/>
              </w:numPr>
              <w:ind w:left="425" w:hanging="425"/>
              <w:jc w:val="center"/>
              <w:rPr>
                <w:sz w:val="24"/>
                <w:szCs w:val="24"/>
              </w:rPr>
            </w:pPr>
          </w:p>
        </w:tc>
        <w:tc>
          <w:tcPr>
            <w:tcW w:w="1340" w:type="dxa"/>
            <w:vMerge w:val="continue"/>
            <w:vAlign w:val="center"/>
          </w:tcPr>
          <w:p w14:paraId="567076CD">
            <w:pPr>
              <w:jc w:val="center"/>
              <w:rPr>
                <w:sz w:val="24"/>
                <w:szCs w:val="24"/>
              </w:rPr>
            </w:pPr>
          </w:p>
        </w:tc>
        <w:tc>
          <w:tcPr>
            <w:tcW w:w="5659" w:type="dxa"/>
            <w:vAlign w:val="center"/>
          </w:tcPr>
          <w:p w14:paraId="34C91642">
            <w:pPr>
              <w:rPr>
                <w:sz w:val="24"/>
                <w:szCs w:val="24"/>
              </w:rPr>
            </w:pPr>
            <w:r>
              <w:rPr>
                <w:sz w:val="24"/>
                <w:szCs w:val="24"/>
              </w:rPr>
              <w:t>客户端叫号系统队列管理及维护；</w:t>
            </w:r>
          </w:p>
        </w:tc>
        <w:tc>
          <w:tcPr>
            <w:tcW w:w="939" w:type="dxa"/>
            <w:vAlign w:val="center"/>
          </w:tcPr>
          <w:p w14:paraId="18F8FF05">
            <w:pPr>
              <w:jc w:val="center"/>
              <w:rPr>
                <w:sz w:val="24"/>
                <w:szCs w:val="24"/>
              </w:rPr>
            </w:pPr>
          </w:p>
        </w:tc>
      </w:tr>
      <w:tr w14:paraId="5C23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7DA474E">
            <w:pPr>
              <w:numPr>
                <w:ilvl w:val="0"/>
                <w:numId w:val="2"/>
              </w:numPr>
              <w:ind w:left="425" w:hanging="425"/>
              <w:jc w:val="center"/>
              <w:rPr>
                <w:sz w:val="24"/>
                <w:szCs w:val="24"/>
              </w:rPr>
            </w:pPr>
          </w:p>
        </w:tc>
        <w:tc>
          <w:tcPr>
            <w:tcW w:w="1340" w:type="dxa"/>
            <w:vMerge w:val="continue"/>
            <w:vAlign w:val="center"/>
          </w:tcPr>
          <w:p w14:paraId="3B8C093F">
            <w:pPr>
              <w:jc w:val="center"/>
              <w:rPr>
                <w:sz w:val="24"/>
                <w:szCs w:val="24"/>
              </w:rPr>
            </w:pPr>
          </w:p>
        </w:tc>
        <w:tc>
          <w:tcPr>
            <w:tcW w:w="5659" w:type="dxa"/>
            <w:vAlign w:val="center"/>
          </w:tcPr>
          <w:p w14:paraId="27470250">
            <w:pPr>
              <w:rPr>
                <w:sz w:val="24"/>
                <w:szCs w:val="24"/>
              </w:rPr>
            </w:pPr>
            <w:r>
              <w:rPr>
                <w:sz w:val="24"/>
                <w:szCs w:val="24"/>
              </w:rPr>
              <w:t>客户端程序登记默认值设置，登记界面布局调整及与</w:t>
            </w:r>
            <w:r>
              <w:rPr>
                <w:rFonts w:hint="eastAsia"/>
                <w:sz w:val="24"/>
                <w:szCs w:val="24"/>
              </w:rPr>
              <w:t>HIS系统信息对应设置；</w:t>
            </w:r>
          </w:p>
        </w:tc>
        <w:tc>
          <w:tcPr>
            <w:tcW w:w="939" w:type="dxa"/>
            <w:vAlign w:val="center"/>
          </w:tcPr>
          <w:p w14:paraId="73557B22">
            <w:pPr>
              <w:jc w:val="center"/>
              <w:rPr>
                <w:sz w:val="24"/>
                <w:szCs w:val="24"/>
              </w:rPr>
            </w:pPr>
          </w:p>
        </w:tc>
      </w:tr>
      <w:tr w14:paraId="065D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C1DB8B3">
            <w:pPr>
              <w:numPr>
                <w:ilvl w:val="0"/>
                <w:numId w:val="2"/>
              </w:numPr>
              <w:ind w:left="425" w:hanging="425"/>
              <w:jc w:val="center"/>
              <w:rPr>
                <w:sz w:val="24"/>
                <w:szCs w:val="24"/>
              </w:rPr>
            </w:pPr>
          </w:p>
        </w:tc>
        <w:tc>
          <w:tcPr>
            <w:tcW w:w="1340" w:type="dxa"/>
            <w:vMerge w:val="continue"/>
            <w:vAlign w:val="center"/>
          </w:tcPr>
          <w:p w14:paraId="6F01C7E1">
            <w:pPr>
              <w:jc w:val="center"/>
              <w:rPr>
                <w:sz w:val="24"/>
                <w:szCs w:val="24"/>
              </w:rPr>
            </w:pPr>
          </w:p>
        </w:tc>
        <w:tc>
          <w:tcPr>
            <w:tcW w:w="5659" w:type="dxa"/>
            <w:vAlign w:val="center"/>
          </w:tcPr>
          <w:p w14:paraId="3CF8E304">
            <w:pPr>
              <w:rPr>
                <w:sz w:val="24"/>
                <w:szCs w:val="24"/>
              </w:rPr>
            </w:pPr>
            <w:r>
              <w:rPr>
                <w:sz w:val="24"/>
                <w:szCs w:val="24"/>
              </w:rPr>
              <w:t>客户端程序运行过程中发现的bug的修复和完善，采取二级处理原则；</w:t>
            </w:r>
          </w:p>
        </w:tc>
        <w:tc>
          <w:tcPr>
            <w:tcW w:w="939" w:type="dxa"/>
            <w:vAlign w:val="center"/>
          </w:tcPr>
          <w:p w14:paraId="479CFB3F">
            <w:pPr>
              <w:jc w:val="center"/>
              <w:rPr>
                <w:sz w:val="24"/>
                <w:szCs w:val="24"/>
              </w:rPr>
            </w:pPr>
          </w:p>
        </w:tc>
      </w:tr>
      <w:tr w14:paraId="7378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3BAF979">
            <w:pPr>
              <w:numPr>
                <w:ilvl w:val="0"/>
                <w:numId w:val="2"/>
              </w:numPr>
              <w:ind w:left="425" w:hanging="425"/>
              <w:jc w:val="center"/>
              <w:rPr>
                <w:sz w:val="24"/>
                <w:szCs w:val="24"/>
              </w:rPr>
            </w:pPr>
          </w:p>
        </w:tc>
        <w:tc>
          <w:tcPr>
            <w:tcW w:w="1340" w:type="dxa"/>
            <w:vMerge w:val="restart"/>
            <w:vAlign w:val="center"/>
          </w:tcPr>
          <w:p w14:paraId="105C7AF2">
            <w:pPr>
              <w:jc w:val="center"/>
              <w:rPr>
                <w:sz w:val="24"/>
                <w:szCs w:val="24"/>
              </w:rPr>
            </w:pPr>
            <w:r>
              <w:rPr>
                <w:rFonts w:hint="eastAsia"/>
                <w:sz w:val="24"/>
                <w:szCs w:val="24"/>
              </w:rPr>
              <w:t>数据接口类</w:t>
            </w:r>
          </w:p>
        </w:tc>
        <w:tc>
          <w:tcPr>
            <w:tcW w:w="5659" w:type="dxa"/>
            <w:vAlign w:val="center"/>
          </w:tcPr>
          <w:p w14:paraId="136F3AF6">
            <w:pPr>
              <w:rPr>
                <w:sz w:val="24"/>
                <w:szCs w:val="24"/>
              </w:rPr>
            </w:pPr>
            <w:r>
              <w:rPr>
                <w:sz w:val="24"/>
                <w:szCs w:val="24"/>
              </w:rPr>
              <w:t>蓝网产品与现有第三方产品数据交互接口基本功能检查，接口日志分析；</w:t>
            </w:r>
          </w:p>
        </w:tc>
        <w:tc>
          <w:tcPr>
            <w:tcW w:w="939" w:type="dxa"/>
            <w:vAlign w:val="center"/>
          </w:tcPr>
          <w:p w14:paraId="13CCA618">
            <w:pPr>
              <w:jc w:val="center"/>
              <w:rPr>
                <w:sz w:val="24"/>
                <w:szCs w:val="24"/>
              </w:rPr>
            </w:pPr>
          </w:p>
        </w:tc>
      </w:tr>
      <w:tr w14:paraId="2204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6DBF46">
            <w:pPr>
              <w:numPr>
                <w:ilvl w:val="0"/>
                <w:numId w:val="2"/>
              </w:numPr>
              <w:ind w:left="425" w:hanging="425"/>
              <w:jc w:val="center"/>
              <w:rPr>
                <w:sz w:val="24"/>
                <w:szCs w:val="24"/>
              </w:rPr>
            </w:pPr>
          </w:p>
        </w:tc>
        <w:tc>
          <w:tcPr>
            <w:tcW w:w="1340" w:type="dxa"/>
            <w:vMerge w:val="continue"/>
            <w:vAlign w:val="center"/>
          </w:tcPr>
          <w:p w14:paraId="0B8000AD">
            <w:pPr>
              <w:jc w:val="center"/>
              <w:rPr>
                <w:sz w:val="24"/>
                <w:szCs w:val="24"/>
              </w:rPr>
            </w:pPr>
          </w:p>
        </w:tc>
        <w:tc>
          <w:tcPr>
            <w:tcW w:w="5659" w:type="dxa"/>
            <w:vAlign w:val="center"/>
          </w:tcPr>
          <w:p w14:paraId="347D38AB">
            <w:pPr>
              <w:rPr>
                <w:sz w:val="24"/>
                <w:szCs w:val="24"/>
              </w:rPr>
            </w:pPr>
            <w:r>
              <w:rPr>
                <w:sz w:val="24"/>
                <w:szCs w:val="24"/>
              </w:rPr>
              <w:t>蓝网产品与现有第三方产品接口</w:t>
            </w:r>
            <w:r>
              <w:rPr>
                <w:rFonts w:hint="eastAsia"/>
                <w:sz w:val="24"/>
                <w:szCs w:val="24"/>
              </w:rPr>
              <w:t>BUG免费修正处理；</w:t>
            </w:r>
          </w:p>
        </w:tc>
        <w:tc>
          <w:tcPr>
            <w:tcW w:w="939" w:type="dxa"/>
            <w:vAlign w:val="center"/>
          </w:tcPr>
          <w:p w14:paraId="4455A8A2">
            <w:pPr>
              <w:jc w:val="center"/>
              <w:rPr>
                <w:sz w:val="24"/>
                <w:szCs w:val="24"/>
              </w:rPr>
            </w:pPr>
          </w:p>
        </w:tc>
      </w:tr>
      <w:tr w14:paraId="6024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07D916">
            <w:pPr>
              <w:numPr>
                <w:ilvl w:val="0"/>
                <w:numId w:val="2"/>
              </w:numPr>
              <w:ind w:left="425" w:hanging="425"/>
              <w:jc w:val="center"/>
              <w:rPr>
                <w:sz w:val="24"/>
                <w:szCs w:val="24"/>
              </w:rPr>
            </w:pPr>
          </w:p>
        </w:tc>
        <w:tc>
          <w:tcPr>
            <w:tcW w:w="1340" w:type="dxa"/>
            <w:vMerge w:val="continue"/>
            <w:vAlign w:val="center"/>
          </w:tcPr>
          <w:p w14:paraId="2E6C2BD0">
            <w:pPr>
              <w:jc w:val="center"/>
              <w:rPr>
                <w:sz w:val="24"/>
                <w:szCs w:val="24"/>
              </w:rPr>
            </w:pPr>
          </w:p>
        </w:tc>
        <w:tc>
          <w:tcPr>
            <w:tcW w:w="5659" w:type="dxa"/>
            <w:vAlign w:val="center"/>
          </w:tcPr>
          <w:p w14:paraId="6116792C">
            <w:pPr>
              <w:rPr>
                <w:sz w:val="24"/>
                <w:szCs w:val="24"/>
              </w:rPr>
            </w:pPr>
            <w:r>
              <w:rPr>
                <w:sz w:val="24"/>
                <w:szCs w:val="24"/>
              </w:rPr>
              <w:t>蓝网产品与现有第三方产品接口简单功能调整和完善管理（接口的修改不影响业务主流程）；</w:t>
            </w:r>
          </w:p>
        </w:tc>
        <w:tc>
          <w:tcPr>
            <w:tcW w:w="939" w:type="dxa"/>
            <w:vAlign w:val="center"/>
          </w:tcPr>
          <w:p w14:paraId="209FBEFD">
            <w:pPr>
              <w:jc w:val="center"/>
              <w:rPr>
                <w:sz w:val="24"/>
                <w:szCs w:val="24"/>
              </w:rPr>
            </w:pPr>
          </w:p>
        </w:tc>
      </w:tr>
      <w:tr w14:paraId="13A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5FAA933">
            <w:pPr>
              <w:numPr>
                <w:ilvl w:val="0"/>
                <w:numId w:val="2"/>
              </w:numPr>
              <w:ind w:left="425" w:hanging="425"/>
              <w:jc w:val="center"/>
              <w:rPr>
                <w:sz w:val="24"/>
                <w:szCs w:val="24"/>
              </w:rPr>
            </w:pPr>
          </w:p>
        </w:tc>
        <w:tc>
          <w:tcPr>
            <w:tcW w:w="1340" w:type="dxa"/>
            <w:vMerge w:val="restart"/>
            <w:vAlign w:val="center"/>
          </w:tcPr>
          <w:p w14:paraId="38DB9217">
            <w:pPr>
              <w:jc w:val="center"/>
              <w:rPr>
                <w:sz w:val="24"/>
                <w:szCs w:val="24"/>
              </w:rPr>
            </w:pPr>
            <w:r>
              <w:rPr>
                <w:rFonts w:hint="eastAsia"/>
                <w:sz w:val="24"/>
                <w:szCs w:val="24"/>
              </w:rPr>
              <w:t>科室管理类</w:t>
            </w:r>
          </w:p>
        </w:tc>
        <w:tc>
          <w:tcPr>
            <w:tcW w:w="5659" w:type="dxa"/>
            <w:vAlign w:val="center"/>
          </w:tcPr>
          <w:p w14:paraId="06A1A6E4">
            <w:pPr>
              <w:rPr>
                <w:sz w:val="24"/>
                <w:szCs w:val="24"/>
              </w:rPr>
            </w:pPr>
            <w:r>
              <w:rPr>
                <w:sz w:val="24"/>
                <w:szCs w:val="24"/>
              </w:rPr>
              <w:t>根据科室管理需要，协助完成各类统计报表的修改完善；</w:t>
            </w:r>
          </w:p>
        </w:tc>
        <w:tc>
          <w:tcPr>
            <w:tcW w:w="939" w:type="dxa"/>
            <w:vAlign w:val="center"/>
          </w:tcPr>
          <w:p w14:paraId="485029A3">
            <w:pPr>
              <w:jc w:val="center"/>
              <w:rPr>
                <w:sz w:val="24"/>
                <w:szCs w:val="24"/>
              </w:rPr>
            </w:pPr>
          </w:p>
        </w:tc>
      </w:tr>
      <w:tr w14:paraId="1B7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34FE9AA">
            <w:pPr>
              <w:numPr>
                <w:ilvl w:val="0"/>
                <w:numId w:val="2"/>
              </w:numPr>
              <w:ind w:left="425" w:hanging="425"/>
              <w:jc w:val="center"/>
              <w:rPr>
                <w:sz w:val="24"/>
                <w:szCs w:val="24"/>
              </w:rPr>
            </w:pPr>
          </w:p>
        </w:tc>
        <w:tc>
          <w:tcPr>
            <w:tcW w:w="1340" w:type="dxa"/>
            <w:vMerge w:val="continue"/>
            <w:vAlign w:val="center"/>
          </w:tcPr>
          <w:p w14:paraId="5369BE5D">
            <w:pPr>
              <w:jc w:val="center"/>
              <w:rPr>
                <w:sz w:val="24"/>
                <w:szCs w:val="24"/>
              </w:rPr>
            </w:pPr>
          </w:p>
        </w:tc>
        <w:tc>
          <w:tcPr>
            <w:tcW w:w="5659" w:type="dxa"/>
            <w:vAlign w:val="center"/>
          </w:tcPr>
          <w:p w14:paraId="562A989A">
            <w:pPr>
              <w:rPr>
                <w:sz w:val="24"/>
                <w:szCs w:val="24"/>
              </w:rPr>
            </w:pPr>
            <w:r>
              <w:rPr>
                <w:sz w:val="24"/>
                <w:szCs w:val="24"/>
              </w:rPr>
              <w:t>协助科室管理人员，定期调整科室医生对软件产品的操作权限，并给予一定的指导说明；</w:t>
            </w:r>
          </w:p>
        </w:tc>
        <w:tc>
          <w:tcPr>
            <w:tcW w:w="939" w:type="dxa"/>
            <w:vAlign w:val="center"/>
          </w:tcPr>
          <w:p w14:paraId="55F87461">
            <w:pPr>
              <w:jc w:val="center"/>
              <w:rPr>
                <w:sz w:val="24"/>
                <w:szCs w:val="24"/>
              </w:rPr>
            </w:pPr>
          </w:p>
        </w:tc>
      </w:tr>
      <w:tr w14:paraId="56BC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EA8F9CC">
            <w:pPr>
              <w:numPr>
                <w:ilvl w:val="0"/>
                <w:numId w:val="2"/>
              </w:numPr>
              <w:ind w:left="425" w:hanging="425"/>
              <w:jc w:val="center"/>
              <w:rPr>
                <w:sz w:val="24"/>
                <w:szCs w:val="24"/>
              </w:rPr>
            </w:pPr>
          </w:p>
        </w:tc>
        <w:tc>
          <w:tcPr>
            <w:tcW w:w="1340" w:type="dxa"/>
            <w:vMerge w:val="continue"/>
            <w:vAlign w:val="center"/>
          </w:tcPr>
          <w:p w14:paraId="28544615">
            <w:pPr>
              <w:jc w:val="center"/>
              <w:rPr>
                <w:sz w:val="24"/>
                <w:szCs w:val="24"/>
              </w:rPr>
            </w:pPr>
          </w:p>
        </w:tc>
        <w:tc>
          <w:tcPr>
            <w:tcW w:w="5659" w:type="dxa"/>
            <w:vAlign w:val="center"/>
          </w:tcPr>
          <w:p w14:paraId="6745D1EE">
            <w:pPr>
              <w:rPr>
                <w:sz w:val="24"/>
                <w:szCs w:val="24"/>
              </w:rPr>
            </w:pPr>
            <w:r>
              <w:rPr>
                <w:sz w:val="24"/>
                <w:szCs w:val="24"/>
              </w:rPr>
              <w:t>结合科室现有主业务，蓝网中级工程师对科室工作流程提出建议，优化科室工作流程，提高科室工作效率；</w:t>
            </w:r>
          </w:p>
        </w:tc>
        <w:tc>
          <w:tcPr>
            <w:tcW w:w="939" w:type="dxa"/>
            <w:vAlign w:val="center"/>
          </w:tcPr>
          <w:p w14:paraId="6147E8A4">
            <w:pPr>
              <w:jc w:val="center"/>
              <w:rPr>
                <w:sz w:val="24"/>
                <w:szCs w:val="24"/>
              </w:rPr>
            </w:pPr>
          </w:p>
        </w:tc>
      </w:tr>
      <w:tr w14:paraId="6041BCD2">
        <w:tblPrEx>
          <w:tblCellMar>
            <w:top w:w="0" w:type="dxa"/>
            <w:left w:w="108" w:type="dxa"/>
            <w:bottom w:w="0" w:type="dxa"/>
            <w:right w:w="108" w:type="dxa"/>
          </w:tblCellMar>
        </w:tblPrEx>
        <w:trPr>
          <w:trHeight w:val="567" w:hRule="atLeast"/>
        </w:trPr>
        <w:tc>
          <w:tcPr>
            <w:tcW w:w="709" w:type="dxa"/>
            <w:vAlign w:val="center"/>
          </w:tcPr>
          <w:p w14:paraId="7AEC5806">
            <w:pPr>
              <w:numPr>
                <w:ilvl w:val="0"/>
                <w:numId w:val="2"/>
              </w:numPr>
              <w:ind w:left="425" w:hanging="425"/>
              <w:jc w:val="center"/>
              <w:rPr>
                <w:sz w:val="24"/>
                <w:szCs w:val="24"/>
              </w:rPr>
            </w:pPr>
          </w:p>
        </w:tc>
        <w:tc>
          <w:tcPr>
            <w:tcW w:w="1340" w:type="dxa"/>
            <w:vMerge w:val="continue"/>
            <w:vAlign w:val="center"/>
          </w:tcPr>
          <w:p w14:paraId="2ECDD8E1">
            <w:pPr>
              <w:jc w:val="center"/>
              <w:rPr>
                <w:sz w:val="24"/>
                <w:szCs w:val="24"/>
              </w:rPr>
            </w:pPr>
          </w:p>
        </w:tc>
        <w:tc>
          <w:tcPr>
            <w:tcW w:w="5659" w:type="dxa"/>
            <w:vAlign w:val="center"/>
          </w:tcPr>
          <w:p w14:paraId="53B6E256">
            <w:pPr>
              <w:rPr>
                <w:sz w:val="24"/>
                <w:szCs w:val="24"/>
              </w:rPr>
            </w:pPr>
            <w:r>
              <w:rPr>
                <w:sz w:val="24"/>
                <w:szCs w:val="24"/>
              </w:rPr>
              <w:t>优先处理科室发现的软件明显逻辑错误和其他程序bug，bug修复按照公司二级bug处理；</w:t>
            </w:r>
          </w:p>
        </w:tc>
        <w:tc>
          <w:tcPr>
            <w:tcW w:w="939" w:type="dxa"/>
            <w:vAlign w:val="center"/>
          </w:tcPr>
          <w:p w14:paraId="359403AA">
            <w:pPr>
              <w:jc w:val="center"/>
              <w:rPr>
                <w:sz w:val="24"/>
                <w:szCs w:val="24"/>
              </w:rPr>
            </w:pPr>
          </w:p>
        </w:tc>
      </w:tr>
      <w:tr w14:paraId="61B0F458">
        <w:tblPrEx>
          <w:tblCellMar>
            <w:top w:w="0" w:type="dxa"/>
            <w:left w:w="108" w:type="dxa"/>
            <w:bottom w:w="0" w:type="dxa"/>
            <w:right w:w="108" w:type="dxa"/>
          </w:tblCellMar>
        </w:tblPrEx>
        <w:trPr>
          <w:trHeight w:val="567" w:hRule="atLeast"/>
        </w:trPr>
        <w:tc>
          <w:tcPr>
            <w:tcW w:w="709" w:type="dxa"/>
            <w:vAlign w:val="center"/>
          </w:tcPr>
          <w:p w14:paraId="2FD8268E">
            <w:pPr>
              <w:numPr>
                <w:ilvl w:val="0"/>
                <w:numId w:val="2"/>
              </w:numPr>
              <w:ind w:left="425" w:hanging="425"/>
              <w:jc w:val="center"/>
              <w:rPr>
                <w:sz w:val="24"/>
                <w:szCs w:val="24"/>
              </w:rPr>
            </w:pPr>
          </w:p>
        </w:tc>
        <w:tc>
          <w:tcPr>
            <w:tcW w:w="1340" w:type="dxa"/>
            <w:vMerge w:val="restart"/>
            <w:vAlign w:val="center"/>
          </w:tcPr>
          <w:p w14:paraId="0D9742AB">
            <w:pPr>
              <w:jc w:val="center"/>
              <w:rPr>
                <w:sz w:val="24"/>
                <w:szCs w:val="24"/>
              </w:rPr>
            </w:pPr>
            <w:r>
              <w:rPr>
                <w:rFonts w:hint="eastAsia"/>
                <w:sz w:val="24"/>
                <w:szCs w:val="24"/>
              </w:rPr>
              <w:t>技术支持及培训类</w:t>
            </w:r>
          </w:p>
        </w:tc>
        <w:tc>
          <w:tcPr>
            <w:tcW w:w="5659" w:type="dxa"/>
            <w:vAlign w:val="center"/>
          </w:tcPr>
          <w:p w14:paraId="03885375">
            <w:pPr>
              <w:rPr>
                <w:sz w:val="24"/>
                <w:szCs w:val="24"/>
              </w:rPr>
            </w:pPr>
            <w:r>
              <w:rPr>
                <w:sz w:val="24"/>
                <w:szCs w:val="24"/>
              </w:rPr>
              <w:t>为</w:t>
            </w:r>
            <w:r>
              <w:rPr>
                <w:rFonts w:hint="eastAsia"/>
                <w:sz w:val="24"/>
                <w:szCs w:val="24"/>
                <w:lang w:val="en-US" w:eastAsia="zh-CN"/>
              </w:rPr>
              <w:t>客户</w:t>
            </w:r>
            <w:r>
              <w:rPr>
                <w:sz w:val="24"/>
                <w:szCs w:val="24"/>
              </w:rPr>
              <w:t>指定责任工程师，负责</w:t>
            </w:r>
            <w:r>
              <w:rPr>
                <w:rFonts w:hint="eastAsia"/>
                <w:sz w:val="24"/>
                <w:szCs w:val="24"/>
                <w:lang w:val="en-US" w:eastAsia="zh-CN"/>
              </w:rPr>
              <w:t>蓝网科技</w:t>
            </w:r>
            <w:r>
              <w:rPr>
                <w:sz w:val="24"/>
                <w:szCs w:val="24"/>
              </w:rPr>
              <w:t>产品的维护，需求收集及bug处理，及不定期的电话和现场服务，作为接口工程师；</w:t>
            </w:r>
          </w:p>
        </w:tc>
        <w:tc>
          <w:tcPr>
            <w:tcW w:w="939" w:type="dxa"/>
            <w:vAlign w:val="center"/>
          </w:tcPr>
          <w:p w14:paraId="257739B9">
            <w:pPr>
              <w:jc w:val="center"/>
              <w:rPr>
                <w:sz w:val="24"/>
                <w:szCs w:val="24"/>
              </w:rPr>
            </w:pPr>
          </w:p>
        </w:tc>
      </w:tr>
      <w:tr w14:paraId="515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E33D0D7">
            <w:pPr>
              <w:numPr>
                <w:ilvl w:val="0"/>
                <w:numId w:val="2"/>
              </w:numPr>
              <w:ind w:left="425" w:hanging="425"/>
              <w:jc w:val="center"/>
              <w:rPr>
                <w:sz w:val="24"/>
                <w:szCs w:val="24"/>
              </w:rPr>
            </w:pPr>
          </w:p>
        </w:tc>
        <w:tc>
          <w:tcPr>
            <w:tcW w:w="1340" w:type="dxa"/>
            <w:vMerge w:val="continue"/>
            <w:vAlign w:val="center"/>
          </w:tcPr>
          <w:p w14:paraId="2A8B55C8">
            <w:pPr>
              <w:jc w:val="center"/>
              <w:rPr>
                <w:sz w:val="24"/>
                <w:szCs w:val="24"/>
              </w:rPr>
            </w:pPr>
          </w:p>
        </w:tc>
        <w:tc>
          <w:tcPr>
            <w:tcW w:w="5659" w:type="dxa"/>
            <w:vAlign w:val="center"/>
          </w:tcPr>
          <w:p w14:paraId="7737802C">
            <w:pPr>
              <w:rPr>
                <w:sz w:val="24"/>
                <w:szCs w:val="24"/>
              </w:rPr>
            </w:pPr>
            <w:r>
              <w:rPr>
                <w:sz w:val="24"/>
                <w:szCs w:val="24"/>
              </w:rPr>
              <w:t>蓝网工程师协助科室医生修改和完善知识库模版，让检查报告术语更加专业和规范化；</w:t>
            </w:r>
          </w:p>
        </w:tc>
        <w:tc>
          <w:tcPr>
            <w:tcW w:w="939" w:type="dxa"/>
            <w:vAlign w:val="center"/>
          </w:tcPr>
          <w:p w14:paraId="7C56F6D8">
            <w:pPr>
              <w:jc w:val="center"/>
              <w:rPr>
                <w:sz w:val="24"/>
                <w:szCs w:val="24"/>
              </w:rPr>
            </w:pPr>
          </w:p>
        </w:tc>
      </w:tr>
      <w:tr w14:paraId="34DA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1B490B0">
            <w:pPr>
              <w:numPr>
                <w:ilvl w:val="0"/>
                <w:numId w:val="2"/>
              </w:numPr>
              <w:ind w:left="425" w:hanging="425"/>
              <w:jc w:val="center"/>
              <w:rPr>
                <w:sz w:val="24"/>
                <w:szCs w:val="24"/>
              </w:rPr>
            </w:pPr>
          </w:p>
        </w:tc>
        <w:tc>
          <w:tcPr>
            <w:tcW w:w="1340" w:type="dxa"/>
            <w:vMerge w:val="continue"/>
            <w:vAlign w:val="center"/>
          </w:tcPr>
          <w:p w14:paraId="035516B6">
            <w:pPr>
              <w:jc w:val="center"/>
              <w:rPr>
                <w:sz w:val="24"/>
                <w:szCs w:val="24"/>
              </w:rPr>
            </w:pPr>
          </w:p>
        </w:tc>
        <w:tc>
          <w:tcPr>
            <w:tcW w:w="5659" w:type="dxa"/>
            <w:vAlign w:val="center"/>
          </w:tcPr>
          <w:p w14:paraId="614A6C94">
            <w:pPr>
              <w:rPr>
                <w:sz w:val="24"/>
                <w:szCs w:val="24"/>
              </w:rPr>
            </w:pPr>
            <w:r>
              <w:rPr>
                <w:rFonts w:hint="eastAsia" w:cs="Times New Roman" w:asciiTheme="minorEastAsia" w:hAnsiTheme="minorEastAsia"/>
                <w:sz w:val="24"/>
                <w:szCs w:val="24"/>
              </w:rPr>
              <w:t>蓝网400客服专员定期电话回访、记录使用情况和收集客户意见，</w:t>
            </w:r>
            <w:r>
              <w:rPr>
                <w:rFonts w:cs="Times New Roman" w:asciiTheme="minorEastAsia" w:hAnsiTheme="minorEastAsia"/>
                <w:sz w:val="24"/>
                <w:szCs w:val="24"/>
              </w:rPr>
              <w:t>对回访中</w:t>
            </w:r>
            <w:r>
              <w:rPr>
                <w:rFonts w:hint="eastAsia" w:cs="Times New Roman" w:asciiTheme="minorEastAsia" w:hAnsiTheme="minorEastAsia"/>
                <w:sz w:val="24"/>
                <w:szCs w:val="24"/>
              </w:rPr>
              <w:t>收集</w:t>
            </w:r>
            <w:r>
              <w:rPr>
                <w:rFonts w:cs="Times New Roman" w:asciiTheme="minorEastAsia" w:hAnsiTheme="minorEastAsia"/>
                <w:sz w:val="24"/>
                <w:szCs w:val="24"/>
              </w:rPr>
              <w:t>的问题</w:t>
            </w:r>
            <w:r>
              <w:rPr>
                <w:rFonts w:hint="eastAsia" w:cs="Times New Roman" w:asciiTheme="minorEastAsia" w:hAnsiTheme="minorEastAsia"/>
                <w:sz w:val="24"/>
                <w:szCs w:val="24"/>
              </w:rPr>
              <w:t>及时</w:t>
            </w:r>
            <w:r>
              <w:rPr>
                <w:rFonts w:cs="Times New Roman" w:asciiTheme="minorEastAsia" w:hAnsiTheme="minorEastAsia"/>
                <w:sz w:val="24"/>
                <w:szCs w:val="24"/>
              </w:rPr>
              <w:t>反馈工程师</w:t>
            </w:r>
            <w:r>
              <w:rPr>
                <w:rFonts w:hint="eastAsia" w:cs="Times New Roman" w:asciiTheme="minorEastAsia" w:hAnsiTheme="minorEastAsia"/>
                <w:sz w:val="24"/>
                <w:szCs w:val="24"/>
              </w:rPr>
              <w:t>优先</w:t>
            </w:r>
            <w:r>
              <w:rPr>
                <w:rFonts w:cs="Times New Roman" w:asciiTheme="minorEastAsia" w:hAnsiTheme="minorEastAsia"/>
                <w:sz w:val="24"/>
                <w:szCs w:val="24"/>
              </w:rPr>
              <w:t>处理；</w:t>
            </w:r>
          </w:p>
        </w:tc>
        <w:tc>
          <w:tcPr>
            <w:tcW w:w="939" w:type="dxa"/>
            <w:vAlign w:val="center"/>
          </w:tcPr>
          <w:p w14:paraId="167DACB5">
            <w:pPr>
              <w:jc w:val="center"/>
              <w:rPr>
                <w:sz w:val="24"/>
                <w:szCs w:val="24"/>
              </w:rPr>
            </w:pPr>
          </w:p>
        </w:tc>
      </w:tr>
      <w:tr w14:paraId="75BC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766885E">
            <w:pPr>
              <w:numPr>
                <w:ilvl w:val="0"/>
                <w:numId w:val="2"/>
              </w:numPr>
              <w:ind w:left="425" w:hanging="425"/>
              <w:jc w:val="center"/>
              <w:rPr>
                <w:sz w:val="24"/>
                <w:szCs w:val="24"/>
              </w:rPr>
            </w:pPr>
          </w:p>
        </w:tc>
        <w:tc>
          <w:tcPr>
            <w:tcW w:w="1340" w:type="dxa"/>
            <w:vMerge w:val="continue"/>
            <w:vAlign w:val="center"/>
          </w:tcPr>
          <w:p w14:paraId="0E0E1977">
            <w:pPr>
              <w:jc w:val="center"/>
              <w:rPr>
                <w:sz w:val="24"/>
                <w:szCs w:val="24"/>
              </w:rPr>
            </w:pPr>
          </w:p>
        </w:tc>
        <w:tc>
          <w:tcPr>
            <w:tcW w:w="5659" w:type="dxa"/>
            <w:vAlign w:val="center"/>
          </w:tcPr>
          <w:p w14:paraId="75F973D1">
            <w:pPr>
              <w:rPr>
                <w:sz w:val="24"/>
                <w:szCs w:val="24"/>
              </w:rPr>
            </w:pPr>
            <w:r>
              <w:rPr>
                <w:sz w:val="24"/>
                <w:szCs w:val="24"/>
              </w:rPr>
              <w:t>蓝网工程师会定期对医院信息科及业务科室管理人员进行技术培训，以便他们掌握产品的基本维护，迅速解决系统故障；</w:t>
            </w:r>
          </w:p>
        </w:tc>
        <w:tc>
          <w:tcPr>
            <w:tcW w:w="939" w:type="dxa"/>
            <w:vAlign w:val="center"/>
          </w:tcPr>
          <w:p w14:paraId="0F89A9EC">
            <w:pPr>
              <w:jc w:val="center"/>
              <w:rPr>
                <w:sz w:val="24"/>
                <w:szCs w:val="24"/>
              </w:rPr>
            </w:pPr>
          </w:p>
        </w:tc>
      </w:tr>
      <w:tr w14:paraId="7626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4E8B713">
            <w:pPr>
              <w:numPr>
                <w:ilvl w:val="0"/>
                <w:numId w:val="2"/>
              </w:numPr>
              <w:ind w:left="425" w:hanging="425"/>
              <w:jc w:val="center"/>
              <w:rPr>
                <w:sz w:val="24"/>
                <w:szCs w:val="24"/>
              </w:rPr>
            </w:pPr>
          </w:p>
        </w:tc>
        <w:tc>
          <w:tcPr>
            <w:tcW w:w="1340" w:type="dxa"/>
            <w:vMerge w:val="continue"/>
            <w:vAlign w:val="center"/>
          </w:tcPr>
          <w:p w14:paraId="2DDCE4B5">
            <w:pPr>
              <w:jc w:val="center"/>
              <w:rPr>
                <w:sz w:val="24"/>
                <w:szCs w:val="24"/>
              </w:rPr>
            </w:pPr>
          </w:p>
        </w:tc>
        <w:tc>
          <w:tcPr>
            <w:tcW w:w="5659" w:type="dxa"/>
            <w:vAlign w:val="center"/>
          </w:tcPr>
          <w:p w14:paraId="4FE93BF0">
            <w:pPr>
              <w:rPr>
                <w:sz w:val="24"/>
                <w:szCs w:val="24"/>
              </w:rPr>
            </w:pPr>
            <w:r>
              <w:rPr>
                <w:sz w:val="24"/>
                <w:szCs w:val="24"/>
              </w:rPr>
              <w:t>蓝网公司全年提供电话技术支持服务，客户可以通过</w:t>
            </w:r>
            <w:r>
              <w:rPr>
                <w:rFonts w:hint="eastAsia"/>
                <w:sz w:val="24"/>
                <w:szCs w:val="24"/>
              </w:rPr>
              <w:t>400电话进行技术咨询及产品故障报修；</w:t>
            </w:r>
          </w:p>
        </w:tc>
        <w:tc>
          <w:tcPr>
            <w:tcW w:w="939" w:type="dxa"/>
            <w:vAlign w:val="center"/>
          </w:tcPr>
          <w:p w14:paraId="4D60074C">
            <w:pPr>
              <w:jc w:val="center"/>
              <w:rPr>
                <w:sz w:val="24"/>
                <w:szCs w:val="24"/>
              </w:rPr>
            </w:pPr>
          </w:p>
        </w:tc>
      </w:tr>
    </w:tbl>
    <w:p w14:paraId="49E4BA50">
      <w:pPr>
        <w:pStyle w:val="2"/>
        <w:jc w:val="left"/>
        <w:rPr>
          <w:rFonts w:hint="eastAsia" w:asciiTheme="majorEastAsia" w:hAnsiTheme="majorEastAsia"/>
          <w:sz w:val="28"/>
          <w:szCs w:val="28"/>
        </w:rPr>
      </w:pPr>
      <w:r>
        <w:rPr>
          <w:rFonts w:hint="eastAsia" w:asciiTheme="majorEastAsia" w:hAnsiTheme="majorEastAsia"/>
          <w:sz w:val="28"/>
          <w:szCs w:val="28"/>
          <w:lang w:val="en-US" w:eastAsia="zh-CN"/>
        </w:rPr>
        <w:t>四</w:t>
      </w:r>
      <w:r>
        <w:rPr>
          <w:rFonts w:hint="eastAsia" w:asciiTheme="majorEastAsia" w:hAnsiTheme="majorEastAsia"/>
          <w:sz w:val="28"/>
          <w:szCs w:val="28"/>
        </w:rPr>
        <w:t>、商务要求</w:t>
      </w:r>
    </w:p>
    <w:tbl>
      <w:tblPr>
        <w:tblStyle w:val="18"/>
        <w:tblW w:w="918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92"/>
        <w:gridCol w:w="6433"/>
      </w:tblGrid>
      <w:tr w14:paraId="3CB0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2" w:type="dxa"/>
            <w:vAlign w:val="center"/>
          </w:tcPr>
          <w:p w14:paraId="4C0E7DDB">
            <w:pPr>
              <w:jc w:val="center"/>
              <w:rPr>
                <w:rFonts w:hint="eastAsia" w:ascii="宋体" w:hAnsi="宋体" w:cs="宋体"/>
                <w:b/>
                <w:bCs/>
                <w:sz w:val="24"/>
              </w:rPr>
            </w:pPr>
            <w:r>
              <w:rPr>
                <w:rFonts w:hint="eastAsia" w:ascii="宋体" w:hAnsi="宋体" w:cs="宋体"/>
                <w:b/>
                <w:bCs/>
                <w:sz w:val="24"/>
              </w:rPr>
              <w:t>序号</w:t>
            </w:r>
          </w:p>
        </w:tc>
        <w:tc>
          <w:tcPr>
            <w:tcW w:w="1692" w:type="dxa"/>
            <w:vAlign w:val="center"/>
          </w:tcPr>
          <w:p w14:paraId="4DE18B75">
            <w:pPr>
              <w:jc w:val="center"/>
              <w:rPr>
                <w:rFonts w:hint="eastAsia" w:ascii="宋体" w:hAnsi="宋体" w:cs="宋体"/>
                <w:b/>
                <w:bCs/>
                <w:sz w:val="24"/>
              </w:rPr>
            </w:pPr>
            <w:r>
              <w:rPr>
                <w:rFonts w:hint="eastAsia" w:ascii="宋体" w:hAnsi="宋体" w:cs="宋体"/>
                <w:b/>
                <w:bCs/>
                <w:sz w:val="24"/>
              </w:rPr>
              <w:t>目录</w:t>
            </w:r>
          </w:p>
        </w:tc>
        <w:tc>
          <w:tcPr>
            <w:tcW w:w="6433" w:type="dxa"/>
            <w:vAlign w:val="center"/>
          </w:tcPr>
          <w:p w14:paraId="76DD650D">
            <w:pPr>
              <w:jc w:val="center"/>
              <w:rPr>
                <w:rFonts w:hint="eastAsia" w:ascii="宋体" w:hAnsi="宋体" w:cs="宋体"/>
                <w:b/>
                <w:bCs/>
                <w:sz w:val="24"/>
              </w:rPr>
            </w:pPr>
            <w:r>
              <w:rPr>
                <w:rFonts w:hint="eastAsia" w:ascii="宋体" w:hAnsi="宋体" w:cs="宋体"/>
                <w:b/>
                <w:bCs/>
                <w:sz w:val="24"/>
              </w:rPr>
              <w:t>招标商务需求</w:t>
            </w:r>
          </w:p>
        </w:tc>
      </w:tr>
      <w:tr w14:paraId="6E3A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62" w:type="dxa"/>
          </w:tcPr>
          <w:p w14:paraId="4CE6FA07">
            <w:pPr>
              <w:tabs>
                <w:tab w:val="center" w:pos="5024"/>
              </w:tabs>
              <w:jc w:val="center"/>
              <w:rPr>
                <w:rFonts w:hint="eastAsia" w:ascii="宋体" w:hAnsi="宋体" w:cs="宋体"/>
                <w:sz w:val="24"/>
                <w:highlight w:val="yellow"/>
              </w:rPr>
            </w:pPr>
            <w:r>
              <w:rPr>
                <w:rFonts w:hint="eastAsia" w:ascii="宋体" w:hAnsi="宋体" w:cs="宋体"/>
                <w:sz w:val="24"/>
              </w:rPr>
              <w:t>1</w:t>
            </w:r>
          </w:p>
        </w:tc>
        <w:tc>
          <w:tcPr>
            <w:tcW w:w="1692" w:type="dxa"/>
          </w:tcPr>
          <w:p w14:paraId="09A07F0C">
            <w:pPr>
              <w:tabs>
                <w:tab w:val="center" w:pos="5024"/>
              </w:tabs>
              <w:rPr>
                <w:rFonts w:hint="eastAsia" w:ascii="宋体" w:hAnsi="宋体" w:cs="宋体"/>
                <w:sz w:val="24"/>
                <w:highlight w:val="yellow"/>
              </w:rPr>
            </w:pPr>
            <w:r>
              <w:rPr>
                <w:rFonts w:hint="eastAsia" w:ascii="宋体" w:hAnsi="宋体" w:cs="宋体"/>
                <w:sz w:val="24"/>
              </w:rPr>
              <w:t>★</w:t>
            </w:r>
            <w:r>
              <w:rPr>
                <w:rFonts w:hint="eastAsia" w:ascii="宋体" w:hAnsi="宋体" w:cs="宋体"/>
                <w:sz w:val="24"/>
                <w:highlight w:val="yellow"/>
              </w:rPr>
              <w:t>服务期限</w:t>
            </w:r>
          </w:p>
        </w:tc>
        <w:tc>
          <w:tcPr>
            <w:tcW w:w="6433" w:type="dxa"/>
          </w:tcPr>
          <w:p w14:paraId="569926E1">
            <w:pPr>
              <w:rPr>
                <w:rFonts w:hint="eastAsia" w:ascii="宋体" w:hAnsi="宋体" w:eastAsia="宋体" w:cs="宋体"/>
                <w:sz w:val="24"/>
                <w:lang w:val="en-US" w:eastAsia="zh-CN"/>
              </w:rPr>
            </w:pPr>
            <w:r>
              <w:rPr>
                <w:rFonts w:hint="eastAsia" w:ascii="宋体" w:hAnsi="宋体" w:eastAsia="宋体" w:cs="宋体"/>
                <w:sz w:val="24"/>
                <w:lang w:val="en-US" w:eastAsia="zh-CN"/>
              </w:rPr>
              <w:t>1.运维服务期限：合同签订后壹年；</w:t>
            </w:r>
          </w:p>
          <w:p w14:paraId="0AD85F1E">
            <w:pPr>
              <w:rPr>
                <w:rFonts w:hint="eastAsia"/>
              </w:rPr>
            </w:pPr>
            <w:r>
              <w:rPr>
                <w:rFonts w:hint="eastAsia" w:ascii="宋体" w:hAnsi="宋体" w:eastAsia="宋体" w:cs="宋体"/>
                <w:sz w:val="24"/>
                <w:lang w:val="en-US" w:eastAsia="zh-CN"/>
              </w:rPr>
              <w:t>2.合同续签：若合同履行结束后，采购人相关部门根据合同内容和招投标文件（供应商的资质、货物/服务的详细内容符合程度等）进行履约评价，项目履约评价为“良好”及以上，经双方协商同意可续签，但总体合同履行期限最长不得超过三十六个月。</w:t>
            </w:r>
          </w:p>
        </w:tc>
      </w:tr>
      <w:tr w14:paraId="2A3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187" w:type="dxa"/>
            <w:gridSpan w:val="3"/>
          </w:tcPr>
          <w:p w14:paraId="3C136BFA">
            <w:pPr>
              <w:tabs>
                <w:tab w:val="center" w:pos="5024"/>
              </w:tabs>
              <w:rPr>
                <w:rFonts w:hint="eastAsia" w:ascii="宋体" w:hAnsi="宋体" w:cs="宋体"/>
                <w:sz w:val="24"/>
              </w:rPr>
            </w:pPr>
            <w:r>
              <w:rPr>
                <w:rFonts w:hint="eastAsia" w:ascii="宋体" w:hAnsi="宋体" w:cs="宋体"/>
                <w:sz w:val="24"/>
              </w:rPr>
              <w:t>（一）售后服务要求</w:t>
            </w:r>
            <w:r>
              <w:rPr>
                <w:rFonts w:hint="eastAsia" w:ascii="宋体" w:hAnsi="宋体" w:cs="宋体"/>
                <w:sz w:val="24"/>
              </w:rPr>
              <w:tab/>
            </w:r>
          </w:p>
        </w:tc>
      </w:tr>
      <w:tr w14:paraId="395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62" w:type="dxa"/>
            <w:vAlign w:val="center"/>
          </w:tcPr>
          <w:p w14:paraId="704A0E27">
            <w:pPr>
              <w:pStyle w:val="9"/>
              <w:spacing w:line="240" w:lineRule="auto"/>
              <w:jc w:val="center"/>
              <w:rPr>
                <w:rFonts w:hint="eastAsia" w:ascii="宋体" w:hAnsi="宋体" w:cs="宋体"/>
              </w:rPr>
            </w:pPr>
          </w:p>
        </w:tc>
        <w:tc>
          <w:tcPr>
            <w:tcW w:w="1692" w:type="dxa"/>
            <w:vAlign w:val="center"/>
          </w:tcPr>
          <w:p w14:paraId="4C385BC9">
            <w:pPr>
              <w:pStyle w:val="9"/>
              <w:spacing w:line="240" w:lineRule="auto"/>
              <w:rPr>
                <w:rFonts w:hint="default" w:ascii="宋体" w:hAnsi="宋体" w:eastAsia="宋体" w:cs="宋体"/>
                <w:lang w:val="en-US" w:eastAsia="zh-CN"/>
              </w:rPr>
            </w:pPr>
            <w:r>
              <w:rPr>
                <w:rFonts w:hint="eastAsia" w:ascii="宋体" w:hAnsi="宋体" w:cs="宋体"/>
                <w:sz w:val="24"/>
              </w:rPr>
              <w:t>★</w:t>
            </w:r>
            <w:r>
              <w:rPr>
                <w:rFonts w:hint="eastAsia" w:ascii="宋体" w:hAnsi="宋体" w:eastAsia="宋体" w:cs="宋体"/>
                <w:b w:val="0"/>
                <w:bCs w:val="0"/>
                <w:kern w:val="2"/>
                <w:sz w:val="24"/>
                <w:szCs w:val="24"/>
                <w:lang w:val="en-US" w:eastAsia="zh-CN" w:bidi="ar-SA"/>
              </w:rPr>
              <w:t>服务内容</w:t>
            </w:r>
          </w:p>
        </w:tc>
        <w:tc>
          <w:tcPr>
            <w:tcW w:w="6433" w:type="dxa"/>
          </w:tcPr>
          <w:p w14:paraId="3EB39760">
            <w:pPr>
              <w:numPr>
                <w:ilvl w:val="0"/>
                <w:numId w:val="4"/>
              </w:numPr>
              <w:rPr>
                <w:rFonts w:hint="eastAsia" w:ascii="宋体" w:hAnsi="宋体" w:cs="宋体"/>
                <w:sz w:val="24"/>
              </w:rPr>
            </w:pPr>
            <w:r>
              <w:rPr>
                <w:rFonts w:hint="eastAsia" w:ascii="宋体" w:hAnsi="宋体" w:eastAsia="宋体" w:cs="宋体"/>
                <w:b w:val="0"/>
                <w:bCs w:val="0"/>
                <w:kern w:val="2"/>
                <w:sz w:val="24"/>
                <w:szCs w:val="24"/>
                <w:lang w:val="en-US" w:eastAsia="zh-CN" w:bidi="ar-SA"/>
              </w:rPr>
              <w:t>维保期内，提供7×24小时的远程技术支持，一旦系统 发生质量问题，免费质保，中标方保证在接到通知后确保1小时内作出实质性响应，2</w:t>
            </w:r>
            <w:r>
              <w:rPr>
                <w:rFonts w:hint="eastAsia" w:ascii="宋体" w:hAnsi="宋体" w:cs="宋体"/>
                <w:sz w:val="24"/>
              </w:rPr>
              <w:t>小时内到达现场（如电话响应无法解决）；一般性故障4小时内修复，如在4小时内无法解决，则须提供应急解决方案，确保在12小时内恢复正常运行。</w:t>
            </w:r>
          </w:p>
          <w:p w14:paraId="7FB657A8">
            <w:pPr>
              <w:numPr>
                <w:ilvl w:val="0"/>
                <w:numId w:val="4"/>
              </w:numPr>
              <w:rPr>
                <w:rFonts w:hint="eastAsia" w:ascii="宋体" w:hAnsi="宋体" w:eastAsia="宋体" w:cs="宋体"/>
                <w:sz w:val="24"/>
                <w:lang w:eastAsia="zh-CN"/>
              </w:rPr>
            </w:pPr>
            <w:r>
              <w:rPr>
                <w:rFonts w:hint="eastAsia" w:ascii="宋体" w:hAnsi="宋体" w:eastAsia="宋体" w:cs="宋体"/>
                <w:sz w:val="24"/>
              </w:rPr>
              <w:t>选派具备相关</w:t>
            </w:r>
            <w:r>
              <w:rPr>
                <w:rFonts w:hint="eastAsia" w:ascii="宋体" w:hAnsi="宋体" w:eastAsia="宋体" w:cs="宋体"/>
                <w:sz w:val="24"/>
                <w:lang w:val="en-US" w:eastAsia="zh-CN"/>
              </w:rPr>
              <w:t>运维</w:t>
            </w:r>
            <w:r>
              <w:rPr>
                <w:rFonts w:hint="eastAsia" w:ascii="宋体" w:hAnsi="宋体" w:eastAsia="宋体" w:cs="宋体"/>
                <w:sz w:val="24"/>
              </w:rPr>
              <w:t>经验的技术人员专职负责系统维护工作。维护期间，为</w:t>
            </w:r>
            <w:r>
              <w:rPr>
                <w:rFonts w:hint="eastAsia" w:ascii="宋体" w:hAnsi="宋体" w:eastAsia="宋体" w:cs="宋体"/>
                <w:sz w:val="24"/>
                <w:lang w:eastAsia="zh-CN"/>
              </w:rPr>
              <w:t>采购人</w:t>
            </w:r>
            <w:r>
              <w:rPr>
                <w:rFonts w:hint="eastAsia" w:ascii="宋体" w:hAnsi="宋体" w:eastAsia="宋体" w:cs="宋体"/>
                <w:sz w:val="24"/>
              </w:rPr>
              <w:t>建立专项技术档案，完整记录系统维护全过程。运维开发团队提供后端技术支持，若巡检</w:t>
            </w:r>
            <w:r>
              <w:rPr>
                <w:rFonts w:hint="eastAsia" w:ascii="宋体" w:hAnsi="宋体" w:eastAsia="宋体" w:cs="宋体"/>
                <w:sz w:val="24"/>
                <w:lang w:eastAsia="zh-CN"/>
              </w:rPr>
              <w:t>技术</w:t>
            </w:r>
            <w:r>
              <w:rPr>
                <w:rFonts w:hint="eastAsia" w:ascii="宋体" w:hAnsi="宋体" w:eastAsia="宋体" w:cs="宋体"/>
                <w:sz w:val="24"/>
              </w:rPr>
              <w:t>人员在维护过程中遇疑难问题，可通过电话、网络等实时通信方式，即时与运维开发团队沟通并协同解决</w:t>
            </w:r>
            <w:r>
              <w:rPr>
                <w:rFonts w:hint="eastAsia" w:ascii="宋体" w:hAnsi="宋体" w:eastAsia="宋体" w:cs="宋体"/>
                <w:sz w:val="24"/>
                <w:lang w:eastAsia="zh-CN"/>
              </w:rPr>
              <w:t>。</w:t>
            </w:r>
          </w:p>
          <w:p w14:paraId="337011FE">
            <w:pPr>
              <w:numPr>
                <w:ilvl w:val="0"/>
                <w:numId w:val="4"/>
              </w:numPr>
              <w:rPr>
                <w:rFonts w:hint="eastAsia" w:ascii="宋体" w:hAnsi="宋体" w:eastAsia="宋体" w:cs="宋体"/>
                <w:sz w:val="24"/>
                <w:lang w:val="en-US" w:eastAsia="zh-CN"/>
              </w:rPr>
            </w:pPr>
            <w:r>
              <w:rPr>
                <w:rFonts w:hint="eastAsia" w:ascii="宋体" w:hAnsi="宋体" w:eastAsia="宋体" w:cs="宋体"/>
                <w:sz w:val="24"/>
                <w:lang w:val="en-US" w:eastAsia="zh-CN"/>
              </w:rPr>
              <w:t>对系统所发生的Bug问题，由巡检技术人员进行处理，让采购人可随时追踪问题的处理状态，避免同类问题的重复发生。</w:t>
            </w:r>
          </w:p>
          <w:p w14:paraId="607F3151">
            <w:pPr>
              <w:numPr>
                <w:ilvl w:val="0"/>
                <w:numId w:val="4"/>
              </w:numPr>
              <w:rPr>
                <w:rFonts w:hint="eastAsia"/>
              </w:rPr>
            </w:pPr>
            <w:r>
              <w:rPr>
                <w:rFonts w:hint="eastAsia" w:ascii="宋体" w:hAnsi="宋体" w:eastAsia="宋体" w:cs="宋体"/>
                <w:sz w:val="24"/>
                <w:lang w:val="en-US" w:eastAsia="zh-CN"/>
              </w:rPr>
              <w:t>供应商应每季度对系统的运行环境及业务功能进行检查，及时提出调优和故障预防建议，保证采购人业务能正常开展。</w:t>
            </w:r>
          </w:p>
        </w:tc>
      </w:tr>
      <w:tr w14:paraId="35F5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87" w:type="dxa"/>
            <w:gridSpan w:val="3"/>
          </w:tcPr>
          <w:p w14:paraId="6CA32E08">
            <w:pPr>
              <w:rPr>
                <w:rFonts w:hint="eastAsia" w:ascii="宋体" w:hAnsi="宋体" w:cs="宋体"/>
                <w:sz w:val="24"/>
              </w:rPr>
            </w:pPr>
            <w:r>
              <w:rPr>
                <w:rFonts w:hint="eastAsia" w:ascii="宋体" w:hAnsi="宋体" w:cs="宋体"/>
                <w:sz w:val="24"/>
              </w:rPr>
              <w:t>（三）其他商务要求</w:t>
            </w:r>
          </w:p>
        </w:tc>
      </w:tr>
      <w:tr w14:paraId="5D76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76CAD73B">
            <w:pPr>
              <w:jc w:val="center"/>
              <w:rPr>
                <w:rFonts w:hint="eastAsia" w:ascii="宋体" w:hAnsi="宋体" w:cs="宋体"/>
                <w:sz w:val="24"/>
              </w:rPr>
            </w:pPr>
            <w:r>
              <w:rPr>
                <w:rFonts w:hint="eastAsia" w:ascii="宋体" w:hAnsi="宋体" w:cs="宋体"/>
                <w:sz w:val="24"/>
              </w:rPr>
              <w:t>1</w:t>
            </w:r>
          </w:p>
        </w:tc>
        <w:tc>
          <w:tcPr>
            <w:tcW w:w="1692" w:type="dxa"/>
            <w:vAlign w:val="center"/>
          </w:tcPr>
          <w:p w14:paraId="6F6029E2">
            <w:pPr>
              <w:rPr>
                <w:rFonts w:hint="eastAsia" w:ascii="宋体" w:hAnsi="宋体" w:cs="宋体"/>
                <w:sz w:val="24"/>
              </w:rPr>
            </w:pPr>
            <w:r>
              <w:rPr>
                <w:rFonts w:hint="eastAsia" w:ascii="宋体" w:hAnsi="宋体" w:cs="宋体"/>
                <w:sz w:val="24"/>
              </w:rPr>
              <w:t>付款方式</w:t>
            </w:r>
          </w:p>
        </w:tc>
        <w:tc>
          <w:tcPr>
            <w:tcW w:w="6433" w:type="dxa"/>
            <w:vAlign w:val="center"/>
          </w:tcPr>
          <w:p w14:paraId="0139EB3E">
            <w:pPr>
              <w:pStyle w:val="38"/>
              <w:spacing w:before="0" w:after="0"/>
              <w:rPr>
                <w:rFonts w:hint="eastAsia" w:ascii="宋体" w:hAnsi="宋体" w:cs="宋体"/>
              </w:rPr>
            </w:pPr>
            <w:r>
              <w:rPr>
                <w:color w:val="000000"/>
                <w:sz w:val="22"/>
                <w:szCs w:val="22"/>
              </w:rPr>
              <w:t>采购合同签订后，采购人自收到发票后10个工作日内支付</w:t>
            </w:r>
            <w:r>
              <w:rPr>
                <w:rFonts w:hint="eastAsia"/>
                <w:color w:val="000000"/>
                <w:sz w:val="22"/>
                <w:szCs w:val="22"/>
                <w:lang w:val="en-US" w:eastAsia="zh-CN"/>
              </w:rPr>
              <w:t>5</w:t>
            </w:r>
            <w:r>
              <w:rPr>
                <w:color w:val="000000"/>
                <w:sz w:val="22"/>
                <w:szCs w:val="22"/>
              </w:rPr>
              <w:t>0%的预付款给中标人；验收合格后，采购人自收到发票后10个工作日内支</w:t>
            </w:r>
            <w:r>
              <w:rPr>
                <w:rFonts w:hint="eastAsia"/>
                <w:color w:val="000000"/>
                <w:sz w:val="22"/>
                <w:szCs w:val="22"/>
                <w:lang w:val="en-US" w:eastAsia="zh-CN"/>
              </w:rPr>
              <w:t>5</w:t>
            </w:r>
            <w:r>
              <w:rPr>
                <w:rFonts w:hint="eastAsia"/>
                <w:color w:val="000000"/>
                <w:sz w:val="22"/>
                <w:szCs w:val="22"/>
              </w:rPr>
              <w:t>0</w:t>
            </w:r>
            <w:r>
              <w:rPr>
                <w:color w:val="000000"/>
                <w:sz w:val="22"/>
                <w:szCs w:val="22"/>
              </w:rPr>
              <w:t>%剩余款项给中标人。每次按合同支付款项前，中标人应向采购人提供与支付金额相符的有效发票，且收款方、出具发票方、合同乙方均必须与中标人名称一致。</w:t>
            </w:r>
          </w:p>
        </w:tc>
      </w:tr>
      <w:tr w14:paraId="04D4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1D85CC9B">
            <w:pPr>
              <w:jc w:val="center"/>
              <w:rPr>
                <w:rFonts w:hint="eastAsia" w:ascii="宋体" w:hAnsi="宋体" w:cs="宋体"/>
                <w:sz w:val="24"/>
              </w:rPr>
            </w:pPr>
            <w:r>
              <w:rPr>
                <w:rFonts w:hint="eastAsia" w:ascii="宋体" w:hAnsi="宋体" w:cs="宋体"/>
                <w:sz w:val="24"/>
              </w:rPr>
              <w:t>2</w:t>
            </w:r>
          </w:p>
        </w:tc>
        <w:tc>
          <w:tcPr>
            <w:tcW w:w="1692" w:type="dxa"/>
            <w:vAlign w:val="center"/>
          </w:tcPr>
          <w:p w14:paraId="35227752">
            <w:pPr>
              <w:rPr>
                <w:rFonts w:hint="eastAsia" w:ascii="宋体" w:hAnsi="宋体" w:cs="宋体"/>
                <w:sz w:val="24"/>
              </w:rPr>
            </w:pPr>
            <w:r>
              <w:rPr>
                <w:rFonts w:hint="eastAsia" w:ascii="宋体" w:hAnsi="宋体" w:cs="宋体"/>
                <w:sz w:val="24"/>
              </w:rPr>
              <w:t>关于知识产权</w:t>
            </w:r>
          </w:p>
        </w:tc>
        <w:tc>
          <w:tcPr>
            <w:tcW w:w="6433" w:type="dxa"/>
          </w:tcPr>
          <w:p w14:paraId="433E506F">
            <w:pPr>
              <w:rPr>
                <w:rFonts w:hint="eastAsia" w:ascii="宋体" w:hAnsi="宋体" w:cs="宋体"/>
                <w:sz w:val="24"/>
              </w:rPr>
            </w:pPr>
            <w:r>
              <w:rPr>
                <w:rFonts w:hint="eastAsia" w:ascii="宋体" w:hAnsi="宋体" w:cs="宋体"/>
                <w:sz w:val="24"/>
              </w:rPr>
              <w:t>2.1中标方所提供的产品必须符合国家有关软件产品方面的规定和软件标准规范，没有侵犯第三方的合法权利和涉及第三方的诉讼。</w:t>
            </w:r>
          </w:p>
          <w:p w14:paraId="638F2EB8">
            <w:pPr>
              <w:pStyle w:val="38"/>
              <w:spacing w:before="0" w:after="0"/>
              <w:rPr>
                <w:rFonts w:hint="eastAsia" w:ascii="宋体" w:hAnsi="宋体" w:cs="宋体"/>
              </w:rPr>
            </w:pPr>
            <w:r>
              <w:rPr>
                <w:rFonts w:hint="eastAsia" w:ascii="宋体" w:hAnsi="宋体" w:cs="宋体"/>
              </w:rPr>
              <w:t>2.2采购方在中华人民共和国境内使用该产品或产品的任何一部分时，免受第三方提出的侵犯其专利权、商标权或工业设计权等知识产权的起诉或司法干预。如果发生上述起诉或干预，则其法律责任均由中标方负责。</w:t>
            </w:r>
          </w:p>
        </w:tc>
      </w:tr>
      <w:tr w14:paraId="0B10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62F9B16A">
            <w:pPr>
              <w:jc w:val="center"/>
              <w:rPr>
                <w:rFonts w:hint="eastAsia" w:ascii="宋体" w:hAnsi="宋体" w:cs="宋体"/>
                <w:sz w:val="24"/>
              </w:rPr>
            </w:pPr>
            <w:r>
              <w:rPr>
                <w:rFonts w:hint="eastAsia" w:ascii="宋体" w:hAnsi="宋体" w:cs="宋体"/>
                <w:sz w:val="24"/>
              </w:rPr>
              <w:t>3</w:t>
            </w:r>
          </w:p>
        </w:tc>
        <w:tc>
          <w:tcPr>
            <w:tcW w:w="1692" w:type="dxa"/>
            <w:vAlign w:val="center"/>
          </w:tcPr>
          <w:p w14:paraId="31EC9809">
            <w:pPr>
              <w:rPr>
                <w:rFonts w:hint="eastAsia" w:ascii="宋体" w:hAnsi="宋体" w:cs="宋体"/>
                <w:sz w:val="24"/>
              </w:rPr>
            </w:pPr>
            <w:r>
              <w:rPr>
                <w:rFonts w:hint="eastAsia" w:ascii="宋体" w:hAnsi="宋体" w:cs="宋体"/>
                <w:sz w:val="24"/>
              </w:rPr>
              <w:t>关于验收</w:t>
            </w:r>
          </w:p>
        </w:tc>
        <w:tc>
          <w:tcPr>
            <w:tcW w:w="6433" w:type="dxa"/>
          </w:tcPr>
          <w:p w14:paraId="06537A0F">
            <w:pPr>
              <w:keepNext w:val="0"/>
              <w:keepLines w:val="0"/>
              <w:widowControl w:val="0"/>
              <w:suppressLineNumbers w:val="0"/>
              <w:spacing w:before="0" w:beforeAutospacing="0" w:after="0" w:afterAutospacing="0"/>
              <w:ind w:left="0" w:right="0"/>
              <w:jc w:val="both"/>
              <w:rPr>
                <w:rFonts w:hint="eastAsia" w:ascii="宋体" w:hAnsi="宋体" w:cs="宋体"/>
                <w:bCs w:val="0"/>
                <w:spacing w:val="0"/>
                <w:kern w:val="2"/>
              </w:rPr>
            </w:pPr>
            <w:r>
              <w:rPr>
                <w:rFonts w:hint="eastAsia" w:ascii="宋体" w:hAnsi="宋体" w:eastAsia="宋体" w:cs="宋体"/>
                <w:b w:val="0"/>
                <w:bCs w:val="0"/>
                <w:kern w:val="2"/>
                <w:sz w:val="24"/>
                <w:szCs w:val="24"/>
                <w:lang w:val="en-US" w:eastAsia="zh-CN" w:bidi="ar-SA"/>
              </w:rPr>
              <w:t>乙方完成本合同项下的年度维护服务后，由甲方对乙方提供的维护服务进行综合验收评定，验收标准为本合同及招标文件规定和国家、行业相关技术标准。经验收评定为合格，甲方有权按政府有关规定续签合同或重新招标。</w:t>
            </w:r>
          </w:p>
        </w:tc>
      </w:tr>
      <w:tr w14:paraId="2B2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22D2F88F">
            <w:pPr>
              <w:jc w:val="center"/>
              <w:rPr>
                <w:rFonts w:hint="eastAsia" w:ascii="宋体" w:hAnsi="宋体" w:cs="宋体"/>
                <w:sz w:val="24"/>
              </w:rPr>
            </w:pPr>
            <w:r>
              <w:rPr>
                <w:rFonts w:hint="eastAsia" w:ascii="宋体" w:hAnsi="宋体" w:cs="宋体"/>
                <w:sz w:val="24"/>
              </w:rPr>
              <w:t>4</w:t>
            </w:r>
          </w:p>
        </w:tc>
        <w:tc>
          <w:tcPr>
            <w:tcW w:w="1692" w:type="dxa"/>
            <w:vAlign w:val="center"/>
          </w:tcPr>
          <w:p w14:paraId="5E6DE8BB">
            <w:pPr>
              <w:rPr>
                <w:rFonts w:hint="eastAsia" w:ascii="宋体" w:hAnsi="宋体" w:cs="宋体"/>
                <w:sz w:val="24"/>
              </w:rPr>
            </w:pPr>
            <w:r>
              <w:rPr>
                <w:rFonts w:hint="eastAsia" w:ascii="宋体" w:hAnsi="宋体" w:cs="宋体"/>
                <w:sz w:val="24"/>
              </w:rPr>
              <w:t>基本要求</w:t>
            </w:r>
          </w:p>
        </w:tc>
        <w:tc>
          <w:tcPr>
            <w:tcW w:w="6433" w:type="dxa"/>
          </w:tcPr>
          <w:p w14:paraId="559ABBA6">
            <w:pPr>
              <w:rPr>
                <w:rFonts w:hint="eastAsia" w:ascii="宋体" w:hAnsi="宋体" w:cs="宋体"/>
                <w:sz w:val="24"/>
              </w:rPr>
            </w:pPr>
            <w:r>
              <w:rPr>
                <w:rFonts w:hint="eastAsia" w:ascii="宋体" w:hAnsi="宋体" w:cs="宋体"/>
                <w:sz w:val="24"/>
              </w:rPr>
              <w:t>4.1中标方需在采购方规定的时间内完成项目交付。</w:t>
            </w:r>
          </w:p>
          <w:p w14:paraId="210BD97C">
            <w:pPr>
              <w:rPr>
                <w:rFonts w:hint="eastAsia" w:ascii="宋体" w:hAnsi="宋体" w:cs="宋体"/>
                <w:sz w:val="24"/>
              </w:rPr>
            </w:pPr>
            <w:r>
              <w:rPr>
                <w:rFonts w:hint="eastAsia" w:ascii="宋体" w:hAnsi="宋体" w:cs="宋体"/>
                <w:sz w:val="24"/>
              </w:rPr>
              <w:t>4.2采购方反复提出修改意见导致中标方工作不能按时完成时，可按延长时间顺延执行。</w:t>
            </w:r>
          </w:p>
        </w:tc>
      </w:tr>
      <w:tr w14:paraId="180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62" w:type="dxa"/>
            <w:vAlign w:val="center"/>
          </w:tcPr>
          <w:p w14:paraId="5BB495D9">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692" w:type="dxa"/>
            <w:vAlign w:val="center"/>
          </w:tcPr>
          <w:p w14:paraId="39A180A8">
            <w:pPr>
              <w:rPr>
                <w:rFonts w:hint="eastAsia" w:ascii="宋体" w:hAnsi="宋体" w:cs="宋体"/>
                <w:sz w:val="24"/>
              </w:rPr>
            </w:pPr>
            <w:r>
              <w:rPr>
                <w:rFonts w:hint="eastAsia" w:ascii="宋体" w:hAnsi="宋体" w:cs="宋体"/>
                <w:sz w:val="24"/>
              </w:rPr>
              <w:t>关于违约</w:t>
            </w:r>
          </w:p>
        </w:tc>
        <w:tc>
          <w:tcPr>
            <w:tcW w:w="6433" w:type="dxa"/>
            <w:vAlign w:val="center"/>
          </w:tcPr>
          <w:p w14:paraId="23597EFD">
            <w:pPr>
              <w:pStyle w:val="9"/>
              <w:spacing w:line="240" w:lineRule="auto"/>
              <w:rPr>
                <w:rFonts w:hint="eastAsia" w:ascii="宋体" w:hAnsi="宋体" w:cs="宋体"/>
              </w:rPr>
            </w:pPr>
            <w:r>
              <w:rPr>
                <w:rFonts w:hint="eastAsia" w:ascii="宋体" w:hAnsi="宋体" w:cs="宋体"/>
                <w:b w:val="0"/>
                <w:bCs w:val="0"/>
              </w:rPr>
              <w:t>1.1 中标方所交付产品不符合其投标承诺的或在投标阶段为了中标而盲目虚假承诺、低价恶性竞争，在履约阶段则通过偷工减料、以次充好而获取利润的，将扣除货款并列入黑名单，3年内不能参与我院招标采购。并上报主管部门。</w:t>
            </w:r>
          </w:p>
        </w:tc>
      </w:tr>
    </w:tbl>
    <w:p w14:paraId="54000214">
      <w:pPr>
        <w:pStyle w:val="2"/>
        <w:jc w:val="left"/>
        <w:rPr>
          <w:rFonts w:hint="eastAsia" w:eastAsia="宋体" w:cs="Times New Roman" w:asciiTheme="majorEastAsia" w:hAnsiTheme="majorEastAsia"/>
          <w:b/>
          <w:bCs w:val="0"/>
          <w:kern w:val="44"/>
          <w:sz w:val="28"/>
          <w:szCs w:val="28"/>
          <w:lang w:val="en-US" w:eastAsia="zh-CN" w:bidi="ar-SA"/>
        </w:rPr>
      </w:pPr>
      <w:r>
        <w:rPr>
          <w:rFonts w:hint="eastAsia" w:eastAsia="宋体" w:cs="Times New Roman" w:asciiTheme="majorEastAsia" w:hAnsiTheme="majorEastAsia"/>
          <w:b/>
          <w:bCs w:val="0"/>
          <w:kern w:val="44"/>
          <w:sz w:val="28"/>
          <w:szCs w:val="28"/>
          <w:lang w:val="en-US" w:eastAsia="zh-CN" w:bidi="ar-SA"/>
        </w:rPr>
        <w:t>五、评审标准</w:t>
      </w:r>
    </w:p>
    <w:tbl>
      <w:tblPr>
        <w:tblStyle w:val="18"/>
        <w:tblW w:w="0" w:type="auto"/>
        <w:jc w:val="center"/>
        <w:tblCellSpacing w:w="0" w:type="dxa"/>
        <w:tblLayout w:type="fixed"/>
        <w:tblCellMar>
          <w:top w:w="45" w:type="dxa"/>
          <w:left w:w="45" w:type="dxa"/>
          <w:bottom w:w="45" w:type="dxa"/>
          <w:right w:w="45" w:type="dxa"/>
        </w:tblCellMar>
      </w:tblPr>
      <w:tblGrid>
        <w:gridCol w:w="9072"/>
      </w:tblGrid>
      <w:tr w14:paraId="6F817C4F">
        <w:tblPrEx>
          <w:tblCellMar>
            <w:top w:w="45" w:type="dxa"/>
            <w:left w:w="45" w:type="dxa"/>
            <w:bottom w:w="45" w:type="dxa"/>
            <w:right w:w="45" w:type="dxa"/>
          </w:tblCellMar>
        </w:tblPrEx>
        <w:trPr>
          <w:trHeight w:val="98" w:hRule="atLeast"/>
          <w:tblCellSpacing w:w="0" w:type="dxa"/>
          <w:jc w:val="center"/>
        </w:trPr>
        <w:tc>
          <w:tcPr>
            <w:tcW w:w="9072" w:type="dxa"/>
            <w:tcBorders>
              <w:top w:val="nil"/>
              <w:left w:val="nil"/>
              <w:bottom w:val="nil"/>
              <w:right w:val="nil"/>
            </w:tcBorders>
            <w:noWrap w:val="0"/>
            <w:vAlign w:val="center"/>
          </w:tcPr>
          <w:p w14:paraId="6F35B179">
            <w:pPr>
              <w:pStyle w:val="16"/>
              <w:keepNext w:val="0"/>
              <w:keepLines w:val="0"/>
              <w:pageBreakBefore w:val="0"/>
              <w:widowControl w:val="0"/>
              <w:kinsoku/>
              <w:wordWrap/>
              <w:overflowPunct/>
              <w:topLinePunct w:val="0"/>
              <w:autoSpaceDE/>
              <w:autoSpaceDN/>
              <w:bidi w:val="0"/>
              <w:adjustRightInd/>
              <w:snapToGrid/>
              <w:spacing w:line="240" w:lineRule="exact"/>
              <w:ind w:left="0" w:firstLine="0" w:firstLineChars="0"/>
              <w:textAlignment w:val="auto"/>
              <w:rPr>
                <w:rFonts w:hint="eastAsia" w:ascii="宋体" w:hAnsi="宋体" w:eastAsia="宋体" w:cs="宋体"/>
                <w:sz w:val="21"/>
                <w:szCs w:val="21"/>
              </w:rPr>
            </w:pPr>
          </w:p>
          <w:tbl>
            <w:tblPr>
              <w:tblStyle w:val="18"/>
              <w:tblpPr w:leftFromText="180" w:rightFromText="180" w:vertAnchor="text" w:horzAnchor="page" w:tblpX="-91" w:tblpY="455"/>
              <w:tblOverlap w:val="never"/>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0"/>
              <w:gridCol w:w="683"/>
              <w:gridCol w:w="9"/>
              <w:gridCol w:w="2"/>
              <w:gridCol w:w="2738"/>
              <w:gridCol w:w="11"/>
              <w:gridCol w:w="1285"/>
              <w:gridCol w:w="3560"/>
            </w:tblGrid>
            <w:tr w14:paraId="73F40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A80DCF2">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5C7E7431">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8E4D529">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14:paraId="56526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3CDCD589">
                  <w:pPr>
                    <w:snapToGrid w:val="0"/>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w:t>
                  </w:r>
                </w:p>
              </w:tc>
              <w:tc>
                <w:tcPr>
                  <w:tcW w:w="2638" w:type="pct"/>
                  <w:gridSpan w:val="6"/>
                  <w:tcBorders>
                    <w:top w:val="single" w:color="000000" w:sz="8" w:space="0"/>
                    <w:left w:val="single" w:color="000000" w:sz="8" w:space="0"/>
                    <w:bottom w:val="single" w:color="000000" w:sz="8" w:space="0"/>
                    <w:right w:val="single" w:color="000000" w:sz="8" w:space="0"/>
                  </w:tcBorders>
                  <w:noWrap w:val="0"/>
                  <w:vAlign w:val="center"/>
                </w:tcPr>
                <w:p w14:paraId="0EA8578B">
                  <w:pPr>
                    <w:snapToGrid w:val="0"/>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价格</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488E5434">
                  <w:pPr>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30</w:t>
                  </w:r>
                </w:p>
              </w:tc>
            </w:tr>
            <w:tr w14:paraId="0E523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0838E6C6">
                  <w:pPr>
                    <w:snapToGrid w:val="0"/>
                    <w:spacing w:line="360" w:lineRule="auto"/>
                    <w:jc w:val="center"/>
                    <w:rPr>
                      <w:rFonts w:hint="eastAsia" w:ascii="宋体" w:hAnsi="宋体" w:eastAsia="宋体" w:cs="宋体"/>
                      <w:b/>
                      <w:bCs/>
                      <w:color w:val="000000"/>
                      <w:sz w:val="21"/>
                      <w:szCs w:val="21"/>
                      <w:highlight w:val="none"/>
                    </w:rPr>
                  </w:pPr>
                </w:p>
              </w:tc>
              <w:tc>
                <w:tcPr>
                  <w:tcW w:w="4626" w:type="pct"/>
                  <w:gridSpan w:val="7"/>
                  <w:tcBorders>
                    <w:top w:val="single" w:color="000000" w:sz="8" w:space="0"/>
                    <w:left w:val="single" w:color="000000" w:sz="8" w:space="0"/>
                    <w:bottom w:val="single" w:color="000000" w:sz="8" w:space="0"/>
                    <w:right w:val="single" w:color="000000" w:sz="8" w:space="0"/>
                  </w:tcBorders>
                  <w:noWrap w:val="0"/>
                  <w:vAlign w:val="center"/>
                </w:tcPr>
                <w:p w14:paraId="2CE4D9D5">
                  <w:pPr>
                    <w:pStyle w:val="1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采用低价优先法计算，即满足招标文件要求且投标价格最低的投标报价为评标基准价，其价格分为满分。其他投标人的价格分统一按照下列公式计算：</w:t>
                  </w:r>
                </w:p>
                <w:p w14:paraId="41937E6A">
                  <w:pPr>
                    <w:jc w:val="left"/>
                    <w:rPr>
                      <w:rFonts w:hint="eastAsia" w:ascii="宋体" w:hAnsi="宋体" w:eastAsia="宋体" w:cs="宋体"/>
                      <w:sz w:val="21"/>
                      <w:szCs w:val="21"/>
                      <w:lang w:val="en-US" w:eastAsia="zh-CN"/>
                    </w:rPr>
                  </w:pPr>
                  <w:r>
                    <w:rPr>
                      <w:rFonts w:hint="eastAsia" w:ascii="宋体" w:hAnsi="宋体" w:eastAsia="宋体" w:cs="宋体"/>
                      <w:sz w:val="21"/>
                      <w:szCs w:val="21"/>
                    </w:rPr>
                    <w:t>投标报价得分=(评标基准价／投标报价)×</w:t>
                  </w:r>
                  <w:r>
                    <w:rPr>
                      <w:rFonts w:hint="eastAsia" w:ascii="宋体" w:hAnsi="宋体" w:eastAsia="宋体" w:cs="宋体"/>
                      <w:sz w:val="21"/>
                      <w:szCs w:val="21"/>
                      <w:lang w:eastAsia="zh-CN"/>
                    </w:rPr>
                    <w:t>价格权重</w:t>
                  </w:r>
                </w:p>
              </w:tc>
            </w:tr>
            <w:tr w14:paraId="0B3B0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4" w:hRule="atLeast"/>
              </w:trPr>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2488D6CD">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2</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9617B18">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技术部分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44496E42">
                  <w:pPr>
                    <w:snapToGrid w:val="0"/>
                    <w:spacing w:line="360" w:lineRule="auto"/>
                    <w:jc w:val="center"/>
                    <w:rPr>
                      <w:rFonts w:hint="default" w:ascii="宋体" w:hAnsi="宋体" w:eastAsia="宋体" w:cs="宋体"/>
                      <w:color w:val="000000"/>
                      <w:sz w:val="21"/>
                      <w:szCs w:val="21"/>
                      <w:highlight w:val="none"/>
                      <w:lang w:val="en-US"/>
                    </w:rPr>
                  </w:pPr>
                  <w:r>
                    <w:rPr>
                      <w:rFonts w:hint="eastAsia" w:ascii="宋体" w:hAnsi="宋体" w:cs="宋体"/>
                      <w:b/>
                      <w:bCs/>
                      <w:color w:val="FF0000"/>
                      <w:sz w:val="21"/>
                      <w:szCs w:val="21"/>
                      <w:highlight w:val="none"/>
                      <w:lang w:val="en-US" w:eastAsia="zh-CN"/>
                    </w:rPr>
                    <w:t>26</w:t>
                  </w:r>
                </w:p>
              </w:tc>
            </w:tr>
            <w:tr w14:paraId="13AC7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2"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16B21A58">
                  <w:pPr>
                    <w:snapToGrid w:val="0"/>
                    <w:spacing w:line="360" w:lineRule="auto"/>
                    <w:jc w:val="center"/>
                    <w:rPr>
                      <w:rFonts w:hint="eastAsia" w:ascii="宋体" w:hAnsi="宋体" w:eastAsia="宋体" w:cs="宋体"/>
                      <w:b/>
                      <w:bCs/>
                      <w:color w:val="0000FF"/>
                      <w:sz w:val="21"/>
                      <w:szCs w:val="21"/>
                      <w:highlight w:val="none"/>
                      <w:lang w:val="en-US" w:eastAsia="zh-CN"/>
                    </w:rPr>
                  </w:pPr>
                </w:p>
              </w:tc>
              <w:tc>
                <w:tcPr>
                  <w:tcW w:w="381" w:type="pct"/>
                  <w:tcBorders>
                    <w:top w:val="single" w:color="000000" w:sz="8" w:space="0"/>
                    <w:left w:val="single" w:color="000000" w:sz="8" w:space="0"/>
                    <w:bottom w:val="single" w:color="000000" w:sz="8" w:space="0"/>
                    <w:right w:val="single" w:color="000000" w:sz="8" w:space="0"/>
                  </w:tcBorders>
                  <w:noWrap w:val="0"/>
                  <w:vAlign w:val="center"/>
                </w:tcPr>
                <w:p w14:paraId="42EA6B50">
                  <w:pPr>
                    <w:snapToGrid w:val="0"/>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color w:val="000000"/>
                      <w:sz w:val="21"/>
                      <w:szCs w:val="21"/>
                      <w:highlight w:val="none"/>
                      <w:lang w:val="en-US" w:eastAsia="zh-CN"/>
                    </w:rPr>
                    <w:t>序号</w:t>
                  </w:r>
                </w:p>
              </w:tc>
              <w:tc>
                <w:tcPr>
                  <w:tcW w:w="1534" w:type="pct"/>
                  <w:gridSpan w:val="3"/>
                  <w:tcBorders>
                    <w:top w:val="single" w:color="000000" w:sz="8" w:space="0"/>
                    <w:left w:val="single" w:color="000000" w:sz="8" w:space="0"/>
                    <w:bottom w:val="single" w:color="000000" w:sz="8" w:space="0"/>
                    <w:right w:val="single" w:color="000000" w:sz="8" w:space="0"/>
                  </w:tcBorders>
                  <w:noWrap w:val="0"/>
                  <w:vAlign w:val="center"/>
                </w:tcPr>
                <w:p w14:paraId="3CA1733A">
                  <w:pPr>
                    <w:snapToGrid w:val="0"/>
                    <w:spacing w:line="36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评分因素</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1F4D1BC3">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权重</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F034B02">
                  <w:pPr>
                    <w:numPr>
                      <w:ilvl w:val="0"/>
                      <w:numId w:val="0"/>
                    </w:numPr>
                    <w:snapToGrid w:val="0"/>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评分准则</w:t>
                  </w:r>
                </w:p>
              </w:tc>
            </w:tr>
            <w:tr w14:paraId="625C9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72"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4D26C5D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6" w:type="pct"/>
                  <w:gridSpan w:val="2"/>
                  <w:tcBorders>
                    <w:top w:val="single" w:color="000000" w:sz="8" w:space="0"/>
                    <w:left w:val="single" w:color="000000" w:sz="8" w:space="0"/>
                    <w:bottom w:val="single" w:color="000000" w:sz="8" w:space="0"/>
                    <w:right w:val="single" w:color="000000" w:sz="8" w:space="0"/>
                  </w:tcBorders>
                  <w:noWrap w:val="0"/>
                  <w:vAlign w:val="center"/>
                </w:tcPr>
                <w:p w14:paraId="06E9D46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1529" w:type="pct"/>
                  <w:gridSpan w:val="2"/>
                  <w:tcBorders>
                    <w:top w:val="single" w:color="000000" w:sz="8" w:space="0"/>
                    <w:left w:val="single" w:color="000000" w:sz="8" w:space="0"/>
                    <w:bottom w:val="single" w:color="000000" w:sz="8" w:space="0"/>
                    <w:right w:val="single" w:color="000000" w:sz="8" w:space="0"/>
                  </w:tcBorders>
                  <w:noWrap w:val="0"/>
                  <w:vAlign w:val="center"/>
                </w:tcPr>
                <w:p w14:paraId="5C6AE6C4">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宋体" w:hAnsi="宋体" w:eastAsia="宋体" w:cs="宋体"/>
                      <w:color w:val="000000"/>
                      <w:sz w:val="21"/>
                      <w:szCs w:val="21"/>
                      <w:highlight w:val="none"/>
                      <w:lang w:eastAsia="zh-CN"/>
                    </w:rPr>
                  </w:pPr>
                  <w:r>
                    <w:rPr>
                      <w:rFonts w:hint="eastAsia"/>
                      <w:color w:val="auto"/>
                      <w:szCs w:val="21"/>
                    </w:rPr>
                    <w:t>项目服务方案</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43AA6EA3">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3</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194BB2C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b/>
                      <w:color w:val="auto"/>
                      <w:szCs w:val="21"/>
                      <w:u w:val="none"/>
                      <w:lang w:val="en-US" w:eastAsia="zh-CN"/>
                    </w:rPr>
                  </w:pPr>
                  <w:r>
                    <w:rPr>
                      <w:rFonts w:hint="eastAsia" w:ascii="宋体" w:hAnsi="宋体"/>
                      <w:b/>
                      <w:color w:val="auto"/>
                      <w:szCs w:val="21"/>
                      <w:u w:val="none"/>
                      <w:lang w:val="en-US" w:eastAsia="zh-CN"/>
                    </w:rPr>
                    <w:t>一、</w:t>
                  </w:r>
                  <w:r>
                    <w:rPr>
                      <w:rFonts w:hint="eastAsia" w:ascii="宋体" w:hAnsi="宋体"/>
                      <w:b/>
                      <w:color w:val="auto"/>
                      <w:szCs w:val="21"/>
                      <w:u w:val="none"/>
                    </w:rPr>
                    <w:t>评分</w:t>
                  </w:r>
                  <w:r>
                    <w:rPr>
                      <w:rFonts w:hint="eastAsia" w:ascii="宋体" w:hAnsi="宋体"/>
                      <w:b/>
                      <w:color w:val="auto"/>
                      <w:szCs w:val="21"/>
                      <w:u w:val="none"/>
                      <w:lang w:val="en-US" w:eastAsia="zh-CN"/>
                    </w:rPr>
                    <w:t>内容：</w:t>
                  </w:r>
                </w:p>
                <w:p w14:paraId="5B04EE9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val="0"/>
                      <w:bCs/>
                      <w:color w:val="auto"/>
                      <w:szCs w:val="21"/>
                      <w:u w:val="none"/>
                      <w:lang w:val="en-US" w:eastAsia="zh-CN"/>
                    </w:rPr>
                  </w:pPr>
                  <w:r>
                    <w:rPr>
                      <w:rFonts w:hint="eastAsia" w:ascii="宋体" w:hAnsi="宋体"/>
                      <w:b/>
                      <w:color w:val="auto"/>
                      <w:szCs w:val="21"/>
                      <w:u w:val="none"/>
                      <w:lang w:val="en-US" w:eastAsia="zh-CN"/>
                    </w:rPr>
                    <w:t>1.服务范围：</w:t>
                  </w:r>
                  <w:r>
                    <w:rPr>
                      <w:rFonts w:hint="eastAsia" w:ascii="宋体" w:hAnsi="宋体"/>
                      <w:b w:val="0"/>
                      <w:bCs/>
                      <w:color w:val="auto"/>
                      <w:szCs w:val="21"/>
                      <w:u w:val="none"/>
                      <w:lang w:val="en-US" w:eastAsia="zh-CN"/>
                    </w:rPr>
                    <w:t>服务团队为采购人提供中标供应商承建的所有系统和系统所含附属功能和需求等方面的服务，主要包括区域医学影像信息平台、区域心电和病理接口。</w:t>
                  </w:r>
                </w:p>
                <w:p w14:paraId="725EC3A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color w:val="auto"/>
                      <w:szCs w:val="21"/>
                      <w:u w:val="none"/>
                      <w:lang w:val="en-US" w:eastAsia="zh-CN"/>
                    </w:rPr>
                  </w:pPr>
                  <w:r>
                    <w:rPr>
                      <w:rFonts w:hint="eastAsia" w:ascii="宋体" w:hAnsi="宋体"/>
                      <w:b/>
                      <w:color w:val="auto"/>
                      <w:szCs w:val="21"/>
                      <w:u w:val="none"/>
                      <w:lang w:val="en-US" w:eastAsia="zh-CN"/>
                    </w:rPr>
                    <w:t>2.服务内容：</w:t>
                  </w:r>
                  <w:r>
                    <w:rPr>
                      <w:rFonts w:hint="eastAsia" w:ascii="宋体" w:hAnsi="宋体"/>
                      <w:b w:val="0"/>
                      <w:bCs/>
                      <w:color w:val="auto"/>
                      <w:szCs w:val="21"/>
                      <w:u w:val="none"/>
                      <w:lang w:val="en-US" w:eastAsia="zh-CN"/>
                    </w:rPr>
                    <w:t>服务团队为采购人提供包括问题处理、性能优化、操作培训、数据查询、定期巡检等操作系统相关服务内容。</w:t>
                  </w:r>
                </w:p>
                <w:p w14:paraId="5F5E601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val="0"/>
                      <w:bCs/>
                      <w:color w:val="auto"/>
                      <w:szCs w:val="21"/>
                      <w:u w:val="none"/>
                      <w:lang w:val="en-US" w:eastAsia="zh-CN"/>
                    </w:rPr>
                  </w:pPr>
                  <w:r>
                    <w:rPr>
                      <w:rFonts w:hint="eastAsia" w:ascii="宋体" w:hAnsi="宋体"/>
                      <w:b/>
                      <w:color w:val="auto"/>
                      <w:szCs w:val="21"/>
                      <w:u w:val="none"/>
                      <w:lang w:val="en-US" w:eastAsia="zh-CN"/>
                    </w:rPr>
                    <w:t>3.运维承诺：</w:t>
                  </w:r>
                  <w:r>
                    <w:rPr>
                      <w:rFonts w:hint="eastAsia" w:ascii="宋体" w:hAnsi="宋体"/>
                      <w:b w:val="0"/>
                      <w:bCs/>
                      <w:color w:val="auto"/>
                      <w:szCs w:val="21"/>
                      <w:u w:val="none"/>
                      <w:lang w:val="en-US" w:eastAsia="zh-CN"/>
                    </w:rPr>
                    <w:t>服务团队在运维阶段提供对采购人的相关承诺，包括对服务质量的承诺、对响应时间的承诺、对故障处理时间的承诺等，确保服务团队能够在项目执行过程中按承诺履行运维任务。</w:t>
                  </w:r>
                </w:p>
                <w:p w14:paraId="77DA8AF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二</w:t>
                  </w:r>
                  <w:r>
                    <w:rPr>
                      <w:rFonts w:hint="eastAsia" w:ascii="宋体" w:hAnsi="宋体"/>
                      <w:b/>
                      <w:color w:val="auto"/>
                      <w:szCs w:val="21"/>
                      <w:u w:val="none"/>
                      <w:lang w:eastAsia="zh-CN"/>
                    </w:rPr>
                    <w:t>、</w:t>
                  </w:r>
                  <w:r>
                    <w:rPr>
                      <w:rFonts w:hint="eastAsia" w:ascii="宋体" w:hAnsi="宋体"/>
                      <w:b/>
                      <w:color w:val="auto"/>
                      <w:szCs w:val="21"/>
                      <w:u w:val="none"/>
                    </w:rPr>
                    <w:t>评分</w:t>
                  </w:r>
                  <w:r>
                    <w:rPr>
                      <w:rFonts w:hint="eastAsia" w:ascii="宋体" w:hAnsi="宋体"/>
                      <w:b/>
                      <w:color w:val="auto"/>
                      <w:szCs w:val="21"/>
                      <w:u w:val="none"/>
                      <w:lang w:val="en-US" w:eastAsia="zh-CN"/>
                    </w:rPr>
                    <w:t>依据</w:t>
                  </w:r>
                </w:p>
                <w:p w14:paraId="477BA04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color w:val="auto"/>
                      <w:szCs w:val="21"/>
                      <w:u w:val="none"/>
                      <w:lang w:val="en-US" w:eastAsia="zh-CN"/>
                    </w:rPr>
                  </w:pPr>
                  <w:r>
                    <w:rPr>
                      <w:rFonts w:hint="eastAsia" w:ascii="宋体" w:hAnsi="宋体"/>
                      <w:b/>
                      <w:color w:val="auto"/>
                      <w:szCs w:val="21"/>
                      <w:u w:val="none"/>
                      <w:lang w:val="en-US" w:eastAsia="zh-CN"/>
                    </w:rPr>
                    <w:t>每提供1项内容得2.5分，满分7.5分，在此基础上：</w:t>
                  </w:r>
                </w:p>
                <w:p w14:paraId="50918FDD">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非常符合要求、超出项目期望为优，</w:t>
                  </w:r>
                  <w:r>
                    <w:rPr>
                      <w:rFonts w:hint="eastAsia" w:ascii="宋体" w:hAnsi="宋体"/>
                      <w:color w:val="auto"/>
                      <w:szCs w:val="21"/>
                      <w:u w:val="none"/>
                    </w:rPr>
                    <w:t>得</w:t>
                  </w:r>
                  <w:r>
                    <w:rPr>
                      <w:rFonts w:hint="eastAsia" w:ascii="宋体" w:hAnsi="宋体" w:cs="宋体"/>
                      <w:color w:val="auto"/>
                      <w:kern w:val="0"/>
                      <w:szCs w:val="21"/>
                      <w:u w:val="none"/>
                      <w:lang w:val="en-US" w:eastAsia="zh-CN"/>
                    </w:rPr>
                    <w:t>5.5</w:t>
                  </w:r>
                  <w:r>
                    <w:rPr>
                      <w:rFonts w:hint="eastAsia" w:ascii="宋体" w:hAnsi="宋体"/>
                      <w:color w:val="auto"/>
                      <w:szCs w:val="21"/>
                      <w:u w:val="none"/>
                    </w:rPr>
                    <w:t>分；</w:t>
                  </w:r>
                </w:p>
                <w:p w14:paraId="19FDFEF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符合现场所需的所有要求为良，</w:t>
                  </w:r>
                  <w:r>
                    <w:rPr>
                      <w:rFonts w:hint="eastAsia" w:ascii="宋体" w:hAnsi="宋体"/>
                      <w:color w:val="auto"/>
                      <w:szCs w:val="21"/>
                      <w:u w:val="none"/>
                    </w:rPr>
                    <w:t>得</w:t>
                  </w:r>
                  <w:r>
                    <w:rPr>
                      <w:rFonts w:hint="eastAsia" w:ascii="宋体" w:hAnsi="宋体"/>
                      <w:color w:val="auto"/>
                      <w:szCs w:val="21"/>
                      <w:u w:val="none"/>
                      <w:lang w:val="en-US" w:eastAsia="zh-CN"/>
                    </w:rPr>
                    <w:t>3</w:t>
                  </w:r>
                  <w:r>
                    <w:rPr>
                      <w:rFonts w:hint="eastAsia" w:ascii="宋体" w:hAnsi="宋体"/>
                      <w:color w:val="auto"/>
                      <w:szCs w:val="21"/>
                      <w:u w:val="none"/>
                    </w:rPr>
                    <w:t>分；</w:t>
                  </w:r>
                </w:p>
                <w:p w14:paraId="77388819">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符合基本要求、细节不够全面为中，</w:t>
                  </w:r>
                  <w:r>
                    <w:rPr>
                      <w:rFonts w:hint="eastAsia" w:ascii="宋体" w:hAnsi="宋体"/>
                      <w:color w:val="auto"/>
                      <w:szCs w:val="21"/>
                      <w:u w:val="none"/>
                    </w:rPr>
                    <w:t>得</w:t>
                  </w:r>
                  <w:r>
                    <w:rPr>
                      <w:rFonts w:hint="eastAsia" w:ascii="宋体" w:hAnsi="宋体"/>
                      <w:color w:val="auto"/>
                      <w:szCs w:val="21"/>
                      <w:u w:val="none"/>
                      <w:lang w:val="en-US" w:eastAsia="zh-CN"/>
                    </w:rPr>
                    <w:t>1</w:t>
                  </w:r>
                  <w:r>
                    <w:rPr>
                      <w:rFonts w:hint="eastAsia" w:ascii="宋体" w:hAnsi="宋体"/>
                      <w:color w:val="auto"/>
                      <w:szCs w:val="21"/>
                      <w:u w:val="none"/>
                    </w:rPr>
                    <w:t>分；</w:t>
                  </w:r>
                </w:p>
                <w:p w14:paraId="3AFAE7E9">
                  <w:pPr>
                    <w:adjustRightInd w:val="0"/>
                    <w:snapToGrid w:val="0"/>
                    <w:jc w:val="left"/>
                    <w:rPr>
                      <w:rFonts w:hint="eastAsia" w:ascii="宋体" w:hAnsi="宋体" w:eastAsia="宋体" w:cs="宋体"/>
                      <w:sz w:val="21"/>
                      <w:szCs w:val="21"/>
                      <w:highlight w:val="none"/>
                      <w:lang w:val="en-US" w:eastAsia="zh-CN"/>
                    </w:rPr>
                  </w:pPr>
                  <w:r>
                    <w:rPr>
                      <w:rFonts w:hint="eastAsia" w:ascii="宋体" w:hAnsi="宋体"/>
                      <w:color w:val="auto"/>
                      <w:szCs w:val="21"/>
                      <w:u w:val="none"/>
                      <w:lang w:val="en-US" w:eastAsia="zh-CN"/>
                    </w:rPr>
                    <w:t>无法完全满足要求为差，得0分。</w:t>
                  </w:r>
                </w:p>
              </w:tc>
            </w:tr>
            <w:tr w14:paraId="1E234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5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62A26D1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6" w:type="pct"/>
                  <w:gridSpan w:val="2"/>
                  <w:tcBorders>
                    <w:top w:val="single" w:color="000000" w:sz="8" w:space="0"/>
                    <w:left w:val="single" w:color="000000" w:sz="8" w:space="0"/>
                    <w:bottom w:val="single" w:color="000000" w:sz="8" w:space="0"/>
                    <w:right w:val="single" w:color="000000" w:sz="8" w:space="0"/>
                  </w:tcBorders>
                  <w:noWrap w:val="0"/>
                  <w:vAlign w:val="center"/>
                </w:tcPr>
                <w:p w14:paraId="4C300E7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529" w:type="pct"/>
                  <w:gridSpan w:val="2"/>
                  <w:tcBorders>
                    <w:top w:val="single" w:color="000000" w:sz="8" w:space="0"/>
                    <w:left w:val="single" w:color="000000" w:sz="8" w:space="0"/>
                    <w:bottom w:val="single" w:color="000000" w:sz="8" w:space="0"/>
                    <w:right w:val="single" w:color="000000" w:sz="8" w:space="0"/>
                  </w:tcBorders>
                  <w:noWrap w:val="0"/>
                  <w:vAlign w:val="center"/>
                </w:tcPr>
                <w:p w14:paraId="2B124A2A">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olor w:val="auto"/>
                      <w:szCs w:val="21"/>
                    </w:rPr>
                    <w:t>质量保障措施</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5BDC5DDC">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26CD9F6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rPr>
                  </w:pPr>
                  <w:r>
                    <w:rPr>
                      <w:rFonts w:hint="eastAsia" w:ascii="宋体" w:hAnsi="宋体"/>
                      <w:b/>
                      <w:color w:val="auto"/>
                      <w:szCs w:val="21"/>
                      <w:u w:val="none"/>
                      <w:lang w:val="en-US" w:eastAsia="zh-CN"/>
                    </w:rPr>
                    <w:t>一、</w:t>
                  </w:r>
                  <w:r>
                    <w:rPr>
                      <w:rFonts w:hint="eastAsia" w:ascii="宋体" w:hAnsi="宋体"/>
                      <w:b/>
                      <w:bCs w:val="0"/>
                      <w:color w:val="auto"/>
                      <w:szCs w:val="21"/>
                      <w:u w:val="none"/>
                    </w:rPr>
                    <w:t>评分</w:t>
                  </w:r>
                  <w:r>
                    <w:rPr>
                      <w:rFonts w:hint="eastAsia" w:ascii="宋体" w:hAnsi="宋体"/>
                      <w:b/>
                      <w:bCs w:val="0"/>
                      <w:color w:val="auto"/>
                      <w:szCs w:val="21"/>
                      <w:u w:val="none"/>
                      <w:lang w:val="en-US" w:eastAsia="zh-CN"/>
                    </w:rPr>
                    <w:t>内容：</w:t>
                  </w:r>
                </w:p>
                <w:p w14:paraId="0CAC066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1.总体质量控制：</w:t>
                  </w:r>
                  <w:r>
                    <w:rPr>
                      <w:rFonts w:hint="eastAsia" w:ascii="宋体" w:hAnsi="宋体"/>
                      <w:b w:val="0"/>
                      <w:bCs/>
                      <w:color w:val="auto"/>
                      <w:szCs w:val="21"/>
                      <w:u w:val="none"/>
                      <w:lang w:val="en-US" w:eastAsia="zh-CN"/>
                    </w:rPr>
                    <w:t>评估质量控制方案是否全面，是否能够覆盖各种情况发生，确保服务期间对于问题处理、需求开发等每一部分都有严格的质量控制措施。</w:t>
                  </w:r>
                </w:p>
                <w:p w14:paraId="735A9AD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val="0"/>
                      <w:bCs/>
                      <w:color w:val="auto"/>
                      <w:szCs w:val="21"/>
                      <w:u w:val="none"/>
                      <w:lang w:val="en-US" w:eastAsia="zh-CN"/>
                    </w:rPr>
                  </w:pPr>
                  <w:r>
                    <w:rPr>
                      <w:rFonts w:hint="eastAsia" w:ascii="宋体" w:hAnsi="宋体"/>
                      <w:b/>
                      <w:color w:val="auto"/>
                      <w:szCs w:val="21"/>
                      <w:u w:val="none"/>
                      <w:lang w:val="en-US" w:eastAsia="zh-CN"/>
                    </w:rPr>
                    <w:t>2.项目进度控制：</w:t>
                  </w:r>
                  <w:r>
                    <w:rPr>
                      <w:rFonts w:hint="eastAsia" w:ascii="宋体" w:hAnsi="宋体"/>
                      <w:b w:val="0"/>
                      <w:bCs/>
                      <w:color w:val="auto"/>
                      <w:szCs w:val="21"/>
                      <w:u w:val="none"/>
                      <w:lang w:val="en-US" w:eastAsia="zh-CN"/>
                    </w:rPr>
                    <w:t>评估项目进度控制措施是否清晰，是否合理分配资源、明确关键节点，并能及时调整进度以确保规划内容按时完成。</w:t>
                  </w:r>
                </w:p>
                <w:p w14:paraId="4AD23DE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val="0"/>
                      <w:bCs/>
                      <w:color w:val="auto"/>
                      <w:szCs w:val="21"/>
                      <w:u w:val="none"/>
                      <w:lang w:val="en-US" w:eastAsia="zh-CN"/>
                    </w:rPr>
                  </w:pPr>
                  <w:r>
                    <w:rPr>
                      <w:rFonts w:hint="eastAsia" w:ascii="宋体" w:hAnsi="宋体"/>
                      <w:b/>
                      <w:color w:val="auto"/>
                      <w:szCs w:val="21"/>
                      <w:u w:val="none"/>
                      <w:lang w:val="en-US" w:eastAsia="zh-CN"/>
                    </w:rPr>
                    <w:t>3.服务过程中质量管理方案：</w:t>
                  </w:r>
                  <w:r>
                    <w:rPr>
                      <w:rFonts w:hint="eastAsia" w:ascii="宋体" w:hAnsi="宋体"/>
                      <w:b w:val="0"/>
                      <w:bCs/>
                      <w:color w:val="auto"/>
                      <w:szCs w:val="21"/>
                      <w:u w:val="none"/>
                      <w:lang w:val="en-US" w:eastAsia="zh-CN"/>
                    </w:rPr>
                    <w:t>评估服务过程中质量管理的方案是否详细，包括质量检查、验收、反馈和改进等环节的具体安排。</w:t>
                  </w:r>
                </w:p>
                <w:p w14:paraId="5FF897D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4.服务过程中质量管理制度：</w:t>
                  </w:r>
                  <w:r>
                    <w:rPr>
                      <w:rFonts w:hint="eastAsia" w:ascii="宋体" w:hAnsi="宋体"/>
                      <w:b w:val="0"/>
                      <w:bCs/>
                      <w:color w:val="auto"/>
                      <w:szCs w:val="21"/>
                      <w:u w:val="none"/>
                      <w:lang w:val="en-US" w:eastAsia="zh-CN"/>
                    </w:rPr>
                    <w:t>评估服务过程中质量管理制度的健全性，是否包含质量标准、检验方法、责任分配等方面的内容，以保证服务质量持续达标。</w:t>
                  </w:r>
                </w:p>
                <w:p w14:paraId="410AD44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二</w:t>
                  </w:r>
                  <w:r>
                    <w:rPr>
                      <w:rFonts w:hint="eastAsia" w:ascii="宋体" w:hAnsi="宋体"/>
                      <w:b/>
                      <w:color w:val="auto"/>
                      <w:szCs w:val="21"/>
                      <w:u w:val="none"/>
                      <w:lang w:eastAsia="zh-CN"/>
                    </w:rPr>
                    <w:t>、</w:t>
                  </w:r>
                  <w:r>
                    <w:rPr>
                      <w:rFonts w:hint="eastAsia" w:ascii="宋体" w:hAnsi="宋体"/>
                      <w:b/>
                      <w:color w:val="auto"/>
                      <w:szCs w:val="21"/>
                      <w:u w:val="none"/>
                    </w:rPr>
                    <w:t>评分</w:t>
                  </w:r>
                  <w:r>
                    <w:rPr>
                      <w:rFonts w:hint="eastAsia" w:ascii="宋体" w:hAnsi="宋体"/>
                      <w:b/>
                      <w:color w:val="auto"/>
                      <w:szCs w:val="21"/>
                      <w:u w:val="none"/>
                      <w:lang w:val="en-US" w:eastAsia="zh-CN"/>
                    </w:rPr>
                    <w:t>依据</w:t>
                  </w:r>
                </w:p>
                <w:p w14:paraId="6B2A838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每提供1项内容得2分，满分8分，在此基础上：</w:t>
                  </w:r>
                </w:p>
                <w:p w14:paraId="7B6D404D">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提供完整且详细的保障措施为优</w:t>
                  </w:r>
                  <w:r>
                    <w:rPr>
                      <w:rFonts w:hint="eastAsia" w:ascii="宋体" w:hAnsi="宋体"/>
                      <w:color w:val="auto"/>
                      <w:szCs w:val="21"/>
                      <w:u w:val="none"/>
                    </w:rPr>
                    <w:t>，得</w:t>
                  </w:r>
                  <w:r>
                    <w:rPr>
                      <w:rFonts w:hint="eastAsia" w:ascii="宋体" w:hAnsi="宋体"/>
                      <w:color w:val="auto"/>
                      <w:szCs w:val="21"/>
                      <w:u w:val="none"/>
                      <w:lang w:val="en-US" w:eastAsia="zh-CN"/>
                    </w:rPr>
                    <w:t>5</w:t>
                  </w:r>
                  <w:r>
                    <w:rPr>
                      <w:rFonts w:hint="eastAsia" w:ascii="宋体" w:hAnsi="宋体"/>
                      <w:color w:val="auto"/>
                      <w:szCs w:val="21"/>
                      <w:u w:val="none"/>
                    </w:rPr>
                    <w:t>分；</w:t>
                  </w:r>
                </w:p>
                <w:p w14:paraId="560AA3D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提供清晰的保障措施、但不够详细为良</w:t>
                  </w:r>
                  <w:r>
                    <w:rPr>
                      <w:rFonts w:hint="eastAsia" w:ascii="宋体" w:hAnsi="宋体"/>
                      <w:color w:val="auto"/>
                      <w:szCs w:val="21"/>
                      <w:u w:val="none"/>
                    </w:rPr>
                    <w:t>，得</w:t>
                  </w:r>
                  <w:r>
                    <w:rPr>
                      <w:rFonts w:hint="eastAsia" w:ascii="宋体" w:hAnsi="宋体"/>
                      <w:color w:val="auto"/>
                      <w:szCs w:val="21"/>
                      <w:u w:val="none"/>
                      <w:lang w:val="en-US" w:eastAsia="zh-CN"/>
                    </w:rPr>
                    <w:t>3</w:t>
                  </w:r>
                  <w:r>
                    <w:rPr>
                      <w:rFonts w:hint="eastAsia" w:ascii="宋体" w:hAnsi="宋体"/>
                      <w:color w:val="auto"/>
                      <w:szCs w:val="21"/>
                      <w:u w:val="none"/>
                    </w:rPr>
                    <w:t>分；</w:t>
                  </w:r>
                </w:p>
                <w:p w14:paraId="1D3241F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提供基础的保障措施、但内容简略为重</w:t>
                  </w:r>
                  <w:r>
                    <w:rPr>
                      <w:rFonts w:hint="eastAsia" w:ascii="宋体" w:hAnsi="宋体"/>
                      <w:color w:val="auto"/>
                      <w:szCs w:val="21"/>
                      <w:u w:val="none"/>
                    </w:rPr>
                    <w:t>，得</w:t>
                  </w:r>
                  <w:r>
                    <w:rPr>
                      <w:rFonts w:hint="eastAsia" w:ascii="宋体" w:hAnsi="宋体"/>
                      <w:color w:val="auto"/>
                      <w:szCs w:val="21"/>
                      <w:u w:val="none"/>
                      <w:lang w:val="en-US" w:eastAsia="zh-CN"/>
                    </w:rPr>
                    <w:t>1</w:t>
                  </w:r>
                  <w:r>
                    <w:rPr>
                      <w:rFonts w:hint="eastAsia" w:ascii="宋体" w:hAnsi="宋体"/>
                      <w:color w:val="auto"/>
                      <w:szCs w:val="21"/>
                      <w:u w:val="none"/>
                    </w:rPr>
                    <w:t>分；</w:t>
                  </w:r>
                </w:p>
                <w:p w14:paraId="2820A9D5">
                  <w:pPr>
                    <w:pStyle w:val="6"/>
                    <w:keepNext w:val="0"/>
                    <w:keepLines w:val="0"/>
                    <w:pageBreakBefore w:val="0"/>
                    <w:widowControl w:val="0"/>
                    <w:kinsoku/>
                    <w:wordWrap/>
                    <w:overflowPunct/>
                    <w:topLinePunct w:val="0"/>
                    <w:autoSpaceDE/>
                    <w:autoSpaceDN/>
                    <w:bidi w:val="0"/>
                    <w:adjustRightInd/>
                    <w:spacing w:line="240" w:lineRule="exact"/>
                    <w:ind w:left="0" w:leftChars="0"/>
                    <w:textAlignment w:val="auto"/>
                    <w:rPr>
                      <w:rFonts w:hint="eastAsia" w:ascii="宋体" w:hAnsi="宋体" w:eastAsia="宋体" w:cs="宋体"/>
                      <w:sz w:val="21"/>
                      <w:szCs w:val="21"/>
                      <w:lang w:eastAsia="zh-CN"/>
                    </w:rPr>
                  </w:pPr>
                  <w:r>
                    <w:rPr>
                      <w:rFonts w:hint="eastAsia" w:ascii="宋体" w:hAnsi="宋体"/>
                      <w:color w:val="auto"/>
                      <w:szCs w:val="21"/>
                      <w:u w:val="none"/>
                      <w:lang w:val="en-US" w:eastAsia="zh-CN"/>
                    </w:rPr>
                    <w:t>提供的保障措施不完整、模糊质量保障为差</w:t>
                  </w:r>
                  <w:r>
                    <w:rPr>
                      <w:rFonts w:hint="eastAsia" w:ascii="宋体" w:hAnsi="宋体"/>
                      <w:color w:val="auto"/>
                      <w:szCs w:val="21"/>
                      <w:u w:val="none"/>
                    </w:rPr>
                    <w:t>，得</w:t>
                  </w:r>
                  <w:r>
                    <w:rPr>
                      <w:rFonts w:hint="eastAsia" w:ascii="宋体" w:hAnsi="宋体"/>
                      <w:color w:val="auto"/>
                      <w:szCs w:val="21"/>
                      <w:u w:val="none"/>
                      <w:lang w:val="en-US" w:eastAsia="zh-CN"/>
                    </w:rPr>
                    <w:t>0</w:t>
                  </w:r>
                  <w:r>
                    <w:rPr>
                      <w:rFonts w:hint="eastAsia" w:ascii="宋体" w:hAnsi="宋体"/>
                      <w:color w:val="auto"/>
                      <w:szCs w:val="21"/>
                      <w:u w:val="none"/>
                    </w:rPr>
                    <w:t>分。</w:t>
                  </w:r>
                </w:p>
              </w:tc>
            </w:tr>
            <w:tr w14:paraId="4DB69A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7068690">
                  <w:pPr>
                    <w:snapToGrid w:val="0"/>
                    <w:spacing w:line="360" w:lineRule="auto"/>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738EEEA3">
                  <w:pPr>
                    <w:snapToGrid w:val="0"/>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商务部分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372875F8">
                  <w:pPr>
                    <w:snapToGrid w:val="0"/>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FF0000"/>
                      <w:sz w:val="21"/>
                      <w:szCs w:val="21"/>
                      <w:highlight w:val="none"/>
                      <w:lang w:val="en-US" w:eastAsia="zh-CN"/>
                    </w:rPr>
                    <w:t>3</w:t>
                  </w:r>
                  <w:r>
                    <w:rPr>
                      <w:rFonts w:hint="eastAsia" w:ascii="宋体" w:hAnsi="宋体" w:cs="宋体"/>
                      <w:b/>
                      <w:bCs/>
                      <w:color w:val="FF0000"/>
                      <w:sz w:val="21"/>
                      <w:szCs w:val="21"/>
                      <w:highlight w:val="none"/>
                      <w:lang w:val="en-US" w:eastAsia="zh-CN"/>
                    </w:rPr>
                    <w:t>9</w:t>
                  </w:r>
                </w:p>
              </w:tc>
            </w:tr>
            <w:tr w14:paraId="626FD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648F455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63BC13A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548BDFC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rPr>
                  </w:pPr>
                  <w:r>
                    <w:rPr>
                      <w:rFonts w:hint="eastAsia" w:ascii="宋体" w:hAnsi="宋体"/>
                      <w:color w:val="auto"/>
                      <w:szCs w:val="21"/>
                    </w:rPr>
                    <w:t>拟派本项目的服务人数、服务人员素质</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3E1A047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5600D5D5">
                  <w:pPr>
                    <w:jc w:val="left"/>
                    <w:rPr>
                      <w:rFonts w:hint="eastAsia" w:ascii="宋体" w:hAnsi="宋体"/>
                      <w:b/>
                      <w:color w:val="auto"/>
                      <w:szCs w:val="21"/>
                      <w:lang w:val="en-US" w:eastAsia="zh-CN"/>
                    </w:rPr>
                  </w:pPr>
                  <w:r>
                    <w:rPr>
                      <w:rFonts w:hint="eastAsia" w:ascii="宋体" w:hAnsi="宋体"/>
                      <w:b/>
                      <w:color w:val="auto"/>
                      <w:szCs w:val="21"/>
                      <w:lang w:val="en-US" w:eastAsia="zh-CN"/>
                    </w:rPr>
                    <w:t>在拟派人员为自有人员的基础上，按以下内容进行打分：</w:t>
                  </w:r>
                </w:p>
                <w:p w14:paraId="7013F78E">
                  <w:pPr>
                    <w:jc w:val="left"/>
                    <w:rPr>
                      <w:rFonts w:ascii="宋体" w:hAnsi="宋体"/>
                      <w:b/>
                      <w:color w:val="auto"/>
                      <w:szCs w:val="21"/>
                    </w:rPr>
                  </w:pPr>
                  <w:r>
                    <w:rPr>
                      <w:rFonts w:hint="eastAsia" w:ascii="宋体" w:hAnsi="宋体"/>
                      <w:b/>
                      <w:color w:val="auto"/>
                      <w:szCs w:val="21"/>
                    </w:rPr>
                    <w:t>1、拟派本项目负责人</w:t>
                  </w:r>
                  <w:r>
                    <w:rPr>
                      <w:rFonts w:hint="eastAsia" w:ascii="宋体" w:hAnsi="宋体"/>
                      <w:b/>
                      <w:color w:val="auto"/>
                      <w:szCs w:val="21"/>
                      <w:lang w:eastAsia="zh-CN"/>
                    </w:rPr>
                    <w:t>（</w:t>
                  </w:r>
                  <w:r>
                    <w:rPr>
                      <w:rFonts w:hint="eastAsia" w:ascii="宋体" w:hAnsi="宋体"/>
                      <w:b/>
                      <w:color w:val="auto"/>
                      <w:szCs w:val="21"/>
                      <w:lang w:val="en-US" w:eastAsia="zh-CN"/>
                    </w:rPr>
                    <w:t>1人</w:t>
                  </w:r>
                  <w:r>
                    <w:rPr>
                      <w:rFonts w:hint="eastAsia" w:ascii="宋体" w:hAnsi="宋体"/>
                      <w:b/>
                      <w:color w:val="auto"/>
                      <w:szCs w:val="21"/>
                      <w:lang w:eastAsia="zh-CN"/>
                    </w:rPr>
                    <w:t>）</w:t>
                  </w:r>
                  <w:r>
                    <w:rPr>
                      <w:rFonts w:hint="eastAsia" w:ascii="宋体" w:hAnsi="宋体"/>
                      <w:b/>
                      <w:color w:val="auto"/>
                      <w:szCs w:val="21"/>
                    </w:rPr>
                    <w:t>：</w:t>
                  </w:r>
                </w:p>
                <w:p w14:paraId="57E4EC98">
                  <w:pPr>
                    <w:jc w:val="left"/>
                    <w:rPr>
                      <w:rFonts w:ascii="宋体" w:hAnsi="宋体"/>
                      <w:color w:val="auto"/>
                      <w:szCs w:val="21"/>
                    </w:rPr>
                  </w:pPr>
                  <w:r>
                    <w:rPr>
                      <w:rFonts w:hint="eastAsia" w:ascii="宋体" w:hAnsi="宋体"/>
                      <w:color w:val="auto"/>
                      <w:szCs w:val="21"/>
                    </w:rPr>
                    <w:t>（1）具备系统集成项目管理工程师、软件设计师、信息系统项目管理师</w:t>
                  </w:r>
                  <w:r>
                    <w:rPr>
                      <w:rFonts w:hint="eastAsia" w:ascii="宋体" w:hAnsi="宋体"/>
                      <w:color w:val="auto"/>
                      <w:szCs w:val="21"/>
                      <w:lang w:val="en-US" w:eastAsia="zh-CN"/>
                    </w:rPr>
                    <w:t>、</w:t>
                  </w:r>
                  <w:r>
                    <w:rPr>
                      <w:rFonts w:hint="eastAsia" w:ascii="宋体" w:hAnsi="宋体"/>
                      <w:color w:val="auto"/>
                      <w:szCs w:val="21"/>
                    </w:rPr>
                    <w:t>数据库系统工程师资质的，</w:t>
                  </w:r>
                  <w:r>
                    <w:rPr>
                      <w:rFonts w:hint="eastAsia" w:ascii="宋体" w:hAnsi="宋体"/>
                      <w:color w:val="auto"/>
                      <w:szCs w:val="21"/>
                      <w:lang w:val="en-US" w:eastAsia="zh-CN"/>
                    </w:rPr>
                    <w:t>每提供一个证书</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color w:val="auto"/>
                      <w:szCs w:val="21"/>
                    </w:rPr>
                    <w:t>本项最高</w:t>
                  </w:r>
                  <w:r>
                    <w:rPr>
                      <w:rFonts w:hint="eastAsia" w:ascii="宋体" w:hAnsi="宋体"/>
                      <w:color w:val="auto"/>
                      <w:szCs w:val="21"/>
                      <w:lang w:val="en-US" w:eastAsia="zh-CN"/>
                    </w:rPr>
                    <w:t>得6</w:t>
                  </w:r>
                  <w:r>
                    <w:rPr>
                      <w:rFonts w:hint="eastAsia" w:ascii="宋体" w:hAnsi="宋体"/>
                      <w:color w:val="auto"/>
                      <w:szCs w:val="21"/>
                    </w:rPr>
                    <w:t>分。</w:t>
                  </w:r>
                </w:p>
                <w:p w14:paraId="48A8A334">
                  <w:pPr>
                    <w:jc w:val="left"/>
                    <w:rPr>
                      <w:rFonts w:ascii="宋体" w:hAnsi="宋体"/>
                      <w:color w:val="auto"/>
                      <w:szCs w:val="21"/>
                    </w:rPr>
                  </w:pPr>
                  <w:r>
                    <w:rPr>
                      <w:rFonts w:hint="eastAsia" w:ascii="宋体" w:hAnsi="宋体"/>
                      <w:color w:val="auto"/>
                      <w:szCs w:val="21"/>
                    </w:rPr>
                    <w:t>（2）具备本科（及以上）学历得</w:t>
                  </w:r>
                  <w:r>
                    <w:rPr>
                      <w:rFonts w:hint="eastAsia" w:ascii="宋体" w:hAnsi="宋体"/>
                      <w:color w:val="auto"/>
                      <w:szCs w:val="21"/>
                      <w:lang w:val="en-US" w:eastAsia="zh-CN"/>
                    </w:rPr>
                    <w:t>3</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color w:val="auto"/>
                      <w:szCs w:val="21"/>
                    </w:rPr>
                    <w:t>本项最高</w:t>
                  </w:r>
                  <w:r>
                    <w:rPr>
                      <w:rFonts w:hint="eastAsia" w:ascii="宋体" w:hAnsi="宋体"/>
                      <w:color w:val="auto"/>
                      <w:szCs w:val="21"/>
                      <w:lang w:val="en-US" w:eastAsia="zh-CN"/>
                    </w:rPr>
                    <w:t>得3</w:t>
                  </w:r>
                  <w:r>
                    <w:rPr>
                      <w:rFonts w:hint="eastAsia" w:ascii="宋体" w:hAnsi="宋体"/>
                      <w:color w:val="auto"/>
                      <w:szCs w:val="21"/>
                    </w:rPr>
                    <w:t>分。</w:t>
                  </w:r>
                </w:p>
                <w:p w14:paraId="46C19F53">
                  <w:pPr>
                    <w:jc w:val="left"/>
                    <w:rPr>
                      <w:rFonts w:ascii="宋体" w:hAnsi="宋体"/>
                      <w:color w:val="auto"/>
                      <w:szCs w:val="21"/>
                    </w:rPr>
                  </w:pPr>
                  <w:r>
                    <w:rPr>
                      <w:rFonts w:hint="eastAsia" w:ascii="宋体" w:hAnsi="宋体"/>
                      <w:b/>
                      <w:color w:val="auto"/>
                      <w:szCs w:val="21"/>
                    </w:rPr>
                    <w:t>2、项目团队成员</w:t>
                  </w:r>
                  <w:r>
                    <w:rPr>
                      <w:rFonts w:hint="eastAsia" w:ascii="宋体" w:hAnsi="宋体"/>
                      <w:b/>
                      <w:color w:val="auto"/>
                      <w:szCs w:val="21"/>
                      <w:lang w:eastAsia="zh-CN"/>
                    </w:rPr>
                    <w:t>（</w:t>
                  </w:r>
                  <w:r>
                    <w:rPr>
                      <w:rFonts w:hint="eastAsia" w:ascii="宋体" w:hAnsi="宋体"/>
                      <w:b/>
                      <w:color w:val="auto"/>
                      <w:szCs w:val="21"/>
                      <w:lang w:val="en-US" w:eastAsia="zh-CN"/>
                    </w:rPr>
                    <w:t>1人</w:t>
                  </w:r>
                  <w:r>
                    <w:rPr>
                      <w:rFonts w:hint="eastAsia" w:ascii="宋体" w:hAnsi="宋体"/>
                      <w:b/>
                      <w:color w:val="auto"/>
                      <w:szCs w:val="21"/>
                      <w:lang w:eastAsia="zh-CN"/>
                    </w:rPr>
                    <w:t>）</w:t>
                  </w:r>
                  <w:r>
                    <w:rPr>
                      <w:rFonts w:hint="eastAsia" w:ascii="宋体" w:hAnsi="宋体"/>
                      <w:b/>
                      <w:color w:val="auto"/>
                      <w:szCs w:val="21"/>
                    </w:rPr>
                    <w:t>（不含项目负责人）</w:t>
                  </w:r>
                  <w:r>
                    <w:rPr>
                      <w:rFonts w:hint="eastAsia" w:ascii="宋体" w:hAnsi="宋体"/>
                      <w:color w:val="auto"/>
                      <w:szCs w:val="21"/>
                    </w:rPr>
                    <w:t>：</w:t>
                  </w:r>
                </w:p>
                <w:p w14:paraId="22784EB0">
                  <w:pPr>
                    <w:jc w:val="left"/>
                    <w:rPr>
                      <w:rFonts w:hint="eastAsia" w:ascii="宋体" w:hAnsi="宋体"/>
                      <w:color w:val="auto"/>
                      <w:szCs w:val="21"/>
                    </w:rPr>
                  </w:pPr>
                  <w:r>
                    <w:rPr>
                      <w:rFonts w:hint="eastAsia" w:ascii="宋体" w:hAnsi="宋体"/>
                      <w:color w:val="auto"/>
                      <w:szCs w:val="21"/>
                    </w:rPr>
                    <w:t>（1）具备软件设计师、数据库系统工程师资质的，</w:t>
                  </w:r>
                  <w:r>
                    <w:rPr>
                      <w:rFonts w:hint="eastAsia" w:ascii="宋体" w:hAnsi="宋体"/>
                      <w:color w:val="auto"/>
                      <w:szCs w:val="21"/>
                      <w:lang w:val="en-US" w:eastAsia="zh-CN"/>
                    </w:rPr>
                    <w:t>每提供一个证书</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p>
                <w:p w14:paraId="544A1D94">
                  <w:pPr>
                    <w:jc w:val="left"/>
                    <w:rPr>
                      <w:rFonts w:hint="eastAsia" w:ascii="宋体" w:hAnsi="宋体" w:eastAsia="宋体"/>
                      <w:color w:val="auto"/>
                      <w:szCs w:val="21"/>
                      <w:lang w:eastAsia="zh-CN"/>
                    </w:rPr>
                  </w:pPr>
                  <w:r>
                    <w:rPr>
                      <w:rFonts w:hint="eastAsia" w:ascii="宋体" w:hAnsi="宋体"/>
                      <w:color w:val="auto"/>
                      <w:szCs w:val="21"/>
                    </w:rPr>
                    <w:t>（2）具备本科（及以上）学历，</w:t>
                  </w:r>
                  <w:r>
                    <w:rPr>
                      <w:rFonts w:hint="eastAsia" w:ascii="宋体" w:hAnsi="宋体"/>
                      <w:color w:val="auto"/>
                      <w:szCs w:val="21"/>
                      <w:lang w:val="en-US" w:eastAsia="zh-CN"/>
                    </w:rPr>
                    <w:t>提供一人</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p>
                <w:p w14:paraId="33F5D827">
                  <w:pPr>
                    <w:jc w:val="left"/>
                    <w:rPr>
                      <w:rFonts w:ascii="宋体" w:hAnsi="宋体"/>
                      <w:b/>
                      <w:color w:val="auto"/>
                      <w:szCs w:val="21"/>
                    </w:rPr>
                  </w:pPr>
                  <w:r>
                    <w:rPr>
                      <w:rFonts w:hint="eastAsia" w:ascii="宋体" w:hAnsi="宋体"/>
                      <w:b/>
                      <w:color w:val="auto"/>
                      <w:szCs w:val="21"/>
                    </w:rPr>
                    <w:t>证明文件：</w:t>
                  </w:r>
                </w:p>
                <w:p w14:paraId="253DDB2C">
                  <w:pPr>
                    <w:jc w:val="left"/>
                    <w:rPr>
                      <w:rFonts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要求提供成员在投标单位缴纳的近一个月的社保证明（投标人为新成立企业且成立时间不足一个月可提供加盖投标人公章的情况说明或者证明材料亦视为符合），如依法不需要缴纳社会保险的，应提供相应文件证明。未提供证明的本项不得分；若因为社保部门或税务部门原因无法提供的，需提供劳动合同及社保部门或税务部门官方通知证明（或官网公告截图）。</w:t>
                  </w:r>
                </w:p>
                <w:p w14:paraId="69F59C9E">
                  <w:pPr>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eastAsia="zh-CN"/>
                    </w:rPr>
                    <w:t>、</w:t>
                  </w:r>
                  <w:r>
                    <w:rPr>
                      <w:rFonts w:hint="eastAsia" w:ascii="宋体" w:hAnsi="宋体" w:cs="宋体"/>
                      <w:color w:val="auto"/>
                      <w:kern w:val="0"/>
                      <w:szCs w:val="21"/>
                    </w:rPr>
                    <w:t>须提供人员资质证书</w:t>
                  </w:r>
                  <w:r>
                    <w:rPr>
                      <w:rFonts w:hint="eastAsia" w:ascii="宋体" w:hAnsi="宋体" w:cs="宋体"/>
                      <w:color w:val="auto"/>
                      <w:kern w:val="0"/>
                      <w:szCs w:val="21"/>
                      <w:lang w:val="en-US" w:eastAsia="zh-CN"/>
                    </w:rPr>
                    <w:t>复印件作为得分依据</w:t>
                  </w:r>
                  <w:r>
                    <w:rPr>
                      <w:rFonts w:hint="eastAsia" w:ascii="宋体" w:hAnsi="宋体" w:cs="宋体"/>
                      <w:color w:val="auto"/>
                      <w:kern w:val="0"/>
                      <w:szCs w:val="21"/>
                    </w:rPr>
                    <w:t>。</w:t>
                  </w:r>
                </w:p>
                <w:p w14:paraId="3443398B">
                  <w:pPr>
                    <w:jc w:val="left"/>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eastAsia="zh-CN"/>
                    </w:rPr>
                    <w:t>、</w:t>
                  </w:r>
                  <w:r>
                    <w:rPr>
                      <w:rFonts w:hint="eastAsia" w:ascii="宋体" w:hAnsi="宋体" w:cs="宋体"/>
                      <w:color w:val="auto"/>
                      <w:kern w:val="0"/>
                      <w:szCs w:val="21"/>
                    </w:rPr>
                    <w:t>须提供人员的学历证书（毕业证书）复印件与学信网查询截图作为得分依据，对于较早颁发的学历证书，学信网无法查询的，要求提供其他佐证材料（如毕业院校、人社部门等颁发机构或监管机构等单位出具的证明）。海外留学人员(含港澳台)学历无法通过学信网站查询，允许提供“教育部留学服务中心出具的国外学历认证证书以及教育部留学服务中心官网查询截图</w:t>
                  </w:r>
                </w:p>
                <w:p w14:paraId="17F95C83">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color w:val="auto"/>
                      <w:kern w:val="0"/>
                      <w:szCs w:val="21"/>
                      <w:lang w:val="en-US" w:eastAsia="zh-CN"/>
                    </w:rPr>
                    <w:t>4、</w:t>
                  </w:r>
                  <w:r>
                    <w:rPr>
                      <w:rFonts w:hint="eastAsia" w:ascii="宋体" w:hAnsi="宋体" w:cs="宋体"/>
                      <w:color w:val="auto"/>
                      <w:kern w:val="0"/>
                      <w:szCs w:val="21"/>
                    </w:rPr>
                    <w:t>未提供或提供的内容不符合要求的，不得分</w:t>
                  </w:r>
                </w:p>
              </w:tc>
            </w:tr>
            <w:tr w14:paraId="2594A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0925A32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413934B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7AB437E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rPr>
                  </w:pPr>
                  <w:r>
                    <w:rPr>
                      <w:rFonts w:hint="eastAsia" w:ascii="宋体" w:hAnsi="宋体"/>
                      <w:color w:val="auto"/>
                      <w:szCs w:val="21"/>
                    </w:rPr>
                    <w:t>有效业绩</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2DFC402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12</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0F70688">
                  <w:pPr>
                    <w:jc w:val="left"/>
                    <w:rPr>
                      <w:rFonts w:hint="eastAsia" w:ascii="宋体" w:hAnsi="宋体"/>
                      <w:b/>
                      <w:color w:val="auto"/>
                      <w:szCs w:val="21"/>
                    </w:rPr>
                  </w:pPr>
                  <w:r>
                    <w:rPr>
                      <w:rFonts w:hint="eastAsia" w:ascii="宋体" w:hAnsi="宋体"/>
                      <w:b/>
                      <w:color w:val="auto"/>
                      <w:szCs w:val="21"/>
                    </w:rPr>
                    <w:t>评审标准：</w:t>
                  </w:r>
                </w:p>
                <w:p w14:paraId="78C954CB">
                  <w:pPr>
                    <w:jc w:val="left"/>
                    <w:rPr>
                      <w:rFonts w:hint="eastAsia" w:ascii="宋体" w:hAnsi="宋体"/>
                      <w:b w:val="0"/>
                      <w:bCs/>
                      <w:color w:val="auto"/>
                      <w:szCs w:val="21"/>
                    </w:rPr>
                  </w:pPr>
                  <w:r>
                    <w:rPr>
                      <w:rFonts w:hint="eastAsia" w:ascii="宋体" w:hAnsi="宋体"/>
                      <w:b w:val="0"/>
                      <w:bCs/>
                      <w:color w:val="auto"/>
                      <w:szCs w:val="21"/>
                    </w:rPr>
                    <w:t>每有一项有效业绩，得</w:t>
                  </w:r>
                  <w:r>
                    <w:rPr>
                      <w:rFonts w:hint="eastAsia" w:ascii="宋体" w:hAnsi="宋体"/>
                      <w:b w:val="0"/>
                      <w:bCs/>
                      <w:color w:val="auto"/>
                      <w:szCs w:val="21"/>
                      <w:lang w:val="en-US" w:eastAsia="zh-CN"/>
                    </w:rPr>
                    <w:t>3</w:t>
                  </w:r>
                  <w:r>
                    <w:rPr>
                      <w:rFonts w:hint="eastAsia" w:ascii="宋体" w:hAnsi="宋体"/>
                      <w:b w:val="0"/>
                      <w:bCs/>
                      <w:color w:val="auto"/>
                      <w:szCs w:val="21"/>
                    </w:rPr>
                    <w:t>分；</w:t>
                  </w:r>
                  <w:r>
                    <w:rPr>
                      <w:rFonts w:hint="eastAsia" w:ascii="宋体" w:hAnsi="宋体"/>
                      <w:color w:val="auto"/>
                      <w:szCs w:val="21"/>
                    </w:rPr>
                    <w:t>最高得</w:t>
                  </w:r>
                  <w:r>
                    <w:rPr>
                      <w:rFonts w:hint="eastAsia" w:ascii="宋体" w:hAnsi="宋体"/>
                      <w:color w:val="auto"/>
                      <w:szCs w:val="21"/>
                      <w:lang w:val="en-US" w:eastAsia="zh-CN"/>
                    </w:rPr>
                    <w:t>12</w:t>
                  </w:r>
                  <w:r>
                    <w:rPr>
                      <w:rFonts w:hint="eastAsia" w:ascii="宋体" w:hAnsi="宋体"/>
                      <w:color w:val="auto"/>
                      <w:szCs w:val="21"/>
                    </w:rPr>
                    <w:t>分</w:t>
                  </w:r>
                  <w:r>
                    <w:rPr>
                      <w:rFonts w:hint="eastAsia" w:ascii="宋体" w:hAnsi="宋体"/>
                      <w:b w:val="0"/>
                      <w:bCs/>
                      <w:color w:val="auto"/>
                      <w:szCs w:val="21"/>
                    </w:rPr>
                    <w:t>。不提供或者不能有效证明的，得0分。</w:t>
                  </w:r>
                </w:p>
                <w:p w14:paraId="0B3E76E1">
                  <w:pPr>
                    <w:jc w:val="left"/>
                    <w:rPr>
                      <w:rFonts w:hint="eastAsia" w:ascii="宋体" w:hAnsi="宋体"/>
                      <w:b w:val="0"/>
                      <w:bCs/>
                      <w:color w:val="auto"/>
                      <w:szCs w:val="21"/>
                    </w:rPr>
                  </w:pPr>
                  <w:r>
                    <w:rPr>
                      <w:rFonts w:hint="eastAsia" w:ascii="宋体" w:hAnsi="宋体"/>
                      <w:b w:val="0"/>
                      <w:bCs/>
                      <w:color w:val="auto"/>
                      <w:szCs w:val="21"/>
                    </w:rPr>
                    <w:t>有效业绩定义：（同时满足以下全部要求同类业绩才属于有效业绩）</w:t>
                  </w:r>
                </w:p>
                <w:p w14:paraId="2582FB09">
                  <w:pPr>
                    <w:jc w:val="left"/>
                    <w:rPr>
                      <w:rFonts w:hint="eastAsia" w:ascii="宋体" w:hAnsi="宋体"/>
                      <w:b w:val="0"/>
                      <w:bCs/>
                      <w:color w:val="auto"/>
                      <w:szCs w:val="21"/>
                    </w:rPr>
                  </w:pPr>
                  <w:r>
                    <w:rPr>
                      <w:rFonts w:hint="eastAsia" w:ascii="宋体" w:hAnsi="宋体"/>
                      <w:b w:val="0"/>
                      <w:bCs/>
                      <w:color w:val="auto"/>
                      <w:szCs w:val="21"/>
                      <w:lang w:val="en-US" w:eastAsia="zh-CN"/>
                    </w:rPr>
                    <w:t>1.</w:t>
                  </w:r>
                  <w:r>
                    <w:rPr>
                      <w:rFonts w:hint="eastAsia" w:ascii="宋体" w:hAnsi="宋体"/>
                      <w:b w:val="0"/>
                      <w:bCs/>
                      <w:color w:val="auto"/>
                      <w:szCs w:val="21"/>
                    </w:rPr>
                    <w:t>同类业绩指：业绩必须是与本次采购项目相关的影像信息管理系统类项目。业绩内容需要与采购要求的系统功能、技术和应用场景相符</w:t>
                  </w:r>
                  <w:r>
                    <w:rPr>
                      <w:rFonts w:hint="eastAsia" w:ascii="宋体" w:hAnsi="宋体"/>
                      <w:b w:val="0"/>
                      <w:bCs/>
                      <w:color w:val="auto"/>
                      <w:szCs w:val="21"/>
                      <w:lang w:eastAsia="zh-CN"/>
                    </w:rPr>
                    <w:t>。</w:t>
                  </w:r>
                </w:p>
                <w:p w14:paraId="3DF5550C">
                  <w:pPr>
                    <w:jc w:val="left"/>
                    <w:rPr>
                      <w:rFonts w:hint="eastAsia" w:ascii="宋体" w:hAnsi="宋体"/>
                      <w:b w:val="0"/>
                      <w:bCs/>
                      <w:color w:val="auto"/>
                      <w:szCs w:val="21"/>
                    </w:rPr>
                  </w:pPr>
                  <w:r>
                    <w:rPr>
                      <w:rFonts w:hint="eastAsia" w:ascii="宋体" w:hAnsi="宋体"/>
                      <w:b w:val="0"/>
                      <w:bCs/>
                      <w:color w:val="auto"/>
                      <w:szCs w:val="21"/>
                      <w:lang w:val="en-US" w:eastAsia="zh-CN"/>
                    </w:rPr>
                    <w:t>2.</w:t>
                  </w:r>
                  <w:r>
                    <w:rPr>
                      <w:rFonts w:hint="eastAsia" w:ascii="宋体" w:hAnsi="宋体"/>
                      <w:b w:val="0"/>
                      <w:bCs/>
                      <w:color w:val="auto"/>
                      <w:szCs w:val="21"/>
                    </w:rPr>
                    <w:t>业绩内容为：涉及</w:t>
                  </w:r>
                  <w:bookmarkStart w:id="1" w:name="_GoBack"/>
                  <w:bookmarkEnd w:id="1"/>
                  <w:r>
                    <w:rPr>
                      <w:rFonts w:hint="eastAsia" w:ascii="宋体" w:hAnsi="宋体"/>
                      <w:b w:val="0"/>
                      <w:bCs/>
                      <w:color w:val="auto"/>
                      <w:szCs w:val="21"/>
                    </w:rPr>
                    <w:t>影像信息管理系统的实施、集成、开发或</w:t>
                  </w:r>
                  <w:r>
                    <w:rPr>
                      <w:rFonts w:hint="eastAsia" w:ascii="宋体" w:hAnsi="宋体"/>
                      <w:b w:val="0"/>
                      <w:bCs/>
                      <w:color w:val="auto"/>
                      <w:szCs w:val="21"/>
                      <w:lang w:val="en-US" w:eastAsia="zh-CN"/>
                    </w:rPr>
                    <w:t>维保</w:t>
                  </w:r>
                  <w:r>
                    <w:rPr>
                      <w:rFonts w:hint="eastAsia" w:ascii="宋体" w:hAnsi="宋体"/>
                      <w:b w:val="0"/>
                      <w:bCs/>
                      <w:color w:val="auto"/>
                      <w:szCs w:val="21"/>
                    </w:rPr>
                    <w:t>服务等内容，且能够证明供应商在相关领域的成功经验</w:t>
                  </w:r>
                </w:p>
                <w:p w14:paraId="5775A705">
                  <w:pPr>
                    <w:jc w:val="left"/>
                    <w:rPr>
                      <w:rFonts w:hint="eastAsia" w:ascii="宋体" w:hAnsi="宋体"/>
                      <w:b w:val="0"/>
                      <w:bCs/>
                      <w:color w:val="auto"/>
                      <w:szCs w:val="21"/>
                    </w:rPr>
                  </w:pPr>
                  <w:r>
                    <w:rPr>
                      <w:rFonts w:hint="eastAsia" w:ascii="宋体" w:hAnsi="宋体"/>
                      <w:b w:val="0"/>
                      <w:bCs/>
                      <w:color w:val="auto"/>
                      <w:szCs w:val="21"/>
                      <w:lang w:val="en-US" w:eastAsia="zh-CN"/>
                    </w:rPr>
                    <w:t>3.</w:t>
                  </w:r>
                  <w:r>
                    <w:rPr>
                      <w:rFonts w:hint="eastAsia" w:ascii="宋体" w:hAnsi="宋体"/>
                      <w:b w:val="0"/>
                      <w:bCs/>
                      <w:color w:val="auto"/>
                      <w:szCs w:val="21"/>
                    </w:rPr>
                    <w:t>合同签订时间为20</w:t>
                  </w:r>
                  <w:r>
                    <w:rPr>
                      <w:rFonts w:hint="eastAsia" w:ascii="宋体" w:hAnsi="宋体"/>
                      <w:b w:val="0"/>
                      <w:bCs/>
                      <w:color w:val="auto"/>
                      <w:szCs w:val="21"/>
                      <w:lang w:val="en-US" w:eastAsia="zh-CN"/>
                    </w:rPr>
                    <w:t>22</w:t>
                  </w:r>
                  <w:r>
                    <w:rPr>
                      <w:rFonts w:hint="eastAsia" w:ascii="宋体" w:hAnsi="宋体"/>
                      <w:b w:val="0"/>
                      <w:bCs/>
                      <w:color w:val="auto"/>
                      <w:szCs w:val="21"/>
                    </w:rPr>
                    <w:t>年</w:t>
                  </w:r>
                  <w:r>
                    <w:rPr>
                      <w:rFonts w:hint="eastAsia" w:ascii="宋体" w:hAnsi="宋体"/>
                      <w:b w:val="0"/>
                      <w:bCs/>
                      <w:color w:val="auto"/>
                      <w:szCs w:val="21"/>
                      <w:lang w:val="en-US" w:eastAsia="zh-CN"/>
                    </w:rPr>
                    <w:t>01月01</w:t>
                  </w:r>
                  <w:r>
                    <w:rPr>
                      <w:rFonts w:hint="eastAsia" w:ascii="宋体" w:hAnsi="宋体"/>
                      <w:b w:val="0"/>
                      <w:bCs/>
                      <w:color w:val="auto"/>
                      <w:szCs w:val="21"/>
                    </w:rPr>
                    <w:t>日至投标截止时间前。</w:t>
                  </w:r>
                </w:p>
                <w:p w14:paraId="73870D8D">
                  <w:pPr>
                    <w:jc w:val="left"/>
                    <w:rPr>
                      <w:rFonts w:hint="eastAsia" w:ascii="宋体" w:hAnsi="宋体"/>
                      <w:b/>
                      <w:color w:val="auto"/>
                      <w:szCs w:val="21"/>
                    </w:rPr>
                  </w:pPr>
                  <w:r>
                    <w:rPr>
                      <w:rFonts w:hint="eastAsia" w:ascii="宋体" w:hAnsi="宋体"/>
                      <w:b/>
                      <w:color w:val="auto"/>
                      <w:szCs w:val="21"/>
                    </w:rPr>
                    <w:t>证明文件：</w:t>
                  </w:r>
                </w:p>
                <w:p w14:paraId="28BDC5CE">
                  <w:pPr>
                    <w:jc w:val="left"/>
                    <w:rPr>
                      <w:rFonts w:hint="eastAsia" w:ascii="宋体" w:hAnsi="宋体"/>
                      <w:b w:val="0"/>
                      <w:bCs/>
                      <w:color w:val="auto"/>
                      <w:szCs w:val="21"/>
                    </w:rPr>
                  </w:pPr>
                  <w:r>
                    <w:rPr>
                      <w:rFonts w:hint="eastAsia" w:ascii="宋体" w:hAnsi="宋体"/>
                      <w:b w:val="0"/>
                      <w:bCs/>
                      <w:color w:val="auto"/>
                      <w:szCs w:val="21"/>
                      <w:lang w:val="en-US" w:eastAsia="zh-CN"/>
                    </w:rPr>
                    <w:t>1.</w:t>
                  </w:r>
                  <w:r>
                    <w:rPr>
                      <w:rFonts w:hint="eastAsia" w:ascii="宋体" w:hAnsi="宋体"/>
                      <w:b w:val="0"/>
                      <w:bCs/>
                      <w:color w:val="auto"/>
                      <w:szCs w:val="21"/>
                    </w:rPr>
                    <w:t>供应商必须提供项目合同关键页（需包含项目名称、服务内容、合同签字盖章页、签订日期的关键信息）</w:t>
                  </w:r>
                  <w:r>
                    <w:rPr>
                      <w:rFonts w:hint="eastAsia" w:ascii="宋体" w:hAnsi="宋体"/>
                      <w:b w:val="0"/>
                      <w:bCs/>
                      <w:color w:val="auto"/>
                      <w:szCs w:val="21"/>
                      <w:lang w:val="en-US" w:eastAsia="zh-CN"/>
                    </w:rPr>
                    <w:t>复印</w:t>
                  </w:r>
                  <w:r>
                    <w:rPr>
                      <w:rFonts w:hint="eastAsia" w:ascii="宋体" w:hAnsi="宋体"/>
                      <w:b w:val="0"/>
                      <w:bCs/>
                      <w:color w:val="auto"/>
                      <w:szCs w:val="21"/>
                    </w:rPr>
                    <w:t>件。通过合同关键信息无法判断是否得分的，还需同时提供能证明得分的其它证明资料，如项目报告或合同甲方出具的证明文件等。</w:t>
                  </w:r>
                </w:p>
                <w:p w14:paraId="3FA703DA">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b w:val="0"/>
                      <w:bCs/>
                      <w:color w:val="auto"/>
                      <w:szCs w:val="21"/>
                    </w:rPr>
                    <w:t>2.评分中出现无证明资料或专家无法凭所提供资料判断是否得分的情况，一律作不得分处理。</w:t>
                  </w:r>
                </w:p>
              </w:tc>
            </w:tr>
            <w:tr w14:paraId="28F43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1A2D4776">
                  <w:pPr>
                    <w:pStyle w:val="31"/>
                    <w:numPr>
                      <w:ilvl w:val="0"/>
                      <w:numId w:val="0"/>
                    </w:numPr>
                    <w:ind w:leftChars="0"/>
                    <w:jc w:val="both"/>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39BF20AD">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1A55CB91">
                  <w:pPr>
                    <w:ind w:right="-73" w:rightChars="-35"/>
                    <w:jc w:val="left"/>
                    <w:rPr>
                      <w:rFonts w:hint="eastAsia" w:ascii="宋体" w:hAnsi="宋体" w:eastAsia="宋体" w:cs="宋体"/>
                      <w:color w:val="000000"/>
                      <w:sz w:val="21"/>
                      <w:szCs w:val="21"/>
                      <w:highlight w:val="none"/>
                    </w:rPr>
                  </w:pPr>
                  <w:r>
                    <w:rPr>
                      <w:rFonts w:hint="eastAsia" w:ascii="宋体" w:hAnsi="宋体" w:cs="宋体"/>
                      <w:szCs w:val="21"/>
                    </w:rPr>
                    <w:t>投标人自主知识产权产品（创新、设计）情况</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1C269F6E">
                  <w:pPr>
                    <w:ind w:left="-77" w:leftChars="-37" w:right="-73" w:rightChars="-35"/>
                    <w:jc w:val="center"/>
                    <w:rPr>
                      <w:rFonts w:hint="default" w:ascii="宋体" w:hAnsi="宋体" w:eastAsia="宋体" w:cs="宋体"/>
                      <w:color w:val="000000"/>
                      <w:sz w:val="21"/>
                      <w:szCs w:val="21"/>
                      <w:highlight w:val="none"/>
                      <w:lang w:val="en-US" w:eastAsia="zh-CN"/>
                    </w:rPr>
                  </w:pPr>
                  <w:r>
                    <w:rPr>
                      <w:rFonts w:hint="eastAsia" w:ascii="宋体" w:hAnsi="宋体"/>
                      <w:szCs w:val="21"/>
                      <w:lang w:val="en-US" w:eastAsia="zh-CN"/>
                    </w:rPr>
                    <w:t>12</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4452BFD6">
                  <w:pPr>
                    <w:jc w:val="left"/>
                    <w:rPr>
                      <w:rFonts w:hint="eastAsia" w:ascii="宋体" w:hAnsi="宋体" w:cs="宋体"/>
                      <w:szCs w:val="21"/>
                    </w:rPr>
                  </w:pPr>
                  <w:r>
                    <w:rPr>
                      <w:rFonts w:hint="eastAsia" w:ascii="宋体" w:hAnsi="宋体" w:cs="宋体"/>
                      <w:szCs w:val="21"/>
                    </w:rPr>
                    <w:t>（一）评审内容：</w:t>
                  </w:r>
                </w:p>
                <w:p w14:paraId="6394DA4C">
                  <w:pPr>
                    <w:jc w:val="left"/>
                    <w:rPr>
                      <w:rFonts w:hint="eastAsia" w:ascii="宋体" w:hAnsi="宋体" w:cs="宋体"/>
                      <w:szCs w:val="21"/>
                    </w:rPr>
                  </w:pPr>
                  <w:r>
                    <w:rPr>
                      <w:rFonts w:hint="eastAsia" w:ascii="宋体" w:hAnsi="宋体" w:cs="宋体"/>
                      <w:szCs w:val="21"/>
                    </w:rPr>
                    <w:t>1.投标人具有医疗影像系统、影像平台相关的《计算机软件著作权登记证书》或专利证书的情况：每提供1个证书得</w:t>
                  </w:r>
                  <w:r>
                    <w:rPr>
                      <w:rFonts w:hint="eastAsia" w:ascii="宋体" w:hAnsi="宋体" w:cs="宋体"/>
                      <w:szCs w:val="21"/>
                      <w:lang w:val="en-US" w:eastAsia="zh-CN"/>
                    </w:rPr>
                    <w:t>4</w:t>
                  </w:r>
                  <w:r>
                    <w:rPr>
                      <w:rFonts w:hint="eastAsia" w:ascii="宋体" w:hAnsi="宋体" w:cs="宋体"/>
                      <w:szCs w:val="21"/>
                    </w:rPr>
                    <w:t>分，最高得</w:t>
                  </w:r>
                  <w:r>
                    <w:rPr>
                      <w:rFonts w:hint="eastAsia" w:ascii="宋体" w:hAnsi="宋体" w:cs="宋体"/>
                      <w:szCs w:val="21"/>
                      <w:lang w:val="en-US" w:eastAsia="zh-CN"/>
                    </w:rPr>
                    <w:t>12</w:t>
                  </w:r>
                  <w:r>
                    <w:rPr>
                      <w:rFonts w:hint="eastAsia" w:ascii="宋体" w:hAnsi="宋体" w:cs="宋体"/>
                      <w:szCs w:val="21"/>
                    </w:rPr>
                    <w:t>分。</w:t>
                  </w:r>
                </w:p>
                <w:p w14:paraId="2F793E70">
                  <w:pPr>
                    <w:jc w:val="left"/>
                    <w:rPr>
                      <w:rFonts w:hint="eastAsia" w:ascii="宋体" w:hAnsi="宋体" w:cs="宋体"/>
                      <w:szCs w:val="21"/>
                    </w:rPr>
                  </w:pPr>
                  <w:r>
                    <w:rPr>
                      <w:rFonts w:hint="eastAsia" w:ascii="宋体" w:hAnsi="宋体" w:cs="宋体"/>
                      <w:szCs w:val="21"/>
                    </w:rPr>
                    <w:t>（二）评分依据</w:t>
                  </w:r>
                </w:p>
                <w:p w14:paraId="378CC1E6">
                  <w:pPr>
                    <w:jc w:val="left"/>
                    <w:rPr>
                      <w:rFonts w:hint="eastAsia" w:ascii="宋体" w:hAnsi="宋体" w:cs="宋体"/>
                      <w:szCs w:val="21"/>
                    </w:rPr>
                  </w:pPr>
                  <w:r>
                    <w:rPr>
                      <w:rFonts w:hint="eastAsia" w:ascii="宋体" w:hAnsi="宋体" w:cs="宋体"/>
                      <w:szCs w:val="21"/>
                    </w:rPr>
                    <w:t>1.提供有效的相关证书扫描件作为得分依据，原件备查。</w:t>
                  </w:r>
                </w:p>
                <w:p w14:paraId="6E07F2FB">
                  <w:pPr>
                    <w:ind w:left="-77" w:leftChars="-37" w:right="-73" w:rightChars="-35"/>
                    <w:jc w:val="center"/>
                    <w:rPr>
                      <w:rFonts w:hint="eastAsia" w:ascii="宋体" w:hAnsi="宋体" w:eastAsia="宋体" w:cs="宋体"/>
                      <w:sz w:val="21"/>
                      <w:szCs w:val="21"/>
                      <w:highlight w:val="none"/>
                      <w:lang w:val="en-US" w:eastAsia="zh-CN"/>
                    </w:rPr>
                  </w:pPr>
                  <w:r>
                    <w:rPr>
                      <w:rFonts w:hint="eastAsia" w:ascii="宋体" w:hAnsi="宋体" w:cs="宋体"/>
                      <w:szCs w:val="21"/>
                    </w:rPr>
                    <w:t>2.评分中出现无证明资料或专家无法凭所提供资料判断是否得分的情况，一律作不得分处理。</w:t>
                  </w:r>
                </w:p>
              </w:tc>
            </w:tr>
            <w:tr w14:paraId="009EB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0378AF14">
                  <w:pPr>
                    <w:snapToGrid w:val="0"/>
                    <w:spacing w:line="36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92277CC">
                  <w:pPr>
                    <w:snapToGrid w:val="0"/>
                    <w:jc w:val="center"/>
                    <w:rPr>
                      <w:rFonts w:hint="eastAsia" w:ascii="宋体" w:hAnsi="宋体" w:eastAsia="宋体" w:cs="宋体"/>
                      <w:color w:val="0000FF"/>
                      <w:sz w:val="21"/>
                      <w:szCs w:val="21"/>
                      <w:highlight w:val="none"/>
                      <w:lang w:eastAsia="zh-CN"/>
                    </w:rPr>
                  </w:pPr>
                  <w:r>
                    <w:rPr>
                      <w:rFonts w:hint="eastAsia" w:ascii="宋体" w:hAnsi="宋体" w:eastAsia="宋体" w:cs="宋体"/>
                      <w:b/>
                      <w:bCs/>
                      <w:color w:val="000000"/>
                      <w:sz w:val="21"/>
                      <w:szCs w:val="21"/>
                      <w:highlight w:val="none"/>
                      <w:lang w:eastAsia="zh-CN"/>
                    </w:rPr>
                    <w:t>诚信部分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9C42C82">
                  <w:pPr>
                    <w:snapToGrid w:val="0"/>
                    <w:jc w:val="center"/>
                    <w:rPr>
                      <w:rFonts w:hint="eastAsia" w:ascii="宋体" w:hAnsi="宋体" w:eastAsia="宋体" w:cs="宋体"/>
                      <w:color w:val="0000FF"/>
                      <w:sz w:val="21"/>
                      <w:szCs w:val="21"/>
                      <w:highlight w:val="none"/>
                    </w:rPr>
                  </w:pPr>
                  <w:r>
                    <w:rPr>
                      <w:rFonts w:hint="eastAsia" w:ascii="宋体" w:hAnsi="宋体" w:eastAsia="宋体" w:cs="宋体"/>
                      <w:b/>
                      <w:bCs/>
                      <w:color w:val="000000"/>
                      <w:sz w:val="21"/>
                      <w:szCs w:val="21"/>
                      <w:highlight w:val="none"/>
                      <w:lang w:val="en-US" w:eastAsia="zh-CN"/>
                    </w:rPr>
                    <w:t>5</w:t>
                  </w:r>
                </w:p>
              </w:tc>
            </w:tr>
            <w:tr w14:paraId="698C4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5DB418A4">
                  <w:pPr>
                    <w:snapToGrid w:val="0"/>
                    <w:spacing w:line="360" w:lineRule="auto"/>
                    <w:jc w:val="center"/>
                    <w:rPr>
                      <w:rFonts w:hint="eastAsia" w:ascii="宋体" w:hAnsi="宋体" w:eastAsia="宋体" w:cs="宋体"/>
                      <w:b/>
                      <w:bCs/>
                      <w:color w:val="000000"/>
                      <w:sz w:val="21"/>
                      <w:szCs w:val="21"/>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11516DC2">
                  <w:pPr>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color w:val="000000"/>
                      <w:sz w:val="21"/>
                      <w:szCs w:val="21"/>
                      <w:highlight w:val="none"/>
                    </w:rPr>
                    <w:t>序号</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4E78AD4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评分因素</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40D9535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权重</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75CEF1F">
                  <w:pPr>
                    <w:snapToGrid w:val="0"/>
                    <w:jc w:val="center"/>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sz w:val="21"/>
                      <w:szCs w:val="21"/>
                      <w:highlight w:val="none"/>
                    </w:rPr>
                    <w:t>评分准则</w:t>
                  </w:r>
                </w:p>
              </w:tc>
            </w:tr>
            <w:tr w14:paraId="1CC1C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0C798EBB">
                  <w:pPr>
                    <w:snapToGrid w:val="0"/>
                    <w:spacing w:line="360" w:lineRule="auto"/>
                    <w:jc w:val="center"/>
                    <w:rPr>
                      <w:rFonts w:hint="eastAsia" w:ascii="宋体" w:hAnsi="宋体" w:eastAsia="宋体" w:cs="宋体"/>
                      <w:b/>
                      <w:bCs/>
                      <w:color w:val="000000"/>
                      <w:sz w:val="21"/>
                      <w:szCs w:val="21"/>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360345C2">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00"/>
                      <w:sz w:val="21"/>
                      <w:szCs w:val="21"/>
                    </w:rPr>
                  </w:pPr>
                  <w:r>
                    <w:rPr>
                      <w:rFonts w:hint="eastAsia" w:ascii="宋体" w:hAnsi="宋体" w:eastAsia="宋体" w:cs="宋体"/>
                      <w:sz w:val="21"/>
                      <w:szCs w:val="21"/>
                      <w:highlight w:val="none"/>
                    </w:rPr>
                    <w:t>1</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18DCBC6A">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诚信</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76820009">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5</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007351EA">
                  <w:pPr>
                    <w:pStyle w:val="9"/>
                    <w:keepNext w:val="0"/>
                    <w:keepLines w:val="0"/>
                    <w:pageBreakBefore w:val="0"/>
                    <w:kinsoku/>
                    <w:wordWrap w:val="0"/>
                    <w:overflowPunct/>
                    <w:topLinePunct w:val="0"/>
                    <w:autoSpaceDE/>
                    <w:autoSpaceDN/>
                    <w:bidi w:val="0"/>
                    <w:adjustRightInd/>
                    <w:spacing w:line="24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宋体" w:hAnsi="宋体" w:eastAsia="宋体" w:cs="宋体"/>
                      <w:b w:val="0"/>
                      <w:bCs w:val="0"/>
                      <w:color w:val="auto"/>
                      <w:sz w:val="21"/>
                      <w:szCs w:val="21"/>
                      <w:lang w:val="en-US" w:eastAsia="zh-CN"/>
                    </w:rPr>
                    <w:t>有关</w:t>
                  </w:r>
                  <w:r>
                    <w:rPr>
                      <w:rFonts w:hint="eastAsia" w:ascii="宋体" w:hAnsi="宋体" w:eastAsia="宋体" w:cs="宋体"/>
                      <w:b w:val="0"/>
                      <w:bCs w:val="0"/>
                      <w:color w:val="auto"/>
                      <w:sz w:val="21"/>
                      <w:szCs w:val="21"/>
                    </w:rPr>
                    <w:t>供应商诚信查询结果。</w:t>
                  </w:r>
                </w:p>
                <w:p w14:paraId="4046DDFA">
                  <w:pPr>
                    <w:keepNext w:val="0"/>
                    <w:keepLines w:val="0"/>
                    <w:pageBreakBefore w:val="0"/>
                    <w:kinsoku/>
                    <w:overflowPunct/>
                    <w:topLinePunct w:val="0"/>
                    <w:autoSpaceDE/>
                    <w:autoSpaceDN/>
                    <w:bidi w:val="0"/>
                    <w:adjustRightInd/>
                    <w:snapToGrid w:val="0"/>
                    <w:spacing w:line="240" w:lineRule="exact"/>
                    <w:jc w:val="both"/>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val="0"/>
                      <w:bCs w:val="0"/>
                      <w:color w:val="auto"/>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14AFF88C">
            <w:pPr>
              <w:pStyle w:val="16"/>
              <w:spacing w:line="324" w:lineRule="auto"/>
              <w:rPr>
                <w:rFonts w:hint="eastAsia" w:ascii="仿宋" w:hAnsi="仿宋" w:eastAsia="仿宋" w:cs="仿宋"/>
                <w:sz w:val="21"/>
                <w:szCs w:val="21"/>
              </w:rPr>
            </w:pPr>
          </w:p>
        </w:tc>
      </w:tr>
    </w:tbl>
    <w:p w14:paraId="503F59C6"/>
    <w:p w14:paraId="06E6F3EE">
      <w:pPr>
        <w:numPr>
          <w:ilvl w:val="-1"/>
          <w:numId w:val="0"/>
        </w:numPr>
        <w:tabs>
          <w:tab w:val="left" w:pos="1260"/>
        </w:tabs>
        <w:spacing w:line="360" w:lineRule="auto"/>
        <w:ind w:firstLine="0" w:firstLineChars="0"/>
        <w:jc w:val="left"/>
        <w:rPr>
          <w:rFonts w:hint="eastAsia" w:ascii="宋体" w:hAnsi="宋体" w:cs="宋体"/>
          <w:sz w:val="24"/>
          <w:lang w:eastAsia="zh-CN"/>
        </w:rPr>
      </w:pPr>
    </w:p>
    <w:p w14:paraId="1ECA41E6">
      <w:pPr>
        <w:pStyle w:val="17"/>
        <w:rPr>
          <w:rFonts w:hint="eastAsia" w:eastAsia="宋体"/>
          <w:lang w:val="en-US" w:eastAsia="zh-CN"/>
        </w:rPr>
      </w:pPr>
    </w:p>
    <w:p w14:paraId="6564E8C6">
      <w:pPr>
        <w:widowControl/>
        <w:ind w:leftChars="0"/>
        <w:jc w:val="left"/>
        <w:rPr>
          <w:rFonts w:hint="eastAsia" w:ascii="宋体" w:hAnsi="宋体" w:eastAsia="宋体"/>
          <w:b w:val="0"/>
          <w:bCs w:val="0"/>
          <w:szCs w:val="21"/>
          <w:lang w:val="en-US" w:eastAsia="zh-CN"/>
        </w:rPr>
      </w:pPr>
      <w:r>
        <w:rPr>
          <w:b/>
          <w:bCs/>
          <w:sz w:val="24"/>
        </w:rPr>
        <w:br w:type="page"/>
      </w:r>
      <w:bookmarkEnd w:id="0"/>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4"/>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2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3C96D"/>
    <w:multiLevelType w:val="singleLevel"/>
    <w:tmpl w:val="D7A3C96D"/>
    <w:lvl w:ilvl="0" w:tentative="0">
      <w:start w:val="1"/>
      <w:numFmt w:val="chineseCounting"/>
      <w:suff w:val="nothing"/>
      <w:lvlText w:val="%1、"/>
      <w:lvlJc w:val="left"/>
      <w:rPr>
        <w:rFonts w:hint="eastAsia"/>
      </w:rPr>
    </w:lvl>
  </w:abstractNum>
  <w:abstractNum w:abstractNumId="1">
    <w:nsid w:val="E745D0A3"/>
    <w:multiLevelType w:val="singleLevel"/>
    <w:tmpl w:val="E745D0A3"/>
    <w:lvl w:ilvl="0" w:tentative="0">
      <w:start w:val="1"/>
      <w:numFmt w:val="decimal"/>
      <w:lvlText w:val="%1."/>
      <w:lvlJc w:val="left"/>
      <w:pPr>
        <w:tabs>
          <w:tab w:val="left" w:pos="312"/>
        </w:tabs>
      </w:pPr>
    </w:lvl>
  </w:abstractNum>
  <w:abstractNum w:abstractNumId="2">
    <w:nsid w:val="00000021"/>
    <w:multiLevelType w:val="singleLevel"/>
    <w:tmpl w:val="00000021"/>
    <w:lvl w:ilvl="0" w:tentative="0">
      <w:start w:val="1"/>
      <w:numFmt w:val="bullet"/>
      <w:lvlText w:val=""/>
      <w:lvlJc w:val="left"/>
      <w:pPr>
        <w:tabs>
          <w:tab w:val="left" w:pos="420"/>
        </w:tabs>
        <w:ind w:left="420" w:hanging="420"/>
      </w:pPr>
      <w:rPr>
        <w:rFonts w:hint="default" w:ascii="Wingdings" w:hAnsi="Wingdings"/>
      </w:rPr>
    </w:lvl>
  </w:abstractNum>
  <w:abstractNum w:abstractNumId="3">
    <w:nsid w:val="78D7A2F2"/>
    <w:multiLevelType w:val="singleLevel"/>
    <w:tmpl w:val="78D7A2F2"/>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5BC"/>
    <w:rsid w:val="005057DA"/>
    <w:rsid w:val="00507EEE"/>
    <w:rsid w:val="0053189A"/>
    <w:rsid w:val="0054027C"/>
    <w:rsid w:val="00543121"/>
    <w:rsid w:val="0055508E"/>
    <w:rsid w:val="005675F8"/>
    <w:rsid w:val="00580CA3"/>
    <w:rsid w:val="0058422D"/>
    <w:rsid w:val="0058758F"/>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56BA"/>
    <w:rsid w:val="00FF6634"/>
    <w:rsid w:val="0159726C"/>
    <w:rsid w:val="02FA082F"/>
    <w:rsid w:val="036443B3"/>
    <w:rsid w:val="049251C3"/>
    <w:rsid w:val="05793607"/>
    <w:rsid w:val="06A4180F"/>
    <w:rsid w:val="07666909"/>
    <w:rsid w:val="08070A00"/>
    <w:rsid w:val="081677B6"/>
    <w:rsid w:val="08CA54C0"/>
    <w:rsid w:val="0983157E"/>
    <w:rsid w:val="09954E0D"/>
    <w:rsid w:val="09A6526C"/>
    <w:rsid w:val="0A273EFA"/>
    <w:rsid w:val="0B354AFA"/>
    <w:rsid w:val="0C711B61"/>
    <w:rsid w:val="0E63175A"/>
    <w:rsid w:val="0FA67D74"/>
    <w:rsid w:val="10702130"/>
    <w:rsid w:val="10A36062"/>
    <w:rsid w:val="10C8622C"/>
    <w:rsid w:val="119500A0"/>
    <w:rsid w:val="13767A5D"/>
    <w:rsid w:val="14074B59"/>
    <w:rsid w:val="1537321C"/>
    <w:rsid w:val="153D4CD7"/>
    <w:rsid w:val="15A72150"/>
    <w:rsid w:val="16D276A1"/>
    <w:rsid w:val="171F1A95"/>
    <w:rsid w:val="180B10BC"/>
    <w:rsid w:val="18445475"/>
    <w:rsid w:val="18845183"/>
    <w:rsid w:val="18BF3C55"/>
    <w:rsid w:val="19940409"/>
    <w:rsid w:val="1A5E5154"/>
    <w:rsid w:val="1B2B55D1"/>
    <w:rsid w:val="1B4F3C69"/>
    <w:rsid w:val="1B7E7DF7"/>
    <w:rsid w:val="1C6665F2"/>
    <w:rsid w:val="1EC71AB5"/>
    <w:rsid w:val="1F8310C6"/>
    <w:rsid w:val="1FA94D17"/>
    <w:rsid w:val="20716C85"/>
    <w:rsid w:val="24BF3B68"/>
    <w:rsid w:val="251D3512"/>
    <w:rsid w:val="25AE12D9"/>
    <w:rsid w:val="27E5759F"/>
    <w:rsid w:val="280451E0"/>
    <w:rsid w:val="28093C65"/>
    <w:rsid w:val="2A273408"/>
    <w:rsid w:val="2BC5737C"/>
    <w:rsid w:val="2C7C5EDD"/>
    <w:rsid w:val="2D3B5B48"/>
    <w:rsid w:val="2E1F6B96"/>
    <w:rsid w:val="2E8E45A1"/>
    <w:rsid w:val="2F2E7A55"/>
    <w:rsid w:val="3049232A"/>
    <w:rsid w:val="319F53A2"/>
    <w:rsid w:val="31BC6B2B"/>
    <w:rsid w:val="33721193"/>
    <w:rsid w:val="337E678E"/>
    <w:rsid w:val="340500A3"/>
    <w:rsid w:val="35F745D6"/>
    <w:rsid w:val="36016B7B"/>
    <w:rsid w:val="37686C17"/>
    <w:rsid w:val="37D06A81"/>
    <w:rsid w:val="37F012DD"/>
    <w:rsid w:val="38301DBE"/>
    <w:rsid w:val="38641C50"/>
    <w:rsid w:val="38AF73EA"/>
    <w:rsid w:val="38F372D7"/>
    <w:rsid w:val="39F350B4"/>
    <w:rsid w:val="3AAB598F"/>
    <w:rsid w:val="3B1F2605"/>
    <w:rsid w:val="3BBA232E"/>
    <w:rsid w:val="3CF4186F"/>
    <w:rsid w:val="3D644C0E"/>
    <w:rsid w:val="3F782328"/>
    <w:rsid w:val="405451D7"/>
    <w:rsid w:val="40642868"/>
    <w:rsid w:val="40776A3F"/>
    <w:rsid w:val="41CC2DBB"/>
    <w:rsid w:val="43140575"/>
    <w:rsid w:val="437764B0"/>
    <w:rsid w:val="438E7C66"/>
    <w:rsid w:val="44421112"/>
    <w:rsid w:val="44464016"/>
    <w:rsid w:val="4465410B"/>
    <w:rsid w:val="448243AB"/>
    <w:rsid w:val="44F90A89"/>
    <w:rsid w:val="4521777E"/>
    <w:rsid w:val="45317BCE"/>
    <w:rsid w:val="45C25741"/>
    <w:rsid w:val="46724F2F"/>
    <w:rsid w:val="46737CA9"/>
    <w:rsid w:val="471952E9"/>
    <w:rsid w:val="47F03878"/>
    <w:rsid w:val="49325BF9"/>
    <w:rsid w:val="49425710"/>
    <w:rsid w:val="4B5F673A"/>
    <w:rsid w:val="4B8D6B91"/>
    <w:rsid w:val="4BAB48A6"/>
    <w:rsid w:val="4C255EE1"/>
    <w:rsid w:val="4D19766B"/>
    <w:rsid w:val="4DAE7818"/>
    <w:rsid w:val="4F5935B7"/>
    <w:rsid w:val="50860E67"/>
    <w:rsid w:val="511264FA"/>
    <w:rsid w:val="51200A2D"/>
    <w:rsid w:val="513D513B"/>
    <w:rsid w:val="51F83758"/>
    <w:rsid w:val="52516C94"/>
    <w:rsid w:val="52D60D2E"/>
    <w:rsid w:val="531A3C68"/>
    <w:rsid w:val="541A5CB0"/>
    <w:rsid w:val="5571253B"/>
    <w:rsid w:val="56701B0F"/>
    <w:rsid w:val="56813D1C"/>
    <w:rsid w:val="57C3726B"/>
    <w:rsid w:val="58404F46"/>
    <w:rsid w:val="588E4FEE"/>
    <w:rsid w:val="598C3104"/>
    <w:rsid w:val="59D06D8E"/>
    <w:rsid w:val="5A68536B"/>
    <w:rsid w:val="5B055AC7"/>
    <w:rsid w:val="5BAE65A3"/>
    <w:rsid w:val="5BF62AB6"/>
    <w:rsid w:val="5D1A4582"/>
    <w:rsid w:val="5D5C4B9B"/>
    <w:rsid w:val="5D63417B"/>
    <w:rsid w:val="5E6615F0"/>
    <w:rsid w:val="5EB91099"/>
    <w:rsid w:val="61244ACF"/>
    <w:rsid w:val="63032F4E"/>
    <w:rsid w:val="630F26B0"/>
    <w:rsid w:val="65506306"/>
    <w:rsid w:val="65657A8A"/>
    <w:rsid w:val="65B01354"/>
    <w:rsid w:val="661A1A97"/>
    <w:rsid w:val="676A158C"/>
    <w:rsid w:val="68943F59"/>
    <w:rsid w:val="68C73DE6"/>
    <w:rsid w:val="69DB27B6"/>
    <w:rsid w:val="6ADC731B"/>
    <w:rsid w:val="6ADF6E0B"/>
    <w:rsid w:val="6B3410B7"/>
    <w:rsid w:val="6B5B2936"/>
    <w:rsid w:val="6BF40694"/>
    <w:rsid w:val="6C5F1FB2"/>
    <w:rsid w:val="6D757091"/>
    <w:rsid w:val="6E3A0F28"/>
    <w:rsid w:val="6ED547AD"/>
    <w:rsid w:val="6EEF1D13"/>
    <w:rsid w:val="6F173018"/>
    <w:rsid w:val="6F2D45E9"/>
    <w:rsid w:val="6F5E0C47"/>
    <w:rsid w:val="6FE74798"/>
    <w:rsid w:val="6FED3D79"/>
    <w:rsid w:val="70F42B51"/>
    <w:rsid w:val="716871DC"/>
    <w:rsid w:val="717402AD"/>
    <w:rsid w:val="71B608C6"/>
    <w:rsid w:val="727F33AE"/>
    <w:rsid w:val="72C62D8B"/>
    <w:rsid w:val="73971ED2"/>
    <w:rsid w:val="74212243"/>
    <w:rsid w:val="76AA29C3"/>
    <w:rsid w:val="76B03803"/>
    <w:rsid w:val="77C836CF"/>
    <w:rsid w:val="781C24E2"/>
    <w:rsid w:val="7855353D"/>
    <w:rsid w:val="789E522D"/>
    <w:rsid w:val="79A87D37"/>
    <w:rsid w:val="79EB757B"/>
    <w:rsid w:val="7B0F7299"/>
    <w:rsid w:val="7B7F61CD"/>
    <w:rsid w:val="7BA23C69"/>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27"/>
    <w:qFormat/>
    <w:uiPriority w:val="9"/>
    <w:pPr>
      <w:keepNext/>
      <w:keepLines/>
      <w:spacing w:line="360" w:lineRule="auto"/>
      <w:outlineLvl w:val="0"/>
    </w:pPr>
    <w:rPr>
      <w:b/>
      <w:kern w:val="44"/>
      <w:sz w:val="32"/>
    </w:rPr>
  </w:style>
  <w:style w:type="paragraph" w:styleId="4">
    <w:name w:val="heading 2"/>
    <w:basedOn w:val="3"/>
    <w:next w:val="5"/>
    <w:link w:val="30"/>
    <w:unhideWhenUsed/>
    <w:qFormat/>
    <w:uiPriority w:val="0"/>
    <w:pPr>
      <w:keepNext/>
      <w:keepLines/>
      <w:spacing w:before="260" w:after="260" w:line="416" w:lineRule="auto"/>
      <w:outlineLvl w:val="1"/>
    </w:pPr>
    <w:rPr>
      <w:rFonts w:ascii="Cambria" w:hAnsi="Cambria"/>
      <w:sz w:val="32"/>
      <w:szCs w:val="32"/>
    </w:rPr>
  </w:style>
  <w:style w:type="paragraph" w:styleId="3">
    <w:name w:val="heading 3"/>
    <w:basedOn w:val="1"/>
    <w:next w:val="1"/>
    <w:link w:val="33"/>
    <w:unhideWhenUsed/>
    <w:qFormat/>
    <w:uiPriority w:val="9"/>
    <w:pPr>
      <w:keepNext/>
      <w:keepLines/>
      <w:spacing w:before="260" w:after="260" w:line="416" w:lineRule="auto"/>
      <w:outlineLvl w:val="2"/>
    </w:pPr>
    <w:rPr>
      <w:sz w:val="32"/>
      <w:szCs w:val="32"/>
    </w:rPr>
  </w:style>
  <w:style w:type="paragraph" w:styleId="5">
    <w:name w:val="heading 4"/>
    <w:basedOn w:val="1"/>
    <w:next w:val="1"/>
    <w:link w:val="3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8"/>
    <w:unhideWhenUsed/>
    <w:qFormat/>
    <w:uiPriority w:val="99"/>
    <w:pPr>
      <w:jc w:val="left"/>
    </w:pPr>
  </w:style>
  <w:style w:type="paragraph" w:styleId="9">
    <w:name w:val="Body Text"/>
    <w:basedOn w:val="1"/>
    <w:next w:val="10"/>
    <w:link w:val="35"/>
    <w:semiHidden/>
    <w:unhideWhenUsed/>
    <w:qFormat/>
    <w:uiPriority w:val="99"/>
    <w:pPr>
      <w:spacing w:after="120"/>
    </w:pPr>
    <w:rPr>
      <w:rFonts w:asciiTheme="minorHAnsi" w:hAnsiTheme="minorHAnsi" w:eastAsiaTheme="minorEastAsia" w:cstheme="minorBidi"/>
      <w:szCs w:val="24"/>
    </w:rPr>
  </w:style>
  <w:style w:type="paragraph" w:styleId="10">
    <w:name w:val="Body Text 2"/>
    <w:basedOn w:val="1"/>
    <w:qFormat/>
    <w:uiPriority w:val="0"/>
    <w:pPr>
      <w:spacing w:line="360" w:lineRule="auto"/>
    </w:pPr>
    <w:rPr>
      <w:sz w:val="24"/>
    </w:rPr>
  </w:style>
  <w:style w:type="paragraph" w:styleId="11">
    <w:name w:val="Body Text Indent"/>
    <w:basedOn w:val="1"/>
    <w:qFormat/>
    <w:uiPriority w:val="0"/>
    <w:pPr>
      <w:spacing w:line="360" w:lineRule="auto"/>
      <w:ind w:firstLine="420" w:firstLineChars="200"/>
    </w:pPr>
  </w:style>
  <w:style w:type="paragraph" w:styleId="12">
    <w:name w:val="index 4"/>
    <w:basedOn w:val="1"/>
    <w:next w:val="1"/>
    <w:semiHidden/>
    <w:qFormat/>
    <w:uiPriority w:val="0"/>
    <w:pPr>
      <w:ind w:left="1260"/>
    </w:pPr>
  </w:style>
  <w:style w:type="paragraph" w:styleId="13">
    <w:name w:val="Balloon Text"/>
    <w:basedOn w:val="1"/>
    <w:link w:val="29"/>
    <w:semiHidden/>
    <w:unhideWhenUsed/>
    <w:qFormat/>
    <w:uiPriority w:val="99"/>
    <w:rPr>
      <w:sz w:val="18"/>
      <w:szCs w:val="18"/>
    </w:rPr>
  </w:style>
  <w:style w:type="paragraph" w:styleId="14">
    <w:name w:val="footer"/>
    <w:basedOn w:val="1"/>
    <w:link w:val="26"/>
    <w:unhideWhenUsed/>
    <w:qFormat/>
    <w:uiPriority w:val="0"/>
    <w:pPr>
      <w:tabs>
        <w:tab w:val="center" w:pos="4153"/>
        <w:tab w:val="right" w:pos="8306"/>
      </w:tabs>
      <w:snapToGrid w:val="0"/>
      <w:jc w:val="left"/>
    </w:pPr>
    <w:rPr>
      <w:sz w:val="18"/>
      <w:szCs w:val="18"/>
    </w:rPr>
  </w:style>
  <w:style w:type="paragraph" w:styleId="15">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11"/>
    <w:qFormat/>
    <w:uiPriority w:val="0"/>
    <w:rPr>
      <w:rFonts w:ascii="Calibri" w:hAns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nhideWhenUsed/>
    <w:qFormat/>
    <w:uiPriority w:val="99"/>
  </w:style>
  <w:style w:type="character" w:styleId="22">
    <w:name w:val="annotation reference"/>
    <w:qFormat/>
    <w:uiPriority w:val="0"/>
    <w:rPr>
      <w:sz w:val="21"/>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link w:val="32"/>
    <w:qFormat/>
    <w:uiPriority w:val="34"/>
    <w:pPr>
      <w:ind w:firstLine="420" w:firstLineChars="200"/>
    </w:p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character" w:customStyle="1" w:styleId="27">
    <w:name w:val="标题 1 字符"/>
    <w:basedOn w:val="20"/>
    <w:link w:val="2"/>
    <w:qFormat/>
    <w:uiPriority w:val="9"/>
    <w:rPr>
      <w:rFonts w:ascii="Times New Roman" w:hAnsi="Times New Roman" w:eastAsia="宋体" w:cs="Times New Roman"/>
      <w:b/>
      <w:kern w:val="44"/>
      <w:sz w:val="32"/>
      <w:szCs w:val="20"/>
    </w:rPr>
  </w:style>
  <w:style w:type="character" w:customStyle="1" w:styleId="28">
    <w:name w:val="批注文字 字符"/>
    <w:basedOn w:val="20"/>
    <w:link w:val="8"/>
    <w:qFormat/>
    <w:uiPriority w:val="99"/>
    <w:rPr>
      <w:rFonts w:ascii="Times New Roman" w:hAnsi="Times New Roman" w:eastAsia="宋体" w:cs="Times New Roman"/>
      <w:szCs w:val="20"/>
    </w:rPr>
  </w:style>
  <w:style w:type="character" w:customStyle="1" w:styleId="29">
    <w:name w:val="批注框文本 字符"/>
    <w:basedOn w:val="20"/>
    <w:link w:val="13"/>
    <w:semiHidden/>
    <w:qFormat/>
    <w:uiPriority w:val="99"/>
    <w:rPr>
      <w:rFonts w:ascii="Times New Roman" w:hAnsi="Times New Roman" w:eastAsia="宋体" w:cs="Times New Roman"/>
      <w:sz w:val="18"/>
      <w:szCs w:val="18"/>
    </w:rPr>
  </w:style>
  <w:style w:type="character" w:customStyle="1" w:styleId="30">
    <w:name w:val="标题 2 字符"/>
    <w:basedOn w:val="20"/>
    <w:link w:val="4"/>
    <w:qFormat/>
    <w:uiPriority w:val="0"/>
    <w:rPr>
      <w:rFonts w:ascii="Cambria" w:hAnsi="Cambria" w:eastAsia="宋体" w:cs="Times New Roman"/>
      <w:b/>
      <w:bCs/>
      <w:sz w:val="32"/>
      <w:szCs w:val="32"/>
    </w:rPr>
  </w:style>
  <w:style w:type="paragraph" w:customStyle="1" w:styleId="31">
    <w:name w:val="列出段落1"/>
    <w:basedOn w:val="1"/>
    <w:qFormat/>
    <w:uiPriority w:val="34"/>
    <w:pPr>
      <w:ind w:firstLine="420" w:firstLineChars="200"/>
    </w:pPr>
    <w:rPr>
      <w:sz w:val="24"/>
      <w:szCs w:val="24"/>
    </w:rPr>
  </w:style>
  <w:style w:type="character" w:customStyle="1" w:styleId="32">
    <w:name w:val="列表段落 字符"/>
    <w:link w:val="24"/>
    <w:qFormat/>
    <w:uiPriority w:val="34"/>
    <w:rPr>
      <w:rFonts w:ascii="Times New Roman" w:hAnsi="Times New Roman" w:eastAsia="宋体" w:cs="Times New Roman"/>
      <w:szCs w:val="20"/>
    </w:rPr>
  </w:style>
  <w:style w:type="character" w:customStyle="1" w:styleId="33">
    <w:name w:val="标题 3 字符"/>
    <w:basedOn w:val="20"/>
    <w:link w:val="3"/>
    <w:qFormat/>
    <w:uiPriority w:val="9"/>
    <w:rPr>
      <w:rFonts w:ascii="Times New Roman" w:hAnsi="Times New Roman" w:eastAsia="宋体" w:cs="Times New Roman"/>
      <w:b/>
      <w:bCs/>
      <w:sz w:val="32"/>
      <w:szCs w:val="32"/>
    </w:rPr>
  </w:style>
  <w:style w:type="character" w:customStyle="1" w:styleId="34">
    <w:name w:val="标题 4 字符"/>
    <w:basedOn w:val="20"/>
    <w:link w:val="5"/>
    <w:semiHidden/>
    <w:qFormat/>
    <w:uiPriority w:val="9"/>
    <w:rPr>
      <w:rFonts w:asciiTheme="majorHAnsi" w:hAnsiTheme="majorHAnsi" w:eastAsiaTheme="majorEastAsia" w:cstheme="majorBidi"/>
      <w:b/>
      <w:bCs/>
      <w:kern w:val="2"/>
      <w:sz w:val="28"/>
      <w:szCs w:val="28"/>
    </w:rPr>
  </w:style>
  <w:style w:type="character" w:customStyle="1" w:styleId="35">
    <w:name w:val="正文文本 字符"/>
    <w:basedOn w:val="20"/>
    <w:link w:val="9"/>
    <w:semiHidden/>
    <w:qFormat/>
    <w:uiPriority w:val="99"/>
    <w:rPr>
      <w:rFonts w:asciiTheme="minorHAnsi" w:hAnsiTheme="minorHAnsi" w:eastAsiaTheme="minorEastAsia" w:cstheme="minorBidi"/>
      <w:kern w:val="2"/>
      <w:sz w:val="21"/>
      <w:szCs w:val="24"/>
    </w:rPr>
  </w:style>
  <w:style w:type="paragraph" w:customStyle="1" w:styleId="36">
    <w:name w:val="标题1"/>
    <w:basedOn w:val="1"/>
    <w:qFormat/>
    <w:uiPriority w:val="0"/>
    <w:pPr>
      <w:widowControl/>
      <w:spacing w:line="360" w:lineRule="auto"/>
      <w:jc w:val="center"/>
    </w:pPr>
    <w:rPr>
      <w:rFonts w:ascii="黑体" w:eastAsia="黑体"/>
      <w:b/>
      <w:kern w:val="0"/>
      <w:sz w:val="44"/>
      <w:szCs w:val="20"/>
    </w:rPr>
  </w:style>
  <w:style w:type="paragraph" w:customStyle="1" w:styleId="37">
    <w:name w:val="列出段落2"/>
    <w:basedOn w:val="1"/>
    <w:qFormat/>
    <w:uiPriority w:val="34"/>
    <w:pPr>
      <w:ind w:firstLine="420" w:firstLineChars="200"/>
    </w:pPr>
    <w:rPr>
      <w:rFonts w:ascii="等线" w:hAnsi="等线" w:eastAsia="等线"/>
      <w:szCs w:val="22"/>
    </w:rPr>
  </w:style>
  <w:style w:type="paragraph" w:customStyle="1" w:styleId="3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10</Pages>
  <Words>929</Words>
  <Characters>967</Characters>
  <Lines>31</Lines>
  <Paragraphs>8</Paragraphs>
  <TotalTime>12</TotalTime>
  <ScaleCrop>false</ScaleCrop>
  <LinksUpToDate>false</LinksUpToDate>
  <CharactersWithSpaces>968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idy</cp:lastModifiedBy>
  <dcterms:modified xsi:type="dcterms:W3CDTF">2026-05-14T08:56:05Z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eyJoZGlkIjoiMzg5NWMzYTViN2RiMjhmMDY5MDlkZTM2YzZiZjliM2MiLCJ1c2VySWQiOiI3MzYzODY5MzMifQ==</vt:lpwstr>
  </property>
  <property fmtid="{D5CDD505-2E9C-101B-9397-08002B2CF9AE}" pid="4" name="ICV">
    <vt:lpwstr>C2FA1A106D564E48B0F4B731B94860B0_13</vt:lpwstr>
  </property>
</Properties>
</file>