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3"/>
        <w:rPr>
          <w:rFonts w:cs="华文中宋"/>
          <w:b/>
          <w:sz w:val="52"/>
          <w:szCs w:val="52"/>
          <w:lang w:val="zh-CN"/>
        </w:rPr>
      </w:pPr>
    </w:p>
    <w:p>
      <w:pPr>
        <w:ind w:left="0"/>
        <w:jc w:val="both"/>
        <w:rPr>
          <w:rFonts w:cs="华文中宋"/>
          <w:b/>
          <w:sz w:val="52"/>
          <w:szCs w:val="52"/>
          <w:lang w:val="zh-CN"/>
        </w:rPr>
      </w:pPr>
    </w:p>
    <w:p>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lang w:eastAsia="zh-CN"/>
        </w:rPr>
        <w:t>2026年龙岗区联合采购项目医用耗材（第一批）公开遴选文件</w:t>
      </w:r>
    </w:p>
    <w:p>
      <w:pPr>
        <w:pStyle w:val="23"/>
        <w:rPr>
          <w:rFonts w:cs="华文中宋"/>
          <w:b/>
          <w:sz w:val="52"/>
          <w:szCs w:val="52"/>
          <w:lang w:val="zh-CN"/>
        </w:rPr>
      </w:pPr>
    </w:p>
    <w:p>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LGQY2026HC0008</w:t>
      </w:r>
      <w:r>
        <w:rPr>
          <w:rFonts w:hint="eastAsia" w:cs="宋体"/>
          <w:b/>
          <w:bCs/>
          <w:color w:val="111111"/>
          <w:sz w:val="36"/>
          <w:szCs w:val="36"/>
        </w:rPr>
        <w:t>）</w:t>
      </w:r>
    </w:p>
    <w:p>
      <w:pPr>
        <w:pStyle w:val="23"/>
        <w:rPr>
          <w:b/>
          <w:sz w:val="30"/>
          <w:szCs w:val="30"/>
        </w:rPr>
      </w:pPr>
    </w:p>
    <w:p>
      <w:pPr>
        <w:pStyle w:val="23"/>
        <w:rPr>
          <w:b/>
          <w:sz w:val="30"/>
          <w:szCs w:val="30"/>
        </w:rPr>
      </w:pPr>
    </w:p>
    <w:p>
      <w:pPr>
        <w:pStyle w:val="23"/>
        <w:ind w:left="0"/>
        <w:rPr>
          <w:b/>
          <w:sz w:val="30"/>
          <w:szCs w:val="30"/>
        </w:rPr>
      </w:pPr>
    </w:p>
    <w:p>
      <w:pPr>
        <w:pStyle w:val="23"/>
        <w:ind w:left="0"/>
        <w:rPr>
          <w:b/>
          <w:sz w:val="30"/>
          <w:szCs w:val="30"/>
        </w:rPr>
      </w:pPr>
    </w:p>
    <w:p>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5</w:t>
      </w:r>
      <w:r>
        <w:rPr>
          <w:rFonts w:hint="eastAsia"/>
          <w:b/>
          <w:sz w:val="30"/>
          <w:szCs w:val="30"/>
        </w:rPr>
        <w:t>月</w:t>
      </w:r>
      <w:r>
        <w:rPr>
          <w:rFonts w:hint="eastAsia"/>
          <w:b/>
          <w:sz w:val="30"/>
          <w:szCs w:val="30"/>
          <w:lang w:val="en-US" w:eastAsia="zh-CN"/>
        </w:rPr>
        <w:t>12</w:t>
      </w:r>
      <w:r>
        <w:rPr>
          <w:rFonts w:hint="eastAsia"/>
          <w:b/>
          <w:sz w:val="30"/>
          <w:szCs w:val="30"/>
        </w:rPr>
        <w:t>日</w:t>
      </w:r>
      <w:bookmarkStart w:id="0" w:name="_Toc17358"/>
      <w:bookmarkStart w:id="1" w:name="_Toc31813"/>
      <w:bookmarkStart w:id="2" w:name="_Toc17611"/>
      <w:bookmarkStart w:id="3" w:name="_Toc19727"/>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4"/>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4"/>
        <w:rPr>
          <w:rFonts w:ascii="仿宋" w:hAnsi="仿宋" w:eastAsia="仿宋" w:cs="仿宋"/>
          <w:sz w:val="44"/>
          <w:szCs w:val="44"/>
        </w:rPr>
      </w:pPr>
    </w:p>
    <w:p>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深圳市龙岗区第七人民医院2026年龙岗区联合采购项目医用耗材（第一批）公开遴选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LGQY2026HC0008</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pPr>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5195" w:type="pct"/>
        <w:jc w:val="center"/>
        <w:tblLayout w:type="fixed"/>
        <w:tblCellMar>
          <w:top w:w="0" w:type="dxa"/>
          <w:left w:w="0" w:type="dxa"/>
          <w:bottom w:w="0" w:type="dxa"/>
          <w:right w:w="0" w:type="dxa"/>
        </w:tblCellMar>
      </w:tblPr>
      <w:tblGrid>
        <w:gridCol w:w="911"/>
        <w:gridCol w:w="2833"/>
        <w:gridCol w:w="1017"/>
        <w:gridCol w:w="1250"/>
        <w:gridCol w:w="1200"/>
        <w:gridCol w:w="1166"/>
        <w:gridCol w:w="526"/>
      </w:tblGrid>
      <w:tr>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序号</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项目名称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default" w:eastAsia="宋体" w:cs="宋体"/>
                <w:b/>
                <w:color w:val="auto"/>
                <w:lang w:val="en-US" w:eastAsia="zh-CN"/>
              </w:rPr>
            </w:pPr>
            <w:r>
              <w:rPr>
                <w:rFonts w:hint="eastAsia" w:cs="宋体"/>
                <w:b/>
                <w:color w:val="auto"/>
                <w:lang w:val="en-US" w:eastAsia="zh-CN"/>
              </w:rPr>
              <w:t>产品名称</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型号规格</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计量单位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备注</w:t>
            </w:r>
          </w:p>
        </w:tc>
      </w:tr>
      <w:tr>
        <w:tblPrEx>
          <w:tblCellMar>
            <w:top w:w="0" w:type="dxa"/>
            <w:left w:w="0" w:type="dxa"/>
            <w:bottom w:w="0" w:type="dxa"/>
            <w:right w:w="0" w:type="dxa"/>
          </w:tblCellMar>
        </w:tblPrEx>
        <w:trPr>
          <w:trHeight w:val="700" w:hRule="atLeast"/>
          <w:jc w:val="center"/>
        </w:trPr>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1</w:t>
            </w:r>
          </w:p>
        </w:tc>
        <w:tc>
          <w:tcPr>
            <w:tcW w:w="1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cs="宋体"/>
                <w:color w:val="auto"/>
                <w:sz w:val="22"/>
                <w:szCs w:val="22"/>
                <w:lang w:eastAsia="zh-CN"/>
              </w:rPr>
            </w:pPr>
            <w:r>
              <w:rPr>
                <w:rFonts w:hint="eastAsia" w:cs="宋体"/>
                <w:color w:val="auto"/>
                <w:sz w:val="22"/>
                <w:szCs w:val="22"/>
                <w:lang w:val="en-US" w:eastAsia="zh-CN"/>
              </w:rPr>
              <w:t>深圳市龙岗区第七人民医院2026年龙岗区联合采购项目医用耗材（第一批）公开遴选（采购编号：LGQY2026HC0008）</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详见附件</w:t>
            </w:r>
            <w:bookmarkStart w:id="6" w:name="_GoBack"/>
            <w:bookmarkEnd w:id="6"/>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详见附件</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hint="default" w:eastAsia="宋体" w:cs="宋体"/>
                <w:color w:val="auto"/>
                <w:sz w:val="22"/>
                <w:szCs w:val="22"/>
                <w:lang w:val="en-US" w:eastAsia="zh-CN"/>
              </w:rPr>
            </w:pPr>
            <w:r>
              <w:rPr>
                <w:rFonts w:cs="宋体"/>
                <w:color w:val="auto"/>
                <w:sz w:val="22"/>
                <w:szCs w:val="22"/>
              </w:rPr>
              <w:t>详见附件</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已备注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auto"/>
                <w:sz w:val="22"/>
                <w:szCs w:val="22"/>
              </w:rPr>
            </w:pPr>
          </w:p>
        </w:tc>
      </w:tr>
    </w:tbl>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2.各报名品牌报价不得高于深圳医用耗材阳光交易和监管平台限价。</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3.投标产品必须符合整个包组内产品明细，方可投标。</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4.所投深圳医用耗材阳光交易和监管平台目录的产品必须能在深圳医用耗材阳光交易和监管平台上采购，方可投标。</w:t>
      </w: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2025年12月份增值税纳税报表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遴选现场提交</w:t>
            </w:r>
          </w:p>
        </w:tc>
        <w:tc>
          <w:tcPr>
            <w:tcW w:w="7335" w:type="dxa"/>
            <w:vAlign w:val="center"/>
          </w:tcPr>
          <w:p>
            <w:pPr>
              <w:spacing w:line="300" w:lineRule="exact"/>
              <w:ind w:left="0"/>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现场</w:t>
            </w:r>
          </w:p>
          <w:p>
            <w:pPr>
              <w:spacing w:line="300" w:lineRule="exact"/>
              <w:ind w:left="0"/>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提交</w:t>
            </w:r>
          </w:p>
        </w:tc>
        <w:tc>
          <w:tcPr>
            <w:tcW w:w="704" w:type="dxa"/>
          </w:tcPr>
          <w:p>
            <w:pPr>
              <w:spacing w:line="300" w:lineRule="exact"/>
              <w:ind w:left="0"/>
              <w:rPr>
                <w:rFonts w:hint="eastAsia" w:ascii="仿宋_GB2312" w:hAnsi="仿宋_GB2312" w:eastAsia="仿宋_GB2312" w:cs="仿宋_GB2312"/>
                <w:b/>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行为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400" w:firstLineChars="1000"/>
            </w:pPr>
            <w:r>
              <w:rPr>
                <w:rFonts w:hint="eastAsia" w:ascii="仿宋_GB2312" w:hAnsi="仿宋_GB2312" w:eastAsia="仿宋_GB2312" w:cs="仿宋_GB2312"/>
              </w:rPr>
              <w:t>正反面</w:t>
            </w:r>
          </w:p>
        </w:tc>
      </w:tr>
    </w:tbl>
    <w:p>
      <w:pPr>
        <w:pStyle w:val="8"/>
        <w:snapToGrid/>
        <w:spacing w:beforeAutospacing="0" w:afterAutospacing="0" w:line="560" w:lineRule="exact"/>
        <w:ind w:left="0" w:leftChars="0" w:right="0" w:rightChars="0" w:firstLine="482" w:firstLineChars="0"/>
        <w:jc w:val="left"/>
        <w:rPr>
          <w:rFonts w:ascii="仿宋" w:eastAsia="仿宋"/>
          <w:sz w:val="24"/>
        </w:rPr>
      </w:pPr>
    </w:p>
    <w:p>
      <w:pPr>
        <w:pStyle w:val="2"/>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167" w:type="dxa"/>
        <w:tblInd w:w="0" w:type="dxa"/>
        <w:tblLayout w:type="autofit"/>
        <w:tblCellMar>
          <w:top w:w="0" w:type="dxa"/>
          <w:left w:w="0" w:type="dxa"/>
          <w:bottom w:w="0" w:type="dxa"/>
          <w:right w:w="0" w:type="dxa"/>
        </w:tblCellMar>
      </w:tblPr>
      <w:tblGrid>
        <w:gridCol w:w="348"/>
        <w:gridCol w:w="505"/>
        <w:gridCol w:w="975"/>
        <w:gridCol w:w="1470"/>
        <w:gridCol w:w="584"/>
        <w:gridCol w:w="505"/>
        <w:gridCol w:w="1607"/>
        <w:gridCol w:w="348"/>
        <w:gridCol w:w="348"/>
        <w:gridCol w:w="505"/>
        <w:gridCol w:w="505"/>
        <w:gridCol w:w="505"/>
        <w:gridCol w:w="1743"/>
        <w:gridCol w:w="4737"/>
        <w:gridCol w:w="482"/>
      </w:tblGrid>
      <w:tr>
        <w:tblPrEx>
          <w:tblCellMar>
            <w:top w:w="0" w:type="dxa"/>
            <w:left w:w="0" w:type="dxa"/>
            <w:bottom w:w="0" w:type="dxa"/>
            <w:right w:w="0" w:type="dxa"/>
          </w:tblCellMar>
        </w:tblPrEx>
        <w:trPr>
          <w:trHeight w:val="512" w:hRule="atLeast"/>
        </w:trPr>
        <w:tc>
          <w:tcPr>
            <w:tcW w:w="0" w:type="auto"/>
            <w:gridSpan w:val="14"/>
            <w:tcBorders>
              <w:top w:val="single" w:color="000000" w:sz="4" w:space="0"/>
              <w:left w:val="single" w:color="000000" w:sz="4" w:space="0"/>
              <w:bottom w:val="nil"/>
              <w:right w:val="single" w:color="000000" w:sz="4" w:space="0"/>
            </w:tcBorders>
          </w:tcPr>
          <w:p>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c>
          <w:tcPr>
            <w:tcW w:w="482" w:type="dxa"/>
            <w:tcBorders>
              <w:top w:val="single" w:color="000000" w:sz="4" w:space="0"/>
              <w:left w:val="single" w:color="000000" w:sz="4" w:space="0"/>
              <w:bottom w:val="nil"/>
              <w:right w:val="single" w:color="000000" w:sz="4" w:space="0"/>
            </w:tcBorders>
          </w:tcPr>
          <w:p>
            <w:pPr>
              <w:jc w:val="center"/>
              <w:rPr>
                <w:rFonts w:hint="eastAsia" w:ascii="仿宋_GB2312" w:hAnsi="仿宋_GB2312" w:eastAsia="仿宋_GB2312" w:cs="仿宋_GB2312"/>
                <w:bCs/>
                <w:color w:val="auto"/>
                <w:spacing w:val="0"/>
                <w:kern w:val="0"/>
                <w:sz w:val="24"/>
                <w:szCs w:val="24"/>
                <w:lang w:val="en-US" w:eastAsia="zh-CN" w:bidi="ar-SA"/>
              </w:rPr>
            </w:pPr>
          </w:p>
        </w:tc>
      </w:tr>
      <w:tr>
        <w:tblPrEx>
          <w:tblCellMar>
            <w:top w:w="0" w:type="dxa"/>
            <w:left w:w="0" w:type="dxa"/>
            <w:bottom w:w="0" w:type="dxa"/>
            <w:right w:w="0" w:type="dxa"/>
          </w:tblCellMar>
        </w:tblPrEx>
        <w:trPr>
          <w:trHeight w:val="18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tblPrEx>
          <w:tblCellMar>
            <w:top w:w="0" w:type="dxa"/>
            <w:left w:w="0" w:type="dxa"/>
            <w:bottom w:w="0" w:type="dxa"/>
            <w:right w:w="0" w:type="dxa"/>
          </w:tblCellMar>
        </w:tblPrEx>
        <w:trPr>
          <w:trHeight w:val="13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4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0" w:type="auto"/>
        <w:tblInd w:w="0" w:type="dxa"/>
        <w:tblLayout w:type="autofit"/>
        <w:tblCellMar>
          <w:top w:w="0" w:type="dxa"/>
          <w:left w:w="108" w:type="dxa"/>
          <w:bottom w:w="0" w:type="dxa"/>
          <w:right w:w="108" w:type="dxa"/>
        </w:tblCellMar>
      </w:tblPr>
      <w:tblGrid>
        <w:gridCol w:w="501"/>
        <w:gridCol w:w="1176"/>
        <w:gridCol w:w="1366"/>
        <w:gridCol w:w="1219"/>
        <w:gridCol w:w="638"/>
        <w:gridCol w:w="592"/>
        <w:gridCol w:w="1333"/>
        <w:gridCol w:w="501"/>
        <w:gridCol w:w="501"/>
        <w:gridCol w:w="592"/>
        <w:gridCol w:w="592"/>
        <w:gridCol w:w="593"/>
        <w:gridCol w:w="1164"/>
        <w:gridCol w:w="3666"/>
        <w:gridCol w:w="502"/>
      </w:tblGrid>
      <w:tr>
        <w:tblPrEx>
          <w:tblCellMar>
            <w:top w:w="0" w:type="dxa"/>
            <w:left w:w="108" w:type="dxa"/>
            <w:bottom w:w="0" w:type="dxa"/>
            <w:right w:w="108" w:type="dxa"/>
          </w:tblCellMar>
        </w:tblPrEx>
        <w:trPr>
          <w:trHeight w:val="605" w:hRule="atLeast"/>
        </w:trPr>
        <w:tc>
          <w:tcPr>
            <w:tcW w:w="0" w:type="auto"/>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p>
        </w:tc>
      </w:tr>
      <w:tr>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default"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我院挂网最高限价（元）</w:t>
            </w:r>
          </w:p>
        </w:tc>
        <w:tc>
          <w:tcPr>
            <w:tcW w:w="0" w:type="auto"/>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auto"/>
                <w:spacing w:val="0"/>
                <w:kern w:val="0"/>
                <w:sz w:val="21"/>
                <w:szCs w:val="21"/>
                <w:lang w:val="en-US" w:eastAsia="zh-CN" w:bidi="ar-SA"/>
              </w:rPr>
              <w:t>“我院挂网最高限价（元）”为本院实际挂出的采购限价，即投标产品不得高于此价格。若某产品我院未挂出具体限价，则该列填“/”。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w:t>
      </w:r>
      <w:r>
        <w:rPr>
          <w:rFonts w:hint="eastAsia" w:ascii="仿宋_GB2312" w:hAnsi="仿宋_GB2312" w:eastAsia="仿宋_GB2312" w:cs="仿宋_GB2312"/>
          <w:color w:val="auto"/>
          <w:sz w:val="24"/>
          <w:lang w:eastAsia="zh-CN"/>
        </w:rPr>
        <w:t>药品监督管理局</w:t>
      </w:r>
      <w:r>
        <w:rPr>
          <w:rFonts w:hint="eastAsia" w:ascii="仿宋_GB2312" w:hAnsi="仿宋_GB2312" w:eastAsia="仿宋_GB2312" w:cs="仿宋_GB2312"/>
          <w:color w:val="auto"/>
          <w:sz w:val="24"/>
        </w:rPr>
        <w:t>查询并截图打印；注册证过期的须后附受理通知书。</w:t>
      </w:r>
    </w:p>
    <w:p>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bl>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pStyle w:val="2"/>
        <w:rPr>
          <w:rFonts w:hint="eastAsia"/>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rPr>
      </w:pPr>
    </w:p>
    <w:p>
      <w:pPr>
        <w:rPr>
          <w:rFonts w:hint="eastAsia" w:ascii="仿宋" w:eastAsia="仿宋" w:cs="宋体"/>
          <w:color w:val="auto"/>
          <w:sz w:val="24"/>
          <w:highlight w:val="none"/>
        </w:rPr>
      </w:pPr>
    </w:p>
    <w:p>
      <w:pPr>
        <w:pStyle w:val="2"/>
      </w:pP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pStyle w:val="2"/>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pStyle w:val="23"/>
        <w:ind w:firstLine="2720" w:firstLineChars="800"/>
        <w:rPr>
          <w:rFonts w:hint="eastAsia" w:ascii="仿宋_GB2312" w:hAnsi="仿宋_GB2312" w:eastAsia="仿宋_GB2312" w:cs="仿宋_GB2312"/>
          <w:color w:val="auto"/>
          <w:sz w:val="32"/>
          <w:szCs w:val="32"/>
          <w:highlight w:val="none"/>
        </w:rPr>
      </w:pPr>
    </w:p>
    <w:p>
      <w:pPr>
        <w:pStyle w:val="23"/>
        <w:ind w:firstLine="2720" w:firstLineChars="800"/>
        <w:rPr>
          <w:rFonts w:hint="eastAsia" w:ascii="仿宋_GB2312" w:hAnsi="仿宋_GB2312" w:eastAsia="仿宋_GB2312" w:cs="仿宋_GB2312"/>
          <w:color w:val="auto"/>
          <w:sz w:val="32"/>
          <w:szCs w:val="32"/>
          <w:highlight w:val="none"/>
        </w:rPr>
      </w:pP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pPr>
        <w:tabs>
          <w:tab w:val="left" w:pos="4860"/>
          <w:tab w:val="left" w:pos="5400"/>
          <w:tab w:val="left" w:pos="5580"/>
        </w:tabs>
        <w:ind w:left="0"/>
        <w:rPr>
          <w:rFonts w:ascii="仿宋_GB2312" w:eastAsia="仿宋_GB2312"/>
          <w:bCs/>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年12月份增值税纳税报表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pacing w:line="500" w:lineRule="atLeast"/>
        <w:ind w:left="0" w:firstLine="360" w:firstLineChars="150"/>
        <w:jc w:val="both"/>
        <w:rPr>
          <w:rFonts w:cs="宋体"/>
          <w:color w:val="auto"/>
          <w:highlight w:val="none"/>
        </w:rPr>
      </w:pPr>
    </w:p>
    <w:p>
      <w:pPr>
        <w:pStyle w:val="2"/>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pPr>
        <w:spacing w:line="500" w:lineRule="exact"/>
        <w:rPr>
          <w:rFonts w:hint="eastAsia" w:ascii="仿宋_GB2312" w:hAnsi="仿宋_GB2312" w:eastAsia="仿宋_GB2312" w:cs="仿宋_GB2312"/>
          <w:b/>
          <w:bCs/>
          <w:color w:val="auto"/>
          <w:sz w:val="24"/>
        </w:rPr>
      </w:pPr>
    </w:p>
    <w:p>
      <w:pPr>
        <w:pStyle w:val="32"/>
        <w:rPr>
          <w:rFonts w:hint="eastAsia" w:ascii="仿宋_GB2312" w:hAnsi="仿宋_GB2312" w:eastAsia="仿宋_GB2312" w:cs="仿宋_GB2312"/>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pPr>
        <w:spacing w:line="500" w:lineRule="exact"/>
        <w:ind w:left="0" w:leftChars="0" w:firstLine="0" w:firstLineChars="0"/>
        <w:rPr>
          <w:rFonts w:hint="eastAsia" w:ascii="仿宋_GB2312" w:hAnsi="仿宋_GB2312" w:eastAsia="仿宋_GB2312" w:cs="仿宋_GB2312"/>
          <w:color w:val="auto"/>
        </w:rPr>
      </w:pPr>
    </w:p>
    <w:p>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120" w:type="dxa"/>
        <w:jc w:val="center"/>
        <w:tblLayout w:type="fixed"/>
        <w:tblCellMar>
          <w:top w:w="0" w:type="dxa"/>
          <w:left w:w="0" w:type="dxa"/>
          <w:bottom w:w="0" w:type="dxa"/>
          <w:right w:w="0" w:type="dxa"/>
        </w:tblCellMar>
      </w:tblPr>
      <w:tblGrid>
        <w:gridCol w:w="1080"/>
        <w:gridCol w:w="4440"/>
        <w:gridCol w:w="1710"/>
        <w:gridCol w:w="1890"/>
      </w:tblGrid>
      <w:tr>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售后服务响应表</w:t>
            </w:r>
          </w:p>
        </w:tc>
      </w:tr>
      <w:tr>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※注意：响应情况分为三种，“不响应”“响应”和“优于”，请报名企业根据实际情况填写。若填写的是“不响应”和“优于”，必须详细填写“说明”。</w:t>
            </w:r>
            <w:r>
              <w:rPr>
                <w:rFonts w:hint="eastAsia" w:ascii="仿宋_GB2312" w:hAnsi="仿宋_GB2312" w:eastAsia="仿宋_GB2312" w:cs="仿宋_GB2312"/>
                <w:b/>
                <w:bCs/>
                <w:color w:val="auto"/>
                <w:kern w:val="0"/>
                <w:sz w:val="24"/>
                <w:szCs w:val="24"/>
                <w:lang w:bidi="ar"/>
              </w:rPr>
              <w:t>序号1.1不响应扣5分，其它序号不响应1项扣0.25分。</w:t>
            </w: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序号</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服务条款</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说明</w:t>
            </w: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kern w:val="0"/>
                <w:sz w:val="24"/>
                <w:szCs w:val="24"/>
                <w:lang w:bidi="ar"/>
              </w:rPr>
              <w:t>送货及库存：</w:t>
            </w: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在深圳市内设有仓库，且保证货源充足。</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color w:val="auto"/>
                <w:kern w:val="0"/>
                <w:sz w:val="24"/>
                <w:szCs w:val="24"/>
                <w:lang w:bidi="ar"/>
              </w:rPr>
              <w:t>在深圳市内设有仓库</w:t>
            </w:r>
            <w:r>
              <w:rPr>
                <w:rFonts w:hint="eastAsia" w:ascii="仿宋_GB2312" w:hAnsi="仿宋_GB2312" w:eastAsia="仿宋_GB2312" w:cs="仿宋_GB2312"/>
                <w:b/>
                <w:bCs/>
                <w:color w:val="auto"/>
                <w:kern w:val="0"/>
                <w:sz w:val="24"/>
                <w:szCs w:val="24"/>
                <w:lang w:bidi="ar"/>
              </w:rPr>
              <w:t>（需提供场地证明/租赁合同/房屋租赁登记备案证明）。</w:t>
            </w:r>
          </w:p>
          <w:p>
            <w:pPr>
              <w:widowControl/>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b/>
                <w:bCs/>
                <w:color w:val="auto"/>
                <w:kern w:val="0"/>
                <w:sz w:val="24"/>
                <w:szCs w:val="24"/>
                <w:lang w:bidi="ar"/>
              </w:rPr>
              <w:t>备注：场地证明以社区工作站提供的为准</w:t>
            </w:r>
          </w:p>
        </w:tc>
      </w:tr>
      <w:tr>
        <w:tblPrEx>
          <w:tblCellMar>
            <w:top w:w="0" w:type="dxa"/>
            <w:left w:w="0" w:type="dxa"/>
            <w:bottom w:w="0" w:type="dxa"/>
            <w:right w:w="0" w:type="dxa"/>
          </w:tblCellMar>
        </w:tblPrEx>
        <w:trPr>
          <w:trHeight w:val="1037"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1.2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auto"/>
                <w:kern w:val="0"/>
                <w:sz w:val="24"/>
                <w:szCs w:val="24"/>
                <w:lang w:bidi="ar"/>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紧急配送（如急诊手术等）保证产品1小时内送达，</w:t>
            </w:r>
            <w:r>
              <w:rPr>
                <w:rFonts w:hint="eastAsia" w:ascii="仿宋_GB2312" w:hAnsi="仿宋_GB2312" w:eastAsia="仿宋_GB2312" w:cs="仿宋_GB2312"/>
                <w:kern w:val="0"/>
                <w:sz w:val="24"/>
                <w:szCs w:val="24"/>
              </w:rPr>
              <w:t>同时保证配套仪器随产品一起送达</w:t>
            </w:r>
            <w:r>
              <w:rPr>
                <w:rFonts w:hint="eastAsia" w:ascii="仿宋_GB2312" w:hAnsi="仿宋_GB2312" w:eastAsia="仿宋_GB2312" w:cs="仿宋_GB2312"/>
                <w:color w:val="000000"/>
                <w:kern w:val="0"/>
                <w:sz w:val="24"/>
                <w:szCs w:val="24"/>
                <w:lang w:bidi="ar"/>
              </w:rPr>
              <w:t>。</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按照医院要求，高值类手术耗材的产品须在医院建立库存。手术数量明显增加的情况下，必须在医院放置备用的手术所需的耗材。</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所有植入物必须提供原厂完整齐备的资料。</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1.6</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退换货：</w:t>
            </w: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医院接收货物后若有疑义或使用前发现不宜使用的现象，公司随时提供免费退换货服务。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近效期退换：对于接近有效期的产品（近效期3个月或以上的），中选企业保证无条件更换新批号且有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不良反应：</w:t>
            </w: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质量保证：</w:t>
            </w:r>
          </w:p>
        </w:tc>
      </w:tr>
      <w:tr>
        <w:tblPrEx>
          <w:tblCellMar>
            <w:top w:w="0" w:type="dxa"/>
            <w:left w:w="0" w:type="dxa"/>
            <w:bottom w:w="0" w:type="dxa"/>
            <w:right w:w="0" w:type="dxa"/>
          </w:tblCellMar>
        </w:tblPrEx>
        <w:trPr>
          <w:trHeight w:val="41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保证：</w:t>
            </w: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5.1</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000000"/>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5.2</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作为医疗器械管理的中标产品需在深圳医用耗材阳光交易和监管平台签订线上采购合同，不配合在平台签订线上采购合同的将直接重新招标。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5.3</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可收费的医用耗材必须提供国家医保编码，如供货后无法提供国家医保编码将不予结算。</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5.4</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作为医疗器械管理的产品价格不得高于广东省药品电子交易平台上的限价、深圳市阳光交易平台的限价；中标后如价格高于平台限价，直接按平台限价签订合同。</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r>
      <w:tr>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5.5</w:t>
            </w:r>
          </w:p>
        </w:tc>
        <w:tc>
          <w:tcPr>
            <w:tcW w:w="4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此次中标价为协议价格，如在合同执行期间价格在深圳市阳光交易平台上显示为红色区域，中标商无条件配合调价至绿区；不配合的将废标重新招标。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b/>
                <w:color w:val="auto"/>
                <w:sz w:val="24"/>
                <w:szCs w:val="24"/>
              </w:rPr>
            </w:pPr>
          </w:p>
        </w:tc>
      </w:tr>
    </w:tbl>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ind w:left="0" w:leftChars="0" w:firstLine="0" w:firstLineChars="0"/>
        <w:rPr>
          <w:rFonts w:hint="eastAsia" w:ascii="仿宋" w:hAnsi="仿宋" w:eastAsia="仿宋" w:cs="仿宋"/>
          <w:bCs/>
          <w:color w:val="auto"/>
          <w:spacing w:val="10"/>
          <w:sz w:val="24"/>
          <w:szCs w:val="32"/>
          <w:highlight w:val="yellow"/>
          <w:lang w:val="en-US" w:eastAsia="zh-CN" w:bidi="ar-SA"/>
        </w:rPr>
      </w:pPr>
    </w:p>
    <w:p>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w:t>
      </w:r>
      <w:r>
        <w:rPr>
          <w:rFonts w:hint="eastAsia" w:ascii="仿宋_GB2312" w:hAnsi="仿宋_GB2312" w:eastAsia="仿宋_GB2312" w:cs="仿宋_GB2312"/>
          <w:b/>
          <w:bCs w:val="0"/>
          <w:color w:val="auto"/>
          <w:spacing w:val="10"/>
          <w:sz w:val="24"/>
          <w:szCs w:val="32"/>
          <w:highlight w:val="none"/>
          <w:lang w:val="en-US" w:eastAsia="zh-CN" w:bidi="ar-SA"/>
        </w:rPr>
        <w:t>遴选当日</w:t>
      </w:r>
      <w:r>
        <w:rPr>
          <w:rFonts w:hint="eastAsia" w:ascii="仿宋_GB2312" w:hAnsi="仿宋_GB2312" w:eastAsia="仿宋_GB2312" w:cs="仿宋_GB2312"/>
          <w:bCs/>
          <w:color w:val="auto"/>
          <w:spacing w:val="10"/>
          <w:sz w:val="24"/>
          <w:szCs w:val="32"/>
          <w:highlight w:val="none"/>
          <w:lang w:val="en-US" w:eastAsia="zh-CN" w:bidi="ar-SA"/>
        </w:rPr>
        <w:t>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30分</w:t>
            </w:r>
          </w:p>
        </w:tc>
      </w:tr>
      <w:tr>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参与报价最低的为基准价，其价格分为满分（30分）。其他参与人得分=（评审基准价/参与报价）*价格权重</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50分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满足以上两项要求的评价为良，得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分，满足以上两项要求得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15</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自2024年3月1日至本项目投标截止日，所投产品具有医院同类业绩的（仅限投标产品同样规格型号），每提供1个业绩得2分，本项最高得8分。</w:t>
            </w:r>
          </w:p>
          <w:p>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w:t>
            </w:r>
            <w:r>
              <w:rPr>
                <w:rFonts w:hint="eastAsia" w:ascii="仿宋_GB2312" w:hAnsi="仿宋_GB2312" w:eastAsia="仿宋_GB2312" w:cs="仿宋_GB2312"/>
                <w:bCs/>
                <w:color w:val="auto"/>
                <w:spacing w:val="10"/>
                <w:sz w:val="24"/>
                <w:szCs w:val="32"/>
                <w:highlight w:val="none"/>
                <w:lang w:val="zh-CN" w:eastAsia="zh-CN" w:bidi="ar-SA"/>
              </w:rPr>
              <w:t>〈</w:t>
            </w:r>
            <w:r>
              <w:rPr>
                <w:rFonts w:hint="default" w:ascii="仿宋_GB2312" w:hAnsi="仿宋_GB2312" w:eastAsia="仿宋_GB2312" w:cs="仿宋_GB2312"/>
                <w:bCs/>
                <w:color w:val="auto"/>
                <w:spacing w:val="10"/>
                <w:sz w:val="24"/>
                <w:szCs w:val="32"/>
                <w:highlight w:val="none"/>
                <w:lang w:val="zh-CN" w:eastAsia="zh-CN" w:bidi="ar-SA"/>
              </w:rPr>
              <w: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签订购销合同（协议），并严格履行购销合同（协议），切实保障医用耗材质量和供应，合同期限与龙岗区联合采购结果保持一致。</w:t>
      </w: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1" w:fontKey="{1BCFE98D-3C3B-4625-8658-FDFA9745F0C7}"/>
  </w:font>
  <w:font w:name="华文中宋">
    <w:panose1 w:val="02010600040101010101"/>
    <w:charset w:val="86"/>
    <w:family w:val="auto"/>
    <w:pitch w:val="default"/>
    <w:sig w:usb0="00000287" w:usb1="080F0000" w:usb2="00000000" w:usb3="00000000" w:csb0="0004009F" w:csb1="DFD70000"/>
    <w:embedRegular r:id="rId2" w:fontKey="{B7FE7005-C350-4094-96D9-146A4B7258CB}"/>
  </w:font>
  <w:font w:name="方正小标宋简体">
    <w:panose1 w:val="03000509000000000000"/>
    <w:charset w:val="86"/>
    <w:family w:val="auto"/>
    <w:pitch w:val="default"/>
    <w:sig w:usb0="00000001" w:usb1="080E0000" w:usb2="00000000" w:usb3="00000000" w:csb0="00040000" w:csb1="00000000"/>
    <w:embedRegular r:id="rId3" w:fontKey="{A09BDE32-7B87-4439-B261-58FBC35685E3}"/>
  </w:font>
  <w:font w:name="仿宋">
    <w:panose1 w:val="02010609060101010101"/>
    <w:charset w:val="86"/>
    <w:family w:val="auto"/>
    <w:pitch w:val="default"/>
    <w:sig w:usb0="800002BF" w:usb1="38CF7CFA" w:usb2="00000016" w:usb3="00000000" w:csb0="00040001" w:csb1="00000000"/>
    <w:embedRegular r:id="rId4" w:fontKey="{1C6C6A51-0BAE-45D6-8EC2-CCA2B09B365D}"/>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63730"/>
    <w:rsid w:val="00391E97"/>
    <w:rsid w:val="003E01BA"/>
    <w:rsid w:val="003F4B4B"/>
    <w:rsid w:val="00441793"/>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15E0378"/>
    <w:rsid w:val="02663C42"/>
    <w:rsid w:val="02A46E74"/>
    <w:rsid w:val="030652A3"/>
    <w:rsid w:val="03990C42"/>
    <w:rsid w:val="03B76F8D"/>
    <w:rsid w:val="03C52DA0"/>
    <w:rsid w:val="0443123E"/>
    <w:rsid w:val="046D1743"/>
    <w:rsid w:val="047D1717"/>
    <w:rsid w:val="04E5327A"/>
    <w:rsid w:val="055B2863"/>
    <w:rsid w:val="056E2011"/>
    <w:rsid w:val="059E7D86"/>
    <w:rsid w:val="05C933F6"/>
    <w:rsid w:val="063E0A32"/>
    <w:rsid w:val="064253DE"/>
    <w:rsid w:val="06BB4119"/>
    <w:rsid w:val="06D501D8"/>
    <w:rsid w:val="07333482"/>
    <w:rsid w:val="081C157F"/>
    <w:rsid w:val="08421C7B"/>
    <w:rsid w:val="08DE62F9"/>
    <w:rsid w:val="09ED57F3"/>
    <w:rsid w:val="0A125B09"/>
    <w:rsid w:val="0A746F89"/>
    <w:rsid w:val="0AC7775B"/>
    <w:rsid w:val="0B107941"/>
    <w:rsid w:val="0B481F4B"/>
    <w:rsid w:val="0B9B0A49"/>
    <w:rsid w:val="0BCB0294"/>
    <w:rsid w:val="0BDA3B98"/>
    <w:rsid w:val="0C82125C"/>
    <w:rsid w:val="0E20396C"/>
    <w:rsid w:val="0E3015A8"/>
    <w:rsid w:val="0E4264AA"/>
    <w:rsid w:val="0ECA2C1E"/>
    <w:rsid w:val="0EFE205F"/>
    <w:rsid w:val="0F3A61C0"/>
    <w:rsid w:val="103F59A7"/>
    <w:rsid w:val="107953C7"/>
    <w:rsid w:val="10A314C4"/>
    <w:rsid w:val="10C90F8D"/>
    <w:rsid w:val="12082385"/>
    <w:rsid w:val="12246F4C"/>
    <w:rsid w:val="122F40D7"/>
    <w:rsid w:val="12791427"/>
    <w:rsid w:val="128E188A"/>
    <w:rsid w:val="13511D2B"/>
    <w:rsid w:val="13A04671"/>
    <w:rsid w:val="140212F1"/>
    <w:rsid w:val="141C4F77"/>
    <w:rsid w:val="14833AAE"/>
    <w:rsid w:val="153646AE"/>
    <w:rsid w:val="15884DBE"/>
    <w:rsid w:val="15BF33A7"/>
    <w:rsid w:val="176F7DE6"/>
    <w:rsid w:val="180508FD"/>
    <w:rsid w:val="182D4BF8"/>
    <w:rsid w:val="18387277"/>
    <w:rsid w:val="189E2684"/>
    <w:rsid w:val="18A92E55"/>
    <w:rsid w:val="190D4E69"/>
    <w:rsid w:val="19324808"/>
    <w:rsid w:val="19642CC7"/>
    <w:rsid w:val="197B4906"/>
    <w:rsid w:val="198033E4"/>
    <w:rsid w:val="19A6673B"/>
    <w:rsid w:val="19EE4F26"/>
    <w:rsid w:val="1A4800F8"/>
    <w:rsid w:val="1A76468B"/>
    <w:rsid w:val="1ACA635B"/>
    <w:rsid w:val="1B0124B1"/>
    <w:rsid w:val="1B0B1E6A"/>
    <w:rsid w:val="1B1F7E86"/>
    <w:rsid w:val="1B50328A"/>
    <w:rsid w:val="1B685520"/>
    <w:rsid w:val="1C7D3C0B"/>
    <w:rsid w:val="1D491D3F"/>
    <w:rsid w:val="1DBE677A"/>
    <w:rsid w:val="1DC141BF"/>
    <w:rsid w:val="1E126F17"/>
    <w:rsid w:val="1E280500"/>
    <w:rsid w:val="1E7F2E71"/>
    <w:rsid w:val="1EC304AC"/>
    <w:rsid w:val="1F1C7FD6"/>
    <w:rsid w:val="1F5D31AF"/>
    <w:rsid w:val="200A4593"/>
    <w:rsid w:val="2110115D"/>
    <w:rsid w:val="217D109D"/>
    <w:rsid w:val="21886C0B"/>
    <w:rsid w:val="21933136"/>
    <w:rsid w:val="21A625A3"/>
    <w:rsid w:val="222169FC"/>
    <w:rsid w:val="228201CD"/>
    <w:rsid w:val="239475F2"/>
    <w:rsid w:val="23D70D80"/>
    <w:rsid w:val="24A5440E"/>
    <w:rsid w:val="24B404DD"/>
    <w:rsid w:val="24E34BBB"/>
    <w:rsid w:val="252B2217"/>
    <w:rsid w:val="254C059B"/>
    <w:rsid w:val="25FA6B85"/>
    <w:rsid w:val="263B7F0E"/>
    <w:rsid w:val="28D64DCE"/>
    <w:rsid w:val="2A103E86"/>
    <w:rsid w:val="2A3515C7"/>
    <w:rsid w:val="2AE1700F"/>
    <w:rsid w:val="2B0E43FF"/>
    <w:rsid w:val="2C146B06"/>
    <w:rsid w:val="2C335984"/>
    <w:rsid w:val="2C39785A"/>
    <w:rsid w:val="2C512B0C"/>
    <w:rsid w:val="2C9E72F0"/>
    <w:rsid w:val="2D1C285D"/>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012F1B"/>
    <w:rsid w:val="347164DD"/>
    <w:rsid w:val="34D022F4"/>
    <w:rsid w:val="34F366F2"/>
    <w:rsid w:val="36BB5B05"/>
    <w:rsid w:val="37415FD4"/>
    <w:rsid w:val="37B64335"/>
    <w:rsid w:val="38303DCF"/>
    <w:rsid w:val="3876660A"/>
    <w:rsid w:val="39152B4D"/>
    <w:rsid w:val="392A081F"/>
    <w:rsid w:val="39E91B1E"/>
    <w:rsid w:val="3ABF3447"/>
    <w:rsid w:val="3B4539F6"/>
    <w:rsid w:val="3B7019D0"/>
    <w:rsid w:val="3B7362F6"/>
    <w:rsid w:val="3BC633F2"/>
    <w:rsid w:val="3C7E335B"/>
    <w:rsid w:val="3C8E6A7D"/>
    <w:rsid w:val="3CD80577"/>
    <w:rsid w:val="3CE07B72"/>
    <w:rsid w:val="3CF106EA"/>
    <w:rsid w:val="3D0C54A9"/>
    <w:rsid w:val="3DB77538"/>
    <w:rsid w:val="3E265AA9"/>
    <w:rsid w:val="3E5C3A82"/>
    <w:rsid w:val="3E810AA3"/>
    <w:rsid w:val="3EF029D2"/>
    <w:rsid w:val="3F5D2E5B"/>
    <w:rsid w:val="3FE61852"/>
    <w:rsid w:val="402C28CD"/>
    <w:rsid w:val="407B57BE"/>
    <w:rsid w:val="41C030E4"/>
    <w:rsid w:val="424E59CB"/>
    <w:rsid w:val="426262E7"/>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A5D7C85"/>
    <w:rsid w:val="4B167D1B"/>
    <w:rsid w:val="4B963F4C"/>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6777B8"/>
    <w:rsid w:val="50746A1B"/>
    <w:rsid w:val="50C70955"/>
    <w:rsid w:val="51087240"/>
    <w:rsid w:val="51254AB4"/>
    <w:rsid w:val="514A0EF8"/>
    <w:rsid w:val="51D40ED6"/>
    <w:rsid w:val="5252070D"/>
    <w:rsid w:val="5292459F"/>
    <w:rsid w:val="52D20968"/>
    <w:rsid w:val="52E95DA2"/>
    <w:rsid w:val="53047BB4"/>
    <w:rsid w:val="530F13F0"/>
    <w:rsid w:val="53162425"/>
    <w:rsid w:val="53206463"/>
    <w:rsid w:val="53830363"/>
    <w:rsid w:val="540B6BDE"/>
    <w:rsid w:val="54604453"/>
    <w:rsid w:val="54766413"/>
    <w:rsid w:val="54B02815"/>
    <w:rsid w:val="55240FC4"/>
    <w:rsid w:val="55946112"/>
    <w:rsid w:val="55B654BC"/>
    <w:rsid w:val="55D15713"/>
    <w:rsid w:val="55EF4E1C"/>
    <w:rsid w:val="560A0253"/>
    <w:rsid w:val="56502273"/>
    <w:rsid w:val="56C02C2F"/>
    <w:rsid w:val="56C4796A"/>
    <w:rsid w:val="57451C9D"/>
    <w:rsid w:val="57601B83"/>
    <w:rsid w:val="57725AC3"/>
    <w:rsid w:val="583B7EFB"/>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5BA6903"/>
    <w:rsid w:val="6672726D"/>
    <w:rsid w:val="66815672"/>
    <w:rsid w:val="683215E9"/>
    <w:rsid w:val="68B0223F"/>
    <w:rsid w:val="68C730A5"/>
    <w:rsid w:val="68E32AC7"/>
    <w:rsid w:val="69232A11"/>
    <w:rsid w:val="69502EC1"/>
    <w:rsid w:val="69DB108D"/>
    <w:rsid w:val="6AAE10FF"/>
    <w:rsid w:val="6B944FCA"/>
    <w:rsid w:val="6BB25871"/>
    <w:rsid w:val="6C076CD9"/>
    <w:rsid w:val="6C632EE7"/>
    <w:rsid w:val="6C6F7CA0"/>
    <w:rsid w:val="6CA9272E"/>
    <w:rsid w:val="6CE64C39"/>
    <w:rsid w:val="6D6117E2"/>
    <w:rsid w:val="6DB81974"/>
    <w:rsid w:val="6ECB7DD2"/>
    <w:rsid w:val="6EF805C5"/>
    <w:rsid w:val="6EFD25E4"/>
    <w:rsid w:val="6F0D7E9E"/>
    <w:rsid w:val="6F110420"/>
    <w:rsid w:val="6FCF7710"/>
    <w:rsid w:val="6FE21224"/>
    <w:rsid w:val="704E5CED"/>
    <w:rsid w:val="70802A18"/>
    <w:rsid w:val="70A02B99"/>
    <w:rsid w:val="70C92929"/>
    <w:rsid w:val="70EE5E5E"/>
    <w:rsid w:val="71B92ED4"/>
    <w:rsid w:val="72115342"/>
    <w:rsid w:val="7218332F"/>
    <w:rsid w:val="721B0D45"/>
    <w:rsid w:val="72BF2F19"/>
    <w:rsid w:val="734D50D9"/>
    <w:rsid w:val="734E2D80"/>
    <w:rsid w:val="740E5CCB"/>
    <w:rsid w:val="746A77FB"/>
    <w:rsid w:val="74990212"/>
    <w:rsid w:val="74990F87"/>
    <w:rsid w:val="75412813"/>
    <w:rsid w:val="772D4DA3"/>
    <w:rsid w:val="774B7D02"/>
    <w:rsid w:val="77F12D06"/>
    <w:rsid w:val="77FC1347"/>
    <w:rsid w:val="787D60BC"/>
    <w:rsid w:val="797224F3"/>
    <w:rsid w:val="7A524BEE"/>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dfc373bf-33a9-421e-8e64-d61f7a6994e4</errorID>
      <errorWord>（</errorWord>
      <group>L1_Punc</group>
      <groupName>标点问题</groupName>
      <ability>L2_Punc</ability>
      <abilityName>标点符号检查</abilityName>
      <candidateList/>
      <explain>同一形式括号套用。</explain>
      <paraID>6BBA2689</paraID>
      <start>32</start>
      <end>33</end>
      <status>unmodified</status>
      <modifiedWord/>
      <trackRevisions>false</trackRevisions>
    </reviewItem>
    <reviewItem>
      <errorID>6a1ac549-500d-4a43-bb94-6cec207ed1f2</errorID>
      <errorWord>）</errorWord>
      <group>L1_Punc</group>
      <groupName>标点问题</groupName>
      <ability>L2_Punc</ability>
      <abilityName>标点符号检查</abilityName>
      <candidateList/>
      <explain>同一形式括号套用。</explain>
      <paraID>6BBA2689</paraID>
      <start>37</start>
      <end>38</end>
      <status>unmodified</status>
      <modifiedWord/>
      <trackRevisions>false</trackRevisions>
    </reviewItem>
    <reviewItem>
      <errorID>100016a1-6f93-42cf-b3da-ffb05d01dbf3</errorID>
      <errorWord>，</errorWord>
      <group>L1_AI</group>
      <groupName>深度校对</groupName>
      <ability>L2_AI_Grammar</ability>
      <abilityName>语法纠错</abilityName>
      <candidateList>
        <item>守信，</item>
      </candidateList>
      <explain/>
      <paraID>51C25279</paraID>
      <start>34</start>
      <end>35</end>
      <status>unmodified</status>
      <modifiedWord/>
      <trackRevisions>false</trackRevisions>
    </reviewItem>
    <reviewItem>
      <errorID>d48b3e44-f854-4634-b189-8643590295c2</errorID>
      <errorWord>守信</errorWord>
      <group>L1_AI</group>
      <groupName>深度校对</groupName>
      <ability>L2_AI_Grammar</ability>
      <abilityName>语法纠错</abilityName>
      <candidateList>
        <item>诚信守约</item>
      </candidateList>
      <explain/>
      <paraID>26DA9581</paraID>
      <start>20</start>
      <end>22</end>
      <status>unmodified</status>
      <modifiedWord/>
      <trackRevisions>false</trackRevisions>
    </reviewItem>
    <reviewItem>
      <errorID>9b7d6d86-361f-45a0-8c75-05a1cc40ff3e</errorID>
      <errorWord>进行履约</errorWord>
      <group>L1_AI</group>
      <groupName>深度校对</groupName>
      <ability>L2_AI_Word</ability>
      <abilityName>字词纠错</abilityName>
      <candidateList>
        <item>履行合同</item>
      </candidateList>
      <explain/>
      <paraID>26DA9581</paraID>
      <start>74</start>
      <end>78</end>
      <status>unmodified</status>
      <modifiedWord/>
      <trackRevisions>false</trackRevisions>
    </reviewItem>
    <reviewItem>
      <errorID>02d7255b-54ec-4304-8d23-0ace10de88bb</errorID>
      <errorWord>  </errorWord>
      <group>L1_AI</group>
      <groupName>深度校对</groupName>
      <ability>L2_AI_Punc</ability>
      <abilityName>标点纠错</abilityName>
      <candidateList>
        <item/>
      </candidateList>
      <explain>此处空格冗余，建议删除。</explain>
      <paraID>30E680E2</paraID>
      <start>17</start>
      <end>19</end>
      <status>unmodified</status>
      <modifiedWord/>
      <trackRevisions>false</trackRevisions>
    </reviewItem>
    <reviewItem>
      <errorID>8441790f-0d86-46a3-a17b-1499a70ec148</errorID>
      <errorWord>。</errorWord>
      <group>L1_AI</group>
      <groupName>深度校对</groupName>
      <ability>L2_AI_Punc</ability>
      <abilityName>标点纠错</abilityName>
      <candidateList>
        <item>，</item>
      </candidateList>
      <explain/>
      <paraID>30E680E2</paraID>
      <start>123</start>
      <end>124</end>
      <status>unmodified</status>
      <modifiedWord/>
      <trackRevisions>false</trackRevisions>
    </reviewItem>
    <reviewItem>
      <errorID>aa794401-c258-46c3-a6a0-8439ad7f6f1b</errorID>
      <errorWord>，</errorWord>
      <group>L1_AI</group>
      <groupName>深度校对</groupName>
      <ability>L2_AI_Punc</ability>
      <abilityName>标点纠错</abilityName>
      <candidateList>
        <item>、</item>
      </candidateList>
      <explain/>
      <paraID>30E680E2</paraID>
      <start>167</start>
      <end>168</end>
      <status>unmodified</status>
      <modifiedWord/>
      <trackRevisions>false</trackRevisions>
    </reviewItem>
    <reviewItem>
      <errorID>369da3c7-059f-432d-aa3f-7b5ed0ea6256</errorID>
      <errorWord>，</errorWord>
      <group>L1_AI</group>
      <groupName>深度校对</groupName>
      <ability>L2_AI_Punc</ability>
      <abilityName>标点纠错</abilityName>
      <candidateList>
        <item>、</item>
      </candidateList>
      <explain/>
      <paraID>30E680E2</paraID>
      <start>176</start>
      <end>177</end>
      <status>unmodified</status>
      <modifiedWord/>
      <trackRevisions>false</trackRevisions>
    </reviewItem>
    <reviewItem>
      <errorID>9c4a7b8e-19c2-40b3-88bd-56dd0615e6f6</errorID>
      <errorWord>、</errorWord>
      <group>L1_AI</group>
      <groupName>深度校对</groupName>
      <ability>L2_AI_Word</ability>
      <abilityName>字词纠错</abilityName>
      <candidateList>
        <item>与</item>
      </candidateList>
      <explain/>
      <paraID>30E680E2</paraID>
      <start>183</start>
      <end>184</end>
      <status>unmodified</status>
      <modifiedWord/>
      <trackRevisions>false</trackRevisions>
    </reviewItem>
    <reviewItem>
      <errorID>f68a04f7-51d7-4c9b-89e3-db3fb4d8ef90</errorID>
      <errorWord>，</errorWord>
      <group>L1_AI</group>
      <groupName>深度校对</groupName>
      <ability>L2_AI_Punc</ability>
      <abilityName>标点纠错</abilityName>
      <candidateList>
        <item>、</item>
      </candidateList>
      <explain/>
      <paraID>30E680E2</paraID>
      <start>186</start>
      <end>187</end>
      <status>unmodified</status>
      <modifiedWord/>
      <trackRevisions>false</trackRevisions>
    </reviewItem>
    <reviewItem>
      <errorID>a9b930d6-b1d0-4690-8e55-a14be37b6ee5</errorID>
      <errorWord>，</errorWord>
      <group>L1_AI</group>
      <groupName>深度校对</groupName>
      <ability>L2_AI_Punc</ability>
      <abilityName>标点纠错</abilityName>
      <candidateList>
        <item>、</item>
      </candidateList>
      <explain/>
      <paraID>30E680E2</paraID>
      <start>191</start>
      <end>192</end>
      <status>unmodified</status>
      <modifiedWord/>
      <trackRevisions>false</trackRevisions>
    </reviewItem>
    <reviewItem>
      <errorID>f62c4a31-c050-40d2-93f6-2672c0f01d5f</errorID>
      <errorWord>作</errorWord>
      <group>L1_Word</group>
      <groupName>字词问题</groupName>
      <ability>L2_Typo</ability>
      <abilityName>字词错误</abilityName>
      <candidateList>
        <item>做</item>
      </candidateList>
      <explain>存在发音相同字词的误用。</explain>
      <paraID>44923E06</paraID>
      <start>9</start>
      <end>10</end>
      <status>unmodified</status>
      <modifiedWord/>
      <trackRevisions>false</trackRevisions>
    </reviewItem>
    <reviewItem>
      <errorID>098713b4-ad13-4b6e-aadb-97ab647bafaf</errorID>
      <errorWord>作</errorWord>
      <group>L1_Word</group>
      <groupName>字词问题</groupName>
      <ability>L2_Typo</ability>
      <abilityName>字词错误</abilityName>
      <candidateList>
        <item>做</item>
      </candidateList>
      <explain>存在发音相同字词的误用。</explain>
      <paraID>18DA0F1F</paraID>
      <start>9</start>
      <end>10</end>
      <status>unmodified</status>
      <modifiedWord/>
      <trackRevisions>false</trackRevisions>
    </reviewItem>
    <reviewItem>
      <errorID>dc011340-18ec-4014-9a57-96f136da7e20</errorID>
      <errorWord>牟取</errorWord>
      <group>L1_Word</group>
      <groupName>字词问题</groupName>
      <ability>L2_Typo</ability>
      <abilityName>字词错误</abilityName>
      <candidateList>
        <item>谋取</item>
      </candidateList>
      <explain>存在发音相同字词的误用。</explain>
      <paraID>7C548A45</paraID>
      <start>48</start>
      <end>50</end>
      <status>unmodified</status>
      <modifiedWord/>
      <trackRevisions>false</trackRevisions>
    </reviewItem>
    <reviewItem>
      <errorID>4458f47b-fdf8-4142-9514-78bbb4d4f7d2</errorID>
      <errorWord>股东大会</errorWord>
      <group>L1_Word</group>
      <groupName>字词问题</groupName>
      <ability>L2_Typo</ability>
      <abilityName>字词错误</abilityName>
      <candidateList>
        <item>股东会</item>
      </candidateList>
      <explain/>
      <paraID>62CA014E</paraID>
      <start>102</start>
      <end>106</end>
      <status>unmodified</status>
      <modifiedWord/>
      <trackRevisions>false</trackRevisions>
    </reviewItem>
    <reviewItem>
      <errorID>2ae9b0b3-6496-4dae-998e-fc197152dc2d</errorID>
      <errorWord>，</errorWord>
      <group>L1_Word</group>
      <groupName>字词问题</groupName>
      <ability>L2_Typo</ability>
      <abilityName>字词错误</abilityName>
      <candidateList>
        <item>，截</item>
      </candidateList>
      <explain/>
      <paraID>1E7D1533</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1188-0f5f-4f59-ad16-374895fd313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5310</Words>
  <Characters>5574</Characters>
  <Lines>73</Lines>
  <Paragraphs>20</Paragraphs>
  <TotalTime>0</TotalTime>
  <ScaleCrop>false</ScaleCrop>
  <LinksUpToDate>false</LinksUpToDate>
  <CharactersWithSpaces>5899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小满</cp:lastModifiedBy>
  <cp:lastPrinted>2026-05-11T06:47:00Z</cp:lastPrinted>
  <dcterms:modified xsi:type="dcterms:W3CDTF">2026-05-12T08:05:22Z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y fmtid="{D5CDD505-2E9C-101B-9397-08002B2CF9AE}" pid="4" name="KSOTemplateDocerSaveRecord">
    <vt:lpwstr>eyJoZGlkIjoiZDY3MmFiMzBhMDRhNTk3MDg2Njg1MDkwNDljODc1OGYiLCJ1c2VySWQiOiI0MDAwMTU5MTEifQ==</vt:lpwstr>
  </property>
</Properties>
</file>