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pPr>
        <w:spacing w:line="560" w:lineRule="exact"/>
        <w:jc w:val="center"/>
        <w:rPr>
          <w:rFonts w:ascii="Calibri Light"/>
          <w:b/>
          <w:bCs/>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龙岗区产业用地容积调整项目拟贡献建筑面积权利人申请自持实施细则</w:t>
      </w:r>
    </w:p>
    <w:p>
      <w:pPr>
        <w:spacing w:line="560" w:lineRule="exact"/>
        <w:jc w:val="center"/>
        <w:rPr>
          <w:rFonts w:hint="eastAsia" w:ascii="仿宋" w:hAnsi="仿宋" w:eastAsia="仿宋" w:cs="黑体"/>
          <w:sz w:val="32"/>
          <w:szCs w:val="32"/>
        </w:rPr>
      </w:pPr>
      <w:r>
        <w:rPr>
          <w:rFonts w:hint="eastAsia" w:ascii="仿宋" w:hAnsi="仿宋" w:eastAsia="仿宋" w:cs="黑体"/>
          <w:sz w:val="32"/>
          <w:szCs w:val="32"/>
        </w:rPr>
        <w:t>（</w:t>
      </w:r>
      <w:r>
        <w:rPr>
          <w:rFonts w:hint="eastAsia" w:ascii="仿宋" w:hAnsi="仿宋" w:eastAsia="仿宋" w:cs="黑体"/>
          <w:sz w:val="32"/>
          <w:szCs w:val="32"/>
          <w:lang w:eastAsia="zh-CN"/>
        </w:rPr>
        <w:t>修订</w:t>
      </w:r>
      <w:r>
        <w:rPr>
          <w:rFonts w:hint="eastAsia" w:ascii="仿宋" w:hAnsi="仿宋" w:eastAsia="仿宋" w:cs="黑体"/>
          <w:sz w:val="32"/>
          <w:szCs w:val="32"/>
        </w:rPr>
        <w:t>征求意见稿）</w:t>
      </w:r>
    </w:p>
    <w:p>
      <w:pPr>
        <w:spacing w:line="560" w:lineRule="exact"/>
        <w:jc w:val="center"/>
        <w:rPr>
          <w:rFonts w:ascii="Calibri Light"/>
          <w:b/>
          <w:bCs/>
          <w:sz w:val="44"/>
          <w:szCs w:val="44"/>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第一章 总则</w:t>
      </w:r>
    </w:p>
    <w:p>
      <w:pPr>
        <w:spacing w:line="560" w:lineRule="exact"/>
        <w:ind w:firstLine="640" w:firstLineChars="200"/>
        <w:rPr>
          <w:rFonts w:hint="eastAsia" w:ascii="仿宋_GB2312" w:hAnsi="仿宋" w:eastAsia="仿宋_GB2312"/>
          <w:sz w:val="32"/>
          <w:szCs w:val="32"/>
        </w:rPr>
      </w:pPr>
    </w:p>
    <w:p>
      <w:pPr>
        <w:spacing w:line="560" w:lineRule="exact"/>
        <w:ind w:firstLine="640" w:firstLineChars="200"/>
        <w:rPr>
          <w:rFonts w:hint="eastAsia" w:ascii="仿宋" w:hAnsi="仿宋" w:eastAsia="仿宋" w:cs="黑体"/>
          <w:sz w:val="32"/>
          <w:szCs w:val="32"/>
        </w:rPr>
      </w:pPr>
      <w:r>
        <w:rPr>
          <w:rFonts w:hint="eastAsia" w:ascii="黑体" w:hAnsi="黑体" w:eastAsia="黑体" w:cs="黑体"/>
          <w:sz w:val="32"/>
          <w:szCs w:val="32"/>
        </w:rPr>
        <w:t xml:space="preserve">第一条 </w:t>
      </w:r>
      <w:r>
        <w:rPr>
          <w:rFonts w:hint="eastAsia" w:ascii="仿宋" w:hAnsi="仿宋" w:eastAsia="仿宋" w:cs="黑体"/>
          <w:sz w:val="32"/>
          <w:szCs w:val="32"/>
        </w:rPr>
        <w:t>为促进龙岗区产业用地节约集约利用、拓展产业发展空间，规范产业用地容积调整中拟贡献建筑面积由权利人申请自行持有的审批工作，明确各部门职责分工，根据《深圳市工业及物流仓储用地容积调整管理规定》（深府办规〔2024〕2号，以下简称《管理规定》）等文件精神，结合龙岗区实际情况，制定本细则。</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第二条 </w:t>
      </w:r>
      <w:r>
        <w:rPr>
          <w:rFonts w:hint="eastAsia" w:ascii="仿宋" w:hAnsi="仿宋" w:eastAsia="仿宋" w:cs="黑体"/>
          <w:sz w:val="32"/>
          <w:szCs w:val="32"/>
        </w:rPr>
        <w:t>本细则适用于根据《管理规定》第十条规定，产业用地容积调整需补足至贡献基准，拟贡献建筑面积由权利人申请自行持有的项目。</w:t>
      </w:r>
    </w:p>
    <w:p>
      <w:pPr>
        <w:spacing w:line="560" w:lineRule="exact"/>
        <w:ind w:firstLine="640" w:firstLineChars="200"/>
        <w:jc w:val="both"/>
        <w:rPr>
          <w:rFonts w:hint="eastAsia" w:ascii="仿宋" w:hAnsi="仿宋" w:eastAsia="仿宋" w:cs="黑体"/>
          <w:sz w:val="32"/>
          <w:szCs w:val="32"/>
        </w:rPr>
      </w:pPr>
      <w:r>
        <w:rPr>
          <w:rFonts w:hint="eastAsia" w:ascii="黑体" w:hAnsi="黑体" w:eastAsia="黑体" w:cs="黑体"/>
          <w:sz w:val="32"/>
          <w:szCs w:val="32"/>
        </w:rPr>
        <w:t>第三条</w:t>
      </w:r>
      <w:r>
        <w:rPr>
          <w:rFonts w:hint="eastAsia" w:ascii="仿宋" w:hAnsi="仿宋" w:eastAsia="仿宋" w:cs="黑体"/>
          <w:sz w:val="32"/>
          <w:szCs w:val="32"/>
        </w:rPr>
        <w:t xml:space="preserve"> 相关部门职责分工如下：</w:t>
      </w:r>
    </w:p>
    <w:p>
      <w:pPr>
        <w:spacing w:line="560" w:lineRule="exact"/>
        <w:ind w:firstLine="640" w:firstLineChars="200"/>
        <w:jc w:val="both"/>
        <w:rPr>
          <w:rFonts w:hint="eastAsia" w:ascii="仿宋" w:hAnsi="仿宋" w:eastAsia="仿宋" w:cs="黑体"/>
          <w:sz w:val="32"/>
          <w:szCs w:val="32"/>
        </w:rPr>
      </w:pPr>
      <w:r>
        <w:rPr>
          <w:rFonts w:hint="eastAsia" w:ascii="仿宋" w:hAnsi="仿宋" w:eastAsia="仿宋" w:cs="黑体"/>
          <w:sz w:val="32"/>
          <w:szCs w:val="32"/>
        </w:rPr>
        <w:t>（一）市规划和自然资源局龙岗管理局负责按照《管理规定》核定产业用地容积调整后拟贡献建筑面积，统筹协调各部门意见，拟定贡献建筑面积处置方案报区政府审批；</w:t>
      </w:r>
    </w:p>
    <w:p>
      <w:pPr>
        <w:spacing w:line="560" w:lineRule="exact"/>
        <w:ind w:firstLine="640" w:firstLineChars="200"/>
        <w:jc w:val="both"/>
        <w:rPr>
          <w:rFonts w:hint="eastAsia" w:ascii="仿宋" w:hAnsi="仿宋" w:eastAsia="仿宋" w:cs="黑体"/>
          <w:sz w:val="32"/>
          <w:szCs w:val="32"/>
        </w:rPr>
      </w:pPr>
      <w:r>
        <w:rPr>
          <w:rFonts w:hint="eastAsia" w:ascii="仿宋" w:hAnsi="仿宋" w:eastAsia="仿宋" w:cs="黑体"/>
          <w:sz w:val="32"/>
          <w:szCs w:val="32"/>
        </w:rPr>
        <w:t>（二）区产业主管部门负责核定申请产业用地容积调整项目拟自持的权利人是否符合深圳市及龙岗区产业结构调整优化和产业导向目录，对权利人申请自行持有拟贡献建筑面积提出明确意见，并对产业用地容积调整后产业用房的使用及其产值进行监管。其中，区工业和信息化局负责工业用地、新型产业用地和混合用地容积调整项目，区物流产业主管部门负责物流用地和仓储用地容积调整项目。</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（三）区国资局负责核实权利人是否为全资国有企业，对国有企业申请自行持有拟贡献建筑面积提出明确意见。</w:t>
      </w:r>
    </w:p>
    <w:p>
      <w:pPr>
        <w:spacing w:line="560" w:lineRule="exact"/>
        <w:ind w:firstLine="640" w:firstLineChars="200"/>
        <w:rPr>
          <w:rFonts w:hint="eastAsia" w:ascii="仿宋" w:hAnsi="仿宋" w:eastAsia="仿宋" w:cs="黑体"/>
          <w:sz w:val="32"/>
          <w:szCs w:val="32"/>
        </w:rPr>
      </w:pPr>
    </w:p>
    <w:p>
      <w:pPr>
        <w:spacing w:line="560" w:lineRule="exact"/>
        <w:ind w:firstLine="0" w:firstLineChars="0"/>
        <w:jc w:val="center"/>
        <w:rPr>
          <w:rFonts w:hint="eastAsia" w:ascii="黑体" w:hAnsi="黑体" w:eastAsia="黑体" w:cs="黑体"/>
          <w:sz w:val="32"/>
          <w:szCs w:val="32"/>
        </w:rPr>
      </w:pPr>
      <w:r>
        <w:rPr>
          <w:rFonts w:hint="eastAsia" w:ascii="黑体" w:hAnsi="黑体" w:eastAsia="黑体" w:cs="黑体"/>
          <w:sz w:val="32"/>
          <w:szCs w:val="32"/>
        </w:rPr>
        <w:t>第二章 审批条件</w:t>
      </w:r>
    </w:p>
    <w:p>
      <w:pPr>
        <w:spacing w:line="560" w:lineRule="exact"/>
        <w:ind w:firstLine="640" w:firstLineChars="200"/>
        <w:rPr>
          <w:rFonts w:hint="eastAsia" w:ascii="仿宋" w:hAnsi="仿宋" w:eastAsia="仿宋" w:cs="黑体"/>
          <w:sz w:val="32"/>
          <w:szCs w:val="32"/>
        </w:rPr>
      </w:pPr>
    </w:p>
    <w:p>
      <w:pPr>
        <w:spacing w:line="560" w:lineRule="exact"/>
        <w:ind w:firstLine="640" w:firstLineChars="200"/>
        <w:rPr>
          <w:rFonts w:hint="eastAsia" w:ascii="仿宋" w:hAnsi="仿宋" w:eastAsia="仿宋" w:cs="黑体"/>
          <w:sz w:val="32"/>
          <w:szCs w:val="32"/>
        </w:rPr>
      </w:pPr>
      <w:r>
        <w:rPr>
          <w:rFonts w:hint="eastAsia" w:ascii="黑体" w:hAnsi="黑体" w:eastAsia="黑体" w:cs="黑体"/>
          <w:sz w:val="32"/>
          <w:szCs w:val="32"/>
        </w:rPr>
        <w:t>第四条</w:t>
      </w:r>
      <w:r>
        <w:rPr>
          <w:rFonts w:hint="eastAsia" w:ascii="仿宋" w:hAnsi="仿宋" w:eastAsia="仿宋" w:cs="黑体"/>
          <w:sz w:val="32"/>
          <w:szCs w:val="32"/>
        </w:rPr>
        <w:t xml:space="preserve"> 拟贡献建筑面积可以移交政府，也可以由权利人申请自持。有下列情形之一的，区政府可批准由权利人自持：</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（一）权利人为全资国有企业的；</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（二）权利人的普通工业用地拟贡献建筑面积小于3000平方米，或新型产业用地拟贡献建筑面积小于300平方米的；</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（三）权利人</w:t>
      </w:r>
      <w:r>
        <w:rPr>
          <w:rFonts w:hint="eastAsia" w:ascii="仿宋" w:hAnsi="仿宋" w:eastAsia="仿宋" w:cs="黑体"/>
          <w:sz w:val="32"/>
          <w:szCs w:val="32"/>
          <w:lang w:eastAsia="zh-CN"/>
        </w:rPr>
        <w:t>符合以下条件之一：</w:t>
      </w:r>
      <w:bookmarkStart w:id="0" w:name="_GoBack"/>
      <w:bookmarkEnd w:id="0"/>
      <w:r>
        <w:rPr>
          <w:rFonts w:hint="eastAsia" w:ascii="仿宋" w:hAnsi="仿宋" w:eastAsia="仿宋" w:cs="黑体"/>
          <w:sz w:val="32"/>
          <w:szCs w:val="32"/>
          <w:lang w:val="en-US" w:eastAsia="zh-CN"/>
        </w:rPr>
        <w:t>四上</w:t>
      </w:r>
      <w:r>
        <w:rPr>
          <w:rFonts w:hint="eastAsia" w:ascii="仿宋" w:hAnsi="仿宋" w:eastAsia="仿宋" w:cs="黑体"/>
          <w:sz w:val="32"/>
          <w:szCs w:val="32"/>
        </w:rPr>
        <w:t>企业</w:t>
      </w:r>
      <w:r>
        <w:rPr>
          <w:rStyle w:val="8"/>
          <w:rFonts w:hint="eastAsia" w:ascii="仿宋" w:hAnsi="仿宋" w:eastAsia="仿宋" w:cs="黑体"/>
          <w:sz w:val="32"/>
          <w:szCs w:val="32"/>
        </w:rPr>
        <w:footnoteReference w:id="0"/>
      </w:r>
      <w:r>
        <w:rPr>
          <w:rFonts w:hint="eastAsia" w:ascii="仿宋" w:hAnsi="仿宋" w:eastAsia="仿宋" w:cs="黑体"/>
          <w:sz w:val="32"/>
          <w:szCs w:val="32"/>
          <w:lang w:eastAsia="zh-CN"/>
        </w:rPr>
        <w:t>、境内外上市企业、独角兽企业、瞪羚企业、专精特新“小巨人”企业、国家和省、市级制造业单项冠军企业</w:t>
      </w:r>
      <w:r>
        <w:rPr>
          <w:rFonts w:hint="eastAsia" w:ascii="仿宋" w:hAnsi="仿宋" w:eastAsia="仿宋" w:cs="黑体"/>
          <w:sz w:val="32"/>
          <w:szCs w:val="32"/>
        </w:rPr>
        <w:t>的；</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（四）确因生产工艺、生产安全、保密要求等因素，不宜与其他企业混合布局的；</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（五）其他情形申请自持的，权利人需同时满足以下条件，区政府可批准由权利人自持：</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1.产业项目符合深圳市及龙岗区产业结构调整优化和产业导向目录；</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2.根据权利人实际生产线面积需求确需自持；</w:t>
      </w:r>
    </w:p>
    <w:p>
      <w:pPr>
        <w:spacing w:line="560"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3.提容前产业建筑空间未改变使用功能并全部自用。</w:t>
      </w:r>
    </w:p>
    <w:p>
      <w:pPr>
        <w:spacing w:line="560" w:lineRule="exact"/>
        <w:ind w:firstLine="0" w:firstLineChars="0"/>
        <w:rPr>
          <w:rFonts w:hint="eastAsia" w:ascii="仿宋" w:hAnsi="仿宋" w:eastAsia="仿宋" w:cs="黑体"/>
          <w:sz w:val="32"/>
          <w:szCs w:val="32"/>
        </w:rPr>
      </w:pPr>
    </w:p>
    <w:p>
      <w:pPr>
        <w:spacing w:line="560" w:lineRule="exact"/>
        <w:ind w:firstLine="0" w:firstLineChars="0"/>
        <w:jc w:val="center"/>
        <w:rPr>
          <w:rFonts w:hint="eastAsia" w:ascii="黑体" w:hAnsi="黑体" w:eastAsia="黑体" w:cs="黑体"/>
          <w:sz w:val="32"/>
          <w:szCs w:val="32"/>
        </w:rPr>
      </w:pPr>
      <w:r>
        <w:rPr>
          <w:rFonts w:hint="eastAsia" w:ascii="黑体" w:hAnsi="黑体" w:eastAsia="黑体" w:cs="黑体"/>
          <w:sz w:val="32"/>
          <w:szCs w:val="32"/>
        </w:rPr>
        <w:t>第三章 审批程序</w:t>
      </w: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ascii="仿宋" w:hAnsi="仿宋" w:eastAsia="仿宋" w:cs="黑体"/>
          <w:sz w:val="32"/>
          <w:szCs w:val="32"/>
        </w:rPr>
      </w:pPr>
      <w:r>
        <w:rPr>
          <w:rFonts w:hint="eastAsia" w:ascii="黑体" w:hAnsi="黑体" w:eastAsia="黑体" w:cs="黑体"/>
          <w:sz w:val="32"/>
          <w:szCs w:val="32"/>
        </w:rPr>
        <w:t xml:space="preserve">第五条 </w:t>
      </w:r>
      <w:r>
        <w:rPr>
          <w:rFonts w:hint="eastAsia" w:ascii="仿宋" w:hAnsi="仿宋" w:eastAsia="仿宋" w:cs="黑体"/>
          <w:sz w:val="32"/>
          <w:szCs w:val="32"/>
        </w:rPr>
        <w:t>市规划和自然资源局龙岗管理局受理申请后，应审查用地容积调整方案，明确增加的建筑面积、无偿移交的公共利益用地、需补足的建筑面积等内容。区产业主管部门应对产业项目是否符合我市产业发展导向和产业政策、产业发展监管要求、需补足建筑面积的处置方式以及是否同意容积调整等内容进行审查。市规划和自然资源局龙岗管理局和区产业主管部门应就各自审查内容分别征求相关部门意见，相关部门依据职责回复明确意见。</w:t>
      </w:r>
    </w:p>
    <w:p>
      <w:pPr>
        <w:spacing w:line="560" w:lineRule="exact"/>
        <w:ind w:firstLine="640" w:firstLineChars="200"/>
        <w:rPr>
          <w:rFonts w:hint="eastAsia" w:ascii="仿宋" w:hAnsi="仿宋" w:eastAsia="仿宋" w:cs="黑体"/>
          <w:sz w:val="32"/>
          <w:szCs w:val="32"/>
        </w:rPr>
      </w:pPr>
      <w:r>
        <w:rPr>
          <w:rFonts w:hint="eastAsia" w:ascii="黑体" w:hAnsi="黑体" w:eastAsia="黑体" w:cs="黑体"/>
          <w:sz w:val="32"/>
          <w:szCs w:val="32"/>
        </w:rPr>
        <w:t xml:space="preserve">第六条 </w:t>
      </w:r>
      <w:r>
        <w:rPr>
          <w:rFonts w:hint="eastAsia" w:ascii="仿宋" w:hAnsi="仿宋" w:eastAsia="仿宋" w:cs="黑体"/>
          <w:sz w:val="32"/>
          <w:szCs w:val="32"/>
        </w:rPr>
        <w:t>市规划和自然资源局龙岗管理局汇总各部门意见后，拟定贡献建筑面积处置方案报区政府审批。</w:t>
      </w:r>
    </w:p>
    <w:p>
      <w:pPr>
        <w:spacing w:line="560" w:lineRule="exact"/>
        <w:ind w:firstLine="640" w:firstLineChars="200"/>
        <w:rPr>
          <w:rFonts w:ascii="仿宋" w:hAnsi="仿宋" w:eastAsia="仿宋" w:cs="黑体"/>
          <w:sz w:val="32"/>
          <w:szCs w:val="32"/>
        </w:rPr>
      </w:pPr>
      <w:r>
        <w:rPr>
          <w:rFonts w:hint="eastAsia" w:ascii="黑体" w:hAnsi="黑体" w:eastAsia="黑体" w:cs="黑体"/>
          <w:sz w:val="32"/>
          <w:szCs w:val="32"/>
        </w:rPr>
        <w:t xml:space="preserve">第七条 </w:t>
      </w:r>
      <w:r>
        <w:rPr>
          <w:rFonts w:hint="eastAsia" w:ascii="仿宋" w:hAnsi="仿宋" w:eastAsia="仿宋" w:cs="黑体"/>
          <w:sz w:val="32"/>
          <w:szCs w:val="32"/>
        </w:rPr>
        <w:t>处置方案经区政府批准后，区产业主管部门按照《管理规定》及本细则签订产业监管协议，市规划和自然资源局龙岗管理局按程序签订用地合同补充协议，不动产登记中心按程序办理不动产登记。上述协议及产权登记条款中均需明确产权限制条件。</w:t>
      </w:r>
    </w:p>
    <w:p>
      <w:pPr>
        <w:spacing w:line="560" w:lineRule="exact"/>
        <w:ind w:firstLine="640" w:firstLineChars="200"/>
        <w:rPr>
          <w:rFonts w:hint="eastAsia" w:ascii="仿宋" w:hAnsi="仿宋" w:eastAsia="仿宋" w:cs="黑体"/>
          <w:sz w:val="32"/>
          <w:szCs w:val="32"/>
        </w:rPr>
      </w:pPr>
      <w:r>
        <w:rPr>
          <w:rFonts w:hint="eastAsia" w:ascii="黑体" w:hAnsi="黑体" w:eastAsia="黑体" w:cs="黑体"/>
          <w:sz w:val="32"/>
          <w:szCs w:val="32"/>
        </w:rPr>
        <w:t xml:space="preserve">第八条 </w:t>
      </w:r>
      <w:r>
        <w:rPr>
          <w:rFonts w:hint="eastAsia" w:ascii="仿宋" w:hAnsi="仿宋" w:eastAsia="仿宋" w:cs="黑体"/>
          <w:sz w:val="32"/>
          <w:szCs w:val="32"/>
        </w:rPr>
        <w:t>符合《管理规定》第十条规定经区政府批准由权利人自行持有的建筑面积，由市规划和自然资源局龙岗管理局按不得转让条件下的市场地价两倍计收。</w:t>
      </w:r>
    </w:p>
    <w:p>
      <w:pPr>
        <w:spacing w:line="560" w:lineRule="exact"/>
        <w:ind w:firstLine="640" w:firstLineChars="200"/>
        <w:rPr>
          <w:rFonts w:ascii="仿宋" w:hAnsi="仿宋" w:eastAsia="仿宋"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 xml:space="preserve">条 </w:t>
      </w:r>
      <w:r>
        <w:rPr>
          <w:rFonts w:hint="eastAsia" w:ascii="仿宋" w:hAnsi="仿宋" w:eastAsia="仿宋" w:cs="黑体"/>
          <w:sz w:val="32"/>
          <w:szCs w:val="32"/>
        </w:rPr>
        <w:t>本细则由区工业和信息化局负责解释。自2026年X月X日起施行，有效期至2029年11月3日。此前已通过审批的项目仍按原批准文件执行。</w:t>
      </w: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CKFGY80QAAAJQBAAALAAAAAAAAAAEAIAAAAK8DAABfcmVs&#10;cy8ucmVsc1BLAQIUABQAAAAIAIdO4kB+5uUg9wAAAOEBAAATAAAAAAAAAAEAIAAAAKkEAABbQ29u&#10;dGVudF9UeXBlc10ueG1s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snapToGrid w:val="0"/>
        <w:rPr>
          <w:rFonts w:hint="eastAsia" w:asciiTheme="minorEastAsia" w:hAnsiTheme="minorEastAsia" w:eastAsiaTheme="minorEastAsia" w:cstheme="minorEastAsia"/>
          <w:lang w:eastAsia="zh-CN"/>
        </w:rPr>
      </w:pPr>
      <w:r>
        <w:rPr>
          <w:rStyle w:val="8"/>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四上企业包括：规模以上工业企业‌、‌资质等级建筑业企业、‌限额以上批零住餐企业、规模以上服务业及房地产企业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FB"/>
    <w:rsid w:val="000E77C3"/>
    <w:rsid w:val="00102C61"/>
    <w:rsid w:val="00155616"/>
    <w:rsid w:val="00224865"/>
    <w:rsid w:val="002F043A"/>
    <w:rsid w:val="003B11FB"/>
    <w:rsid w:val="00575EC6"/>
    <w:rsid w:val="00675347"/>
    <w:rsid w:val="007B2D61"/>
    <w:rsid w:val="007C6213"/>
    <w:rsid w:val="008D1BB3"/>
    <w:rsid w:val="009B7564"/>
    <w:rsid w:val="00B02FBB"/>
    <w:rsid w:val="00BD3C30"/>
    <w:rsid w:val="00C03437"/>
    <w:rsid w:val="00C64246"/>
    <w:rsid w:val="00E513F2"/>
    <w:rsid w:val="02AF26B5"/>
    <w:rsid w:val="073C5240"/>
    <w:rsid w:val="08293181"/>
    <w:rsid w:val="086107D7"/>
    <w:rsid w:val="095E4E3F"/>
    <w:rsid w:val="0E145336"/>
    <w:rsid w:val="0F5D57C0"/>
    <w:rsid w:val="10CE0DB1"/>
    <w:rsid w:val="19DF2F1A"/>
    <w:rsid w:val="1ABF3796"/>
    <w:rsid w:val="1C81426E"/>
    <w:rsid w:val="1E852545"/>
    <w:rsid w:val="1FE66537"/>
    <w:rsid w:val="24823996"/>
    <w:rsid w:val="2BD50CA2"/>
    <w:rsid w:val="2E8A14E5"/>
    <w:rsid w:val="2F58178B"/>
    <w:rsid w:val="2FC314FD"/>
    <w:rsid w:val="35493568"/>
    <w:rsid w:val="3BFDCF14"/>
    <w:rsid w:val="3F0FEA0B"/>
    <w:rsid w:val="3F7A85A6"/>
    <w:rsid w:val="3FC04139"/>
    <w:rsid w:val="3FDD2B31"/>
    <w:rsid w:val="3FDDD199"/>
    <w:rsid w:val="41B942B4"/>
    <w:rsid w:val="42576635"/>
    <w:rsid w:val="42FB74A0"/>
    <w:rsid w:val="45844221"/>
    <w:rsid w:val="48122891"/>
    <w:rsid w:val="486B01BE"/>
    <w:rsid w:val="48E74529"/>
    <w:rsid w:val="4A7E6507"/>
    <w:rsid w:val="4B3B5225"/>
    <w:rsid w:val="4C3C2541"/>
    <w:rsid w:val="4D054031"/>
    <w:rsid w:val="4F5B688F"/>
    <w:rsid w:val="4FC0302A"/>
    <w:rsid w:val="501E0390"/>
    <w:rsid w:val="550467DB"/>
    <w:rsid w:val="573C4F11"/>
    <w:rsid w:val="57766286"/>
    <w:rsid w:val="58464AD7"/>
    <w:rsid w:val="588F2E69"/>
    <w:rsid w:val="59DD199A"/>
    <w:rsid w:val="5B2C7763"/>
    <w:rsid w:val="5BE205C1"/>
    <w:rsid w:val="61AC00B6"/>
    <w:rsid w:val="66941E47"/>
    <w:rsid w:val="66B83418"/>
    <w:rsid w:val="6A2A1150"/>
    <w:rsid w:val="6CAD0A0B"/>
    <w:rsid w:val="6DEF283A"/>
    <w:rsid w:val="6FB2433E"/>
    <w:rsid w:val="710614A1"/>
    <w:rsid w:val="74FF4019"/>
    <w:rsid w:val="76FF45FD"/>
    <w:rsid w:val="77F11E54"/>
    <w:rsid w:val="79187EB3"/>
    <w:rsid w:val="7ADFF5DC"/>
    <w:rsid w:val="7BDF60FA"/>
    <w:rsid w:val="7BEE6E03"/>
    <w:rsid w:val="7C7C19FC"/>
    <w:rsid w:val="7D5104E9"/>
    <w:rsid w:val="7EAC3F88"/>
    <w:rsid w:val="7F7E9EC0"/>
    <w:rsid w:val="7FB32561"/>
    <w:rsid w:val="7FCF1642"/>
    <w:rsid w:val="7FDFF3CB"/>
    <w:rsid w:val="ADE565C3"/>
    <w:rsid w:val="D683FD55"/>
    <w:rsid w:val="DEFDA86E"/>
    <w:rsid w:val="E75BF70C"/>
    <w:rsid w:val="FDBDF86F"/>
    <w:rsid w:val="FDDF36E4"/>
    <w:rsid w:val="FECF5E72"/>
    <w:rsid w:val="FF9FCECB"/>
    <w:rsid w:val="FFBBC9EA"/>
    <w:rsid w:val="FFDA414A"/>
    <w:rsid w:val="FFF7F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uiPriority w:val="0"/>
    <w:pPr>
      <w:snapToGrid w:val="0"/>
      <w:jc w:val="left"/>
    </w:pPr>
    <w:rPr>
      <w:sz w:val="18"/>
    </w:rPr>
  </w:style>
  <w:style w:type="character" w:styleId="7">
    <w:name w:val="Strong"/>
    <w:basedOn w:val="6"/>
    <w:qFormat/>
    <w:uiPriority w:val="0"/>
    <w:rPr>
      <w:b/>
    </w:rPr>
  </w:style>
  <w:style w:type="character" w:styleId="8">
    <w:name w:val="footnote reference"/>
    <w:basedOn w:val="6"/>
    <w:uiPriority w:val="0"/>
    <w:rPr>
      <w:vertAlign w:val="superscript"/>
    </w:rPr>
  </w:style>
  <w:style w:type="paragraph" w:customStyle="1" w:styleId="9">
    <w:name w:val="_Style 2"/>
    <w:basedOn w:val="1"/>
    <w:qFormat/>
    <w:uiPriority w:val="34"/>
    <w:pPr>
      <w:ind w:firstLine="420" w:firstLineChars="200"/>
    </w:pPr>
  </w:style>
  <w:style w:type="character" w:customStyle="1" w:styleId="10">
    <w:name w:val="fontstyle01"/>
    <w:basedOn w:val="6"/>
    <w:qFormat/>
    <w:uiPriority w:val="0"/>
    <w:rPr>
      <w:rFonts w:ascii="仿宋_GB2312" w:eastAsia="仿宋_GB2312" w:cs="仿宋_GB2312"/>
      <w:color w:val="000000"/>
      <w:sz w:val="32"/>
      <w:szCs w:val="32"/>
    </w:rPr>
  </w:style>
  <w:style w:type="paragraph" w:customStyle="1" w:styleId="11">
    <w:name w:val="Revision"/>
    <w:hidden/>
    <w:unhideWhenUsed/>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1362</Words>
  <Characters>1377</Characters>
  <Lines>76</Lines>
  <Paragraphs>57</Paragraphs>
  <TotalTime>28</TotalTime>
  <ScaleCrop>false</ScaleCrop>
  <LinksUpToDate>false</LinksUpToDate>
  <CharactersWithSpaces>2682</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zhangcq</dc:creator>
  <cp:lastModifiedBy>王小晗</cp:lastModifiedBy>
  <cp:lastPrinted>2026-05-08T15:48:37Z</cp:lastPrinted>
  <dcterms:modified xsi:type="dcterms:W3CDTF">2026-05-08T15:55:38Z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A74670F6D0AE4A7A8BB321B9F4540459</vt:lpwstr>
  </property>
</Properties>
</file>