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AA723">
      <w:pPr>
        <w:widowControl/>
        <w:tabs>
          <w:tab w:val="left" w:pos="709"/>
        </w:tabs>
        <w:ind w:left="0" w:right="12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投标文件</w:t>
      </w:r>
      <w:r>
        <w:rPr>
          <w:rFonts w:hint="eastAsia" w:ascii="仿宋_GB2312" w:eastAsia="仿宋_GB2312"/>
          <w:bCs/>
        </w:rPr>
        <w:t>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en-US" w:eastAsia="zh-CN"/>
        </w:rPr>
        <w:t>投标</w:t>
      </w:r>
      <w:r>
        <w:rPr>
          <w:rFonts w:hint="eastAsia" w:ascii="楷体_GB2312" w:eastAsia="楷体_GB2312" w:cs="宋体"/>
          <w:b/>
          <w:bCs/>
          <w:sz w:val="84"/>
          <w:szCs w:val="84"/>
          <w:lang w:val="zh-CN"/>
        </w:rPr>
        <w:t>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LGFYHW202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9</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4</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0"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注：若投标人有出现过《遴选投标及履约承诺函》提到的行为，不可提供该承诺函，否则按相关规定处理；若没有出现过《遴选投标及履约承诺函》提到的行为，按要求填写，不得更改承诺内容。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4C0C1A73">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0D565659">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4A579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3F736F29">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004649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8321B2A">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4E8573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C8D8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473F3702">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13EC1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765B709C">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1655B14A">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6555AA61">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50256A10">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585F74CE">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5603566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60EF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FC22F63">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0FEC67C1">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49B2CFD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4B954B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6CCC4E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B6FA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78A2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5457F5E4">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5637A6A0">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38D14B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4CFC3D6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BD1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B16603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7FA2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5FF211E1">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4D20A65E">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7B83A7B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5B2A4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590B72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194E8A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2C32D79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6351C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186F2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34E659B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22026A5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6C9AA9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16AC9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1A45D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525D30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D792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AE2C17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A1DBD96">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46193AA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5EACA4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5FACEF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5C8858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46FD4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3865F18D">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19B21206">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7F2C0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0122A5D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4337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CFC8B93">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43FB7477">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20E7A3B">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53F10498">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306E4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77765C8D">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6306E7B0">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664D7B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2ECA8A0D">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1088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5C0CD4D">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1246BFC7">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381E1D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4C08B54C">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6F627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449050CE">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71A2A5D">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5515177E">
      <w:pPr>
        <w:ind w:left="0" w:leftChars="0" w:firstLine="0" w:firstLineChars="0"/>
        <w:rPr>
          <w:rFonts w:hint="eastAsia" w:ascii="仿宋_GB2312" w:eastAsia="仿宋_GB2312"/>
          <w:bCs/>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0"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6" w:leftChars="257"/>
        <w:rPr>
          <w:color w:val="auto"/>
          <w:szCs w:val="21"/>
          <w:highlight w:val="none"/>
          <w:u w:val="single"/>
        </w:rPr>
      </w:pPr>
      <w:r>
        <w:rPr>
          <w:rFonts w:hint="eastAsia"/>
          <w:color w:val="auto"/>
          <w:szCs w:val="21"/>
          <w:highlight w:val="none"/>
        </w:rPr>
        <w:t>代理人：</w:t>
      </w:r>
    </w:p>
    <w:p w14:paraId="5AD88DE0">
      <w:pPr>
        <w:spacing w:line="360" w:lineRule="auto"/>
        <w:ind w:left="616"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6"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6"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0"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38995796">
      <w:pPr>
        <w:pStyle w:val="23"/>
        <w:ind w:left="0"/>
        <w:rPr>
          <w:rFonts w:hint="eastAsia" w:ascii="仿宋_GB2312" w:eastAsia="仿宋_GB2312"/>
          <w:spacing w:val="0"/>
        </w:rPr>
        <w:sectPr>
          <w:headerReference r:id="rId5" w:type="default"/>
          <w:footerReference r:id="rId6" w:type="default"/>
          <w:pgSz w:w="11906" w:h="16838"/>
          <w:pgMar w:top="678" w:right="1440" w:bottom="1440" w:left="1440" w:header="851" w:footer="992" w:gutter="0"/>
          <w:cols w:space="425" w:num="1"/>
          <w:docGrid w:type="linesAndChars" w:linePitch="326"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10</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4234A025">
      <w:pPr>
        <w:pStyle w:val="23"/>
        <w:ind w:left="0"/>
        <w:rPr>
          <w:rFonts w:cs="宋体"/>
          <w:color w:val="000000"/>
          <w:sz w:val="22"/>
          <w:szCs w:val="22"/>
          <w:lang w:bidi="ar"/>
        </w:rPr>
        <w:sectPr>
          <w:pgSz w:w="16838" w:h="11906" w:orient="landscape"/>
          <w:pgMar w:top="1440" w:right="680" w:bottom="1440" w:left="1440" w:header="851" w:footer="992" w:gutter="0"/>
          <w:cols w:space="0" w:num="1"/>
          <w:rtlGutter w:val="0"/>
          <w:docGrid w:type="linesAndChars" w:linePitch="334"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11</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6"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6"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6"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6"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6"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6" w:firstLineChars="200"/>
        <w:rPr>
          <w:rFonts w:ascii="仿宋_GB2312" w:eastAsia="仿宋_GB2312"/>
          <w:bCs/>
        </w:rPr>
      </w:pPr>
    </w:p>
    <w:p w14:paraId="4535814D">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6"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6"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6"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w:t>
      </w:r>
      <w:r>
        <w:rPr>
          <w:rFonts w:hint="eastAsia" w:ascii="仿宋_GB2312" w:eastAsia="仿宋_GB2312" w:cs="Times New Roman"/>
          <w:bCs/>
          <w:lang w:val="en-US" w:eastAsia="zh-CN"/>
        </w:rPr>
        <w:t>5</w:t>
      </w:r>
      <w:r>
        <w:rPr>
          <w:rFonts w:hint="eastAsia" w:ascii="仿宋_GB2312" w:hAnsi="宋体" w:eastAsia="仿宋_GB2312" w:cs="Times New Roman"/>
          <w:bCs/>
          <w:lang w:val="en-US" w:eastAsia="zh-CN"/>
        </w:rPr>
        <w:t>、</w:t>
      </w:r>
      <w:r>
        <w:rPr>
          <w:rFonts w:hint="eastAsia" w:ascii="仿宋_GB2312" w:hAnsi="宋体" w:eastAsia="仿宋_GB2312" w:cs="Times New Roman"/>
          <w:bCs/>
        </w:rPr>
        <w:t>信用查询记录</w:t>
      </w:r>
    </w:p>
    <w:p w14:paraId="20E3D9E4">
      <w:pPr>
        <w:ind w:firstLine="364" w:firstLineChars="150"/>
        <w:rPr>
          <w:rFonts w:cs="宋体"/>
        </w:rPr>
      </w:pPr>
      <w:r>
        <w:rPr>
          <w:rFonts w:hint="eastAsia" w:cs="宋体"/>
        </w:rPr>
        <w:t>“信用中国”网</w:t>
      </w:r>
    </w:p>
    <w:p w14:paraId="429D15E8">
      <w:pPr>
        <w:ind w:firstLine="364" w:firstLineChars="150"/>
        <w:rPr>
          <w:rFonts w:cs="宋体"/>
        </w:rPr>
      </w:pPr>
      <w:r>
        <w:rPr>
          <w:rFonts w:hint="eastAsia" w:cs="宋体"/>
        </w:rPr>
        <w:br w:type="page"/>
      </w:r>
    </w:p>
    <w:p w14:paraId="7A440BA2">
      <w:pPr>
        <w:ind w:firstLine="364" w:firstLineChars="150"/>
        <w:rPr>
          <w:rFonts w:cs="宋体"/>
        </w:rPr>
      </w:pPr>
      <w:r>
        <w:rPr>
          <w:rFonts w:hint="eastAsia" w:cs="宋体"/>
        </w:rPr>
        <w:t>中国政府采购网</w:t>
      </w:r>
    </w:p>
    <w:p w14:paraId="60C663DB">
      <w:pPr>
        <w:ind w:firstLine="364" w:firstLineChars="150"/>
        <w:rPr>
          <w:rFonts w:cs="宋体"/>
        </w:rPr>
      </w:pPr>
      <w:r>
        <w:rPr>
          <w:rFonts w:hint="eastAsia" w:cs="宋体"/>
        </w:rPr>
        <w:br w:type="page"/>
      </w:r>
    </w:p>
    <w:p w14:paraId="74149306">
      <w:pPr>
        <w:ind w:firstLine="364" w:firstLineChars="150"/>
        <w:rPr>
          <w:rFonts w:cs="宋体"/>
        </w:rPr>
      </w:pPr>
      <w:r>
        <w:rPr>
          <w:rFonts w:hint="eastAsia" w:cs="宋体"/>
        </w:rPr>
        <w:t>深圳市政府采购监管</w:t>
      </w:r>
      <w:bookmarkStart w:id="0" w:name="_GoBack"/>
      <w:bookmarkEnd w:id="0"/>
      <w:r>
        <w:rPr>
          <w:rFonts w:hint="eastAsia" w:cs="宋体"/>
        </w:rPr>
        <w:t>网</w:t>
      </w:r>
    </w:p>
    <w:p w14:paraId="046EC0DE">
      <w:pPr>
        <w:rPr>
          <w:rFonts w:cs="宋体"/>
        </w:rPr>
      </w:pPr>
      <w:r>
        <w:rPr>
          <w:rFonts w:hint="eastAsia" w:cs="宋体"/>
        </w:rPr>
        <w:br w:type="page"/>
      </w:r>
    </w:p>
    <w:p w14:paraId="3AAEF967">
      <w:pPr>
        <w:ind w:firstLine="364" w:firstLineChars="150"/>
        <w:rPr>
          <w:rFonts w:ascii="仿宋_GB2312" w:eastAsia="仿宋_GB2312"/>
          <w:bCs/>
        </w:rPr>
      </w:pPr>
      <w:r>
        <w:rPr>
          <w:rFonts w:hint="eastAsia" w:cs="宋体"/>
        </w:rPr>
        <w:t>国家企业信用信息公示系统</w:t>
      </w:r>
    </w:p>
    <w:p w14:paraId="07F1F9DE"/>
    <w:p w14:paraId="1E3C1D85">
      <w:pPr>
        <w:spacing w:line="500" w:lineRule="atLeast"/>
        <w:ind w:left="0"/>
        <w:jc w:val="both"/>
        <w:rPr>
          <w:rFonts w:cs="宋体"/>
        </w:rPr>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7F7AAA9A">
      <w:pPr>
        <w:ind w:left="0" w:right="600"/>
      </w:pPr>
    </w:p>
    <w:sectPr>
      <w:footerReference r:id="rId7" w:type="default"/>
      <w:pgSz w:w="11906" w:h="16838"/>
      <w:pgMar w:top="680" w:right="1440" w:bottom="1440" w:left="1440" w:header="851" w:footer="992" w:gutter="0"/>
      <w:cols w:space="0" w:num="1"/>
      <w:rtlGutter w:val="0"/>
      <w:docGrid w:type="linesAndChars" w:linePitch="334" w:charSpace="8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55039CC-A4EF-4DE8-AB3B-C900B08EFEB5}"/>
  </w:font>
  <w:font w:name="黑体">
    <w:panose1 w:val="02010609060101010101"/>
    <w:charset w:val="86"/>
    <w:family w:val="auto"/>
    <w:pitch w:val="default"/>
    <w:sig w:usb0="800002BF" w:usb1="38CF7CFA" w:usb2="00000016" w:usb3="00000000" w:csb0="00040001" w:csb1="00000000"/>
    <w:embedRegular r:id="rId2" w:fontKey="{405BE473-B305-40F3-A20A-88EE96620A49}"/>
  </w:font>
  <w:font w:name="Courier New">
    <w:panose1 w:val="02070309020205020404"/>
    <w:charset w:val="01"/>
    <w:family w:val="modern"/>
    <w:pitch w:val="default"/>
    <w:sig w:usb0="E0002EFF" w:usb1="C0007843" w:usb2="00000009" w:usb3="00000000" w:csb0="400001FF" w:csb1="FFFF0000"/>
    <w:embedRegular r:id="rId3" w:fontKey="{F5EEDF4F-E45A-419B-B857-DA6ABBDF6D7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1B2E8DFD-B494-45EF-B537-5FEDAB9DDE7C}"/>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603AB7C5-2DC7-4155-95FD-D77BD4A1B949}"/>
  </w:font>
  <w:font w:name="华文中宋">
    <w:panose1 w:val="02010600040101010101"/>
    <w:charset w:val="86"/>
    <w:family w:val="auto"/>
    <w:pitch w:val="default"/>
    <w:sig w:usb0="00000287" w:usb1="080F0000" w:usb2="00000000" w:usb3="00000000" w:csb0="0004009F" w:csb1="DFD70000"/>
    <w:embedRegular r:id="rId6" w:fontKey="{4EBBC159-F9CE-4211-831C-BF71FEB1B9DE}"/>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7" w:fontKey="{6A530E8C-CA1F-4D4E-9092-B1259A6D3703}"/>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102D2"/>
    <w:multiLevelType w:val="singleLevel"/>
    <w:tmpl w:val="94F102D2"/>
    <w:lvl w:ilvl="0" w:tentative="0">
      <w:start w:val="1"/>
      <w:numFmt w:val="chineseCounting"/>
      <w:suff w:val="nothing"/>
      <w:lvlText w:val="（%1）"/>
      <w:lvlJc w:val="left"/>
      <w:rPr>
        <w:rFonts w:hint="eastAsia"/>
      </w:rPr>
    </w:lvl>
  </w:abstractNum>
  <w:abstractNum w:abstractNumId="1">
    <w:nsid w:val="BB1B8EEE"/>
    <w:multiLevelType w:val="singleLevel"/>
    <w:tmpl w:val="BB1B8EE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2"/>
  <w:drawingGridVerticalSpacing w:val="167"/>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C52008"/>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9F6B35"/>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4119C2"/>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16226B"/>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900254"/>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4A5D9B"/>
    <w:rsid w:val="505C5BDD"/>
    <w:rsid w:val="507C29FD"/>
    <w:rsid w:val="50C70955"/>
    <w:rsid w:val="50F80D08"/>
    <w:rsid w:val="51470643"/>
    <w:rsid w:val="51F779E0"/>
    <w:rsid w:val="522B227D"/>
    <w:rsid w:val="525A4938"/>
    <w:rsid w:val="52736CCC"/>
    <w:rsid w:val="527F4AE0"/>
    <w:rsid w:val="52DE094D"/>
    <w:rsid w:val="52EC71DD"/>
    <w:rsid w:val="539603BB"/>
    <w:rsid w:val="53B6483B"/>
    <w:rsid w:val="53BB1C34"/>
    <w:rsid w:val="54520EFE"/>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1440B"/>
    <w:rsid w:val="7AC76085"/>
    <w:rsid w:val="7B292109"/>
    <w:rsid w:val="7B3225CC"/>
    <w:rsid w:val="7B517D5F"/>
    <w:rsid w:val="7BF9057C"/>
    <w:rsid w:val="7C4D422C"/>
    <w:rsid w:val="7C545476"/>
    <w:rsid w:val="7C957A85"/>
    <w:rsid w:val="7CA52DA4"/>
    <w:rsid w:val="7D185003"/>
    <w:rsid w:val="7D391754"/>
    <w:rsid w:val="7D4C630E"/>
    <w:rsid w:val="7D9C4662"/>
    <w:rsid w:val="7DAD1EBC"/>
    <w:rsid w:val="7DBA59E2"/>
    <w:rsid w:val="7DBD4B3A"/>
    <w:rsid w:val="7DC13A7C"/>
    <w:rsid w:val="7DCE1294"/>
    <w:rsid w:val="7DD520D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7448</Words>
  <Characters>7594</Characters>
  <Lines>67</Lines>
  <Paragraphs>18</Paragraphs>
  <TotalTime>0</TotalTime>
  <ScaleCrop>false</ScaleCrop>
  <LinksUpToDate>false</LinksUpToDate>
  <CharactersWithSpaces>8451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idy</cp:lastModifiedBy>
  <cp:lastPrinted>2025-02-19T06:25:00Z</cp:lastPrinted>
  <dcterms:modified xsi:type="dcterms:W3CDTF">2026-05-09T07:33:46Z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D2B738E7E857491C9BDCB4156CA68BFF</vt:lpwstr>
  </property>
  <property fmtid="{D5CDD505-2E9C-101B-9397-08002B2CF9AE}" pid="4" name="KSOTemplateDocerSaveRecord">
    <vt:lpwstr>eyJoZGlkIjoiMzg5NWMzYTViN2RiMjhmMDY5MDlkZTM2YzZiZjliM2MiLCJ1c2VySWQiOiI3MzYzODY5MzMifQ==</vt:lpwstr>
  </property>
</Properties>
</file>