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ascii="方正小标宋简体" w:eastAsia="方正小标宋简体"/>
          <w:color w:val="auto"/>
          <w:sz w:val="40"/>
          <w:szCs w:val="32"/>
          <w:highlight w:val="none"/>
        </w:rPr>
      </w:pPr>
      <w:r>
        <w:rPr>
          <w:rFonts w:hint="eastAsia" w:ascii="方正小标宋简体" w:eastAsia="方正小标宋简体"/>
          <w:color w:val="auto"/>
          <w:sz w:val="40"/>
          <w:szCs w:val="32"/>
          <w:highlight w:val="none"/>
        </w:rPr>
        <w:t>卫生健康人才</w:t>
      </w:r>
      <w:r>
        <w:rPr>
          <w:rFonts w:hint="eastAsia" w:ascii="方正小标宋简体" w:eastAsia="方正小标宋简体"/>
          <w:color w:val="auto"/>
          <w:sz w:val="40"/>
          <w:szCs w:val="32"/>
          <w:highlight w:val="none"/>
          <w:lang w:eastAsia="zh-CN"/>
        </w:rPr>
        <w:t>（）</w:t>
      </w:r>
      <w:r>
        <w:rPr>
          <w:rFonts w:hint="eastAsia" w:ascii="方正小标宋简体" w:eastAsia="方正小标宋简体"/>
          <w:color w:val="auto"/>
          <w:sz w:val="40"/>
          <w:szCs w:val="32"/>
          <w:highlight w:val="none"/>
        </w:rPr>
        <w:t>级职称评审</w:t>
      </w:r>
    </w:p>
    <w:p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/>
        </w:rPr>
      </w:pPr>
      <w:r>
        <w:rPr>
          <w:rFonts w:hint="eastAsia" w:ascii="方正小标宋简体" w:hAnsi="仿宋_GB2312" w:eastAsia="方正小标宋简体" w:cs="仿宋_GB2312"/>
          <w:bCs/>
          <w:color w:val="auto"/>
          <w:sz w:val="40"/>
          <w:szCs w:val="32"/>
          <w:highlight w:val="none"/>
        </w:rPr>
        <w:t>纸质材料目录单</w:t>
      </w:r>
    </w:p>
    <w:p>
      <w:pPr>
        <w:jc w:val="left"/>
        <w:rPr>
          <w:rFonts w:ascii="仿宋_GB2312" w:eastAsia="仿宋_GB2312"/>
          <w:color w:val="auto"/>
          <w:sz w:val="22"/>
          <w:szCs w:val="21"/>
          <w:highlight w:val="none"/>
        </w:rPr>
      </w:pPr>
    </w:p>
    <w:p>
      <w:pPr>
        <w:spacing w:line="500" w:lineRule="exact"/>
        <w:jc w:val="left"/>
        <w:rPr>
          <w:rFonts w:ascii="仿宋_GB2312" w:hAns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 xml:space="preserve">姓名：                            </w:t>
      </w:r>
    </w:p>
    <w:p>
      <w:pPr>
        <w:spacing w:line="500" w:lineRule="exact"/>
        <w:jc w:val="left"/>
        <w:rPr>
          <w:rFonts w:ascii="仿宋_GB2312" w:hAns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/>
          <w:color w:val="auto"/>
          <w:sz w:val="28"/>
          <w:szCs w:val="28"/>
          <w:highlight w:val="none"/>
        </w:rPr>
        <w:t>工作单位：</w:t>
      </w:r>
    </w:p>
    <w:p>
      <w:pPr>
        <w:spacing w:line="500" w:lineRule="exact"/>
        <w:jc w:val="left"/>
        <w:rPr>
          <w:rFonts w:ascii="仿宋_GB2312" w:hAns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所在科室：</w:t>
      </w:r>
    </w:p>
    <w:p>
      <w:pPr>
        <w:spacing w:line="500" w:lineRule="exact"/>
        <w:jc w:val="left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申报职称：专业职称</w:t>
      </w:r>
    </w:p>
    <w:tbl>
      <w:tblPr>
        <w:tblStyle w:val="3"/>
        <w:tblpPr w:leftFromText="180" w:rightFromText="180" w:vertAnchor="text" w:horzAnchor="margin" w:tblpY="20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b/>
                <w:color w:val="auto"/>
                <w:sz w:val="28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  <w:szCs w:val="21"/>
                <w:highlight w:val="none"/>
              </w:rPr>
              <w:t>序 号</w:t>
            </w:r>
          </w:p>
        </w:tc>
        <w:tc>
          <w:tcPr>
            <w:tcW w:w="751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b/>
                <w:color w:val="auto"/>
                <w:sz w:val="28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8"/>
                <w:szCs w:val="21"/>
                <w:highlight w:val="none"/>
              </w:rPr>
              <w:t>材   料    名   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color w:val="auto"/>
                <w:sz w:val="28"/>
                <w:szCs w:val="21"/>
                <w:highlight w:val="none"/>
              </w:rPr>
            </w:pPr>
          </w:p>
        </w:tc>
        <w:tc>
          <w:tcPr>
            <w:tcW w:w="7513" w:type="dxa"/>
            <w:noWrap w:val="0"/>
            <w:vAlign w:val="center"/>
          </w:tcPr>
          <w:p>
            <w:pPr>
              <w:spacing w:line="340" w:lineRule="exact"/>
              <w:ind w:right="34" w:rightChars="16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color w:val="auto"/>
                <w:sz w:val="28"/>
                <w:szCs w:val="21"/>
                <w:highlight w:val="none"/>
              </w:rPr>
            </w:pPr>
          </w:p>
        </w:tc>
        <w:tc>
          <w:tcPr>
            <w:tcW w:w="7513" w:type="dxa"/>
            <w:noWrap w:val="0"/>
            <w:vAlign w:val="center"/>
          </w:tcPr>
          <w:p>
            <w:pPr>
              <w:spacing w:line="340" w:lineRule="exact"/>
              <w:ind w:right="34" w:rightChars="16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atLeast"/>
        </w:trPr>
        <w:tc>
          <w:tcPr>
            <w:tcW w:w="959" w:type="dxa"/>
            <w:noWrap w:val="0"/>
            <w:vAlign w:val="center"/>
          </w:tcPr>
          <w:p>
            <w:pPr>
              <w:spacing w:line="340" w:lineRule="exact"/>
              <w:ind w:right="-108" w:firstLine="120"/>
              <w:jc w:val="center"/>
              <w:rPr>
                <w:rFonts w:ascii="仿宋_GB2312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513" w:type="dxa"/>
            <w:noWrap w:val="0"/>
            <w:vAlign w:val="center"/>
          </w:tcPr>
          <w:p>
            <w:pPr>
              <w:spacing w:line="340" w:lineRule="exact"/>
              <w:ind w:right="34" w:rightChars="16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59" w:type="dxa"/>
            <w:noWrap w:val="0"/>
            <w:vAlign w:val="center"/>
          </w:tcPr>
          <w:p>
            <w:pPr>
              <w:spacing w:line="340" w:lineRule="exact"/>
              <w:ind w:right="-108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513" w:type="dxa"/>
            <w:noWrap w:val="0"/>
            <w:vAlign w:val="center"/>
          </w:tcPr>
          <w:p>
            <w:pPr>
              <w:spacing w:line="340" w:lineRule="exact"/>
              <w:ind w:right="34" w:rightChars="16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59" w:type="dxa"/>
            <w:noWrap w:val="0"/>
            <w:vAlign w:val="center"/>
          </w:tcPr>
          <w:p>
            <w:pPr>
              <w:spacing w:line="340" w:lineRule="exact"/>
              <w:ind w:right="-108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513" w:type="dxa"/>
            <w:noWrap w:val="0"/>
            <w:vAlign w:val="center"/>
          </w:tcPr>
          <w:p>
            <w:pPr>
              <w:spacing w:line="340" w:lineRule="exact"/>
              <w:ind w:right="34" w:rightChars="16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59" w:type="dxa"/>
            <w:noWrap w:val="0"/>
            <w:vAlign w:val="center"/>
          </w:tcPr>
          <w:p>
            <w:pPr>
              <w:spacing w:line="340" w:lineRule="exact"/>
              <w:ind w:right="-108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513" w:type="dxa"/>
            <w:noWrap w:val="0"/>
            <w:vAlign w:val="center"/>
          </w:tcPr>
          <w:p>
            <w:pPr>
              <w:spacing w:line="340" w:lineRule="exact"/>
              <w:ind w:right="34" w:rightChars="16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959" w:type="dxa"/>
            <w:noWrap w:val="0"/>
            <w:vAlign w:val="center"/>
          </w:tcPr>
          <w:p>
            <w:pPr>
              <w:spacing w:line="340" w:lineRule="exact"/>
              <w:rPr>
                <w:rFonts w:ascii="仿宋_GB2312" w:eastAsia="仿宋_GB2312"/>
                <w:color w:val="auto"/>
                <w:szCs w:val="21"/>
                <w:highlight w:val="none"/>
              </w:rPr>
            </w:pPr>
          </w:p>
        </w:tc>
        <w:tc>
          <w:tcPr>
            <w:tcW w:w="7513" w:type="dxa"/>
            <w:noWrap w:val="0"/>
            <w:vAlign w:val="center"/>
          </w:tcPr>
          <w:p>
            <w:pPr>
              <w:spacing w:line="340" w:lineRule="exact"/>
              <w:rPr>
                <w:rFonts w:ascii="仿宋_GB2312" w:eastAsia="仿宋_GB2312"/>
                <w:color w:val="auto"/>
                <w:szCs w:val="21"/>
                <w:highlight w:val="none"/>
                <w:u w:val="single"/>
              </w:rPr>
            </w:pPr>
          </w:p>
        </w:tc>
      </w:tr>
    </w:tbl>
    <w:p>
      <w:pPr>
        <w:spacing w:line="240" w:lineRule="atLeast"/>
        <w:ind w:right="-336" w:rightChars="-160"/>
        <w:jc w:val="left"/>
        <w:rPr>
          <w:rFonts w:ascii="仿宋_GB2312" w:eastAsia="仿宋_GB2312"/>
          <w:b/>
          <w:color w:val="auto"/>
          <w:szCs w:val="21"/>
          <w:highlight w:val="none"/>
        </w:rPr>
      </w:pPr>
    </w:p>
    <w:p>
      <w:pPr>
        <w:jc w:val="left"/>
        <w:rPr>
          <w:rFonts w:hint="eastAsia" w:ascii="宋体" w:hAnsi="宋体" w:cs="宋体"/>
          <w:sz w:val="24"/>
          <w:szCs w:val="24"/>
          <w:highlight w:val="none"/>
          <w:lang w:eastAsia="zh-CN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说明：申报人应通过《广东省卫生健康人才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  <w:highlight w:val="none"/>
        </w:rPr>
        <w:t>高级职称网上申报系统》、《广东省卫生研究专业中初级职称申报系统》或《广东省基层卫生紧缺专业技术人才副高级职称认定申报系统》完成申报，直接提交《广东省职称评审表》，无需装袋；如需提交其他纸质材料，应将除《广东省职称评审表》外的相关纸质材料整理装袋，并填写此表张贴于材料袋封面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4MWI3Yzg3NzVkYjY0OGE2MDkxNWVjNmZkNDg1OTYifQ=="/>
  </w:docVars>
  <w:rsids>
    <w:rsidRoot w:val="1A360509"/>
    <w:rsid w:val="1A360509"/>
    <w:rsid w:val="2F56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line="320" w:lineRule="exact"/>
      <w:jc w:val="center"/>
    </w:pPr>
    <w:rPr>
      <w:rFonts w:hint="eastAsia" w:ascii="Times New Roman" w:hAnsi="Times New Roman" w:eastAsia="宋体" w:cs="Times New Roman"/>
      <w:color w:val="000000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206</Characters>
  <Lines>0</Lines>
  <Paragraphs>0</Paragraphs>
  <TotalTime>1</TotalTime>
  <ScaleCrop>false</ScaleCrop>
  <LinksUpToDate>false</LinksUpToDate>
  <CharactersWithSpaces>245</CharactersWithSpaces>
  <Application>WPS Office_11.1.0.11797_F1E327BC-269C-435d-A152-05C5408002CA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2022-05-27T08:14:00Z</dcterms:created>
  <dc:creator>陈海东</dc:creator>
  <cp:lastModifiedBy>东</cp:lastModifiedBy>
  <dcterms:modified xsi:type="dcterms:W3CDTF">2022-05-30T02:32:59Z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2052-11.1.0.11797</vt:lpwstr>
  </property>
  <property fmtid="{D5CDD505-2E9C-101B-9397-08002B2CF9AE}" pid="3" name="ICV">
    <vt:lpwstr>32620220864343CD9CAC62DFADED89BE</vt:lpwstr>
  </property>
</Properties>
</file>