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0DD88">
      <w:pPr>
        <w:pStyle w:val="2"/>
        <w:jc w:val="center"/>
      </w:pPr>
      <w:r>
        <w:t>深圳（东部）人工智能产业公共服务平台升级配套服务及存储中心项目全过程咨询服务</w:t>
      </w:r>
      <w:r>
        <w:rPr>
          <w:rFonts w:hint="eastAsia"/>
        </w:rPr>
        <w:t>-需求说明书</w:t>
      </w:r>
    </w:p>
    <w:p w14:paraId="589F7050">
      <w:pPr>
        <w:pStyle w:val="2"/>
        <w:numPr>
          <w:ilvl w:val="0"/>
          <w:numId w:val="1"/>
        </w:numPr>
        <w:spacing w:before="0" w:after="0" w:line="560" w:lineRule="exact"/>
        <w:rPr>
          <w:rFonts w:ascii="Times New Roman" w:hAnsi="Times New Roman"/>
          <w:sz w:val="28"/>
        </w:rPr>
      </w:pPr>
      <w:r>
        <w:rPr>
          <w:rFonts w:hint="eastAsia" w:ascii="Times New Roman" w:hAnsi="Times New Roman"/>
          <w:sz w:val="28"/>
        </w:rPr>
        <w:t>项目背景</w:t>
      </w:r>
    </w:p>
    <w:p w14:paraId="77A498F5">
      <w:pPr>
        <w:spacing w:line="560" w:lineRule="exact"/>
        <w:ind w:firstLine="480" w:firstLineChars="200"/>
        <w:rPr>
          <w:rFonts w:hint="eastAsia" w:ascii="宋体" w:hAnsi="宋体" w:cs="宋体"/>
          <w:sz w:val="24"/>
          <w:szCs w:val="32"/>
        </w:rPr>
      </w:pPr>
      <w:r>
        <w:rPr>
          <w:rFonts w:ascii="宋体" w:hAnsi="宋体" w:cs="宋体"/>
          <w:sz w:val="24"/>
          <w:szCs w:val="32"/>
        </w:rPr>
        <w:t>根据《深圳市龙岗区创建人工智能全域全时应用示范区的行动方案(2024年-2025年)》和《龙岗区加快创建“AI龙岗”三年行动计划（2025—2027年）》规划, 要构建高效算力供给体系，在供给侧加强龙岗区在线算力供给保障能力，推动人工智能产业化。我司已建设深圳（东部）人工智能产业公共服务平台，为更好服务客户，</w:t>
      </w:r>
      <w:r>
        <w:rPr>
          <w:rFonts w:hint="eastAsia" w:ascii="宋体" w:hAnsi="宋体" w:cs="宋体"/>
          <w:sz w:val="24"/>
          <w:szCs w:val="32"/>
        </w:rPr>
        <w:t>拟对</w:t>
      </w:r>
      <w:r>
        <w:rPr>
          <w:rFonts w:ascii="宋体" w:hAnsi="宋体" w:cs="宋体"/>
          <w:sz w:val="24"/>
          <w:szCs w:val="32"/>
        </w:rPr>
        <w:t>深圳（东部）人工智能产业公共服务平台进行</w:t>
      </w:r>
      <w:r>
        <w:rPr>
          <w:rFonts w:hint="eastAsia" w:ascii="宋体" w:hAnsi="宋体" w:cs="宋体"/>
          <w:sz w:val="24"/>
          <w:szCs w:val="32"/>
        </w:rPr>
        <w:t>存储扩容</w:t>
      </w:r>
      <w:r>
        <w:rPr>
          <w:rFonts w:ascii="宋体" w:hAnsi="宋体" w:cs="宋体"/>
          <w:sz w:val="24"/>
          <w:szCs w:val="32"/>
        </w:rPr>
        <w:t>，</w:t>
      </w:r>
      <w:r>
        <w:rPr>
          <w:rFonts w:hint="eastAsia" w:ascii="宋体" w:hAnsi="宋体" w:cs="宋体"/>
          <w:sz w:val="24"/>
          <w:szCs w:val="32"/>
        </w:rPr>
        <w:t>两个项目扩容规模分别为8.5PB和20PB，</w:t>
      </w:r>
      <w:r>
        <w:rPr>
          <w:rFonts w:ascii="宋体" w:hAnsi="宋体" w:cs="宋体"/>
          <w:sz w:val="24"/>
          <w:szCs w:val="32"/>
        </w:rPr>
        <w:t>为保证项目建设顺利推进，我司拟采购项目全过程咨询服务</w:t>
      </w:r>
      <w:r>
        <w:rPr>
          <w:rFonts w:hint="eastAsia" w:ascii="宋体" w:hAnsi="宋体" w:cs="宋体"/>
          <w:sz w:val="24"/>
          <w:szCs w:val="32"/>
        </w:rPr>
        <w:t>。</w:t>
      </w:r>
    </w:p>
    <w:p w14:paraId="008CDE6D">
      <w:pPr>
        <w:pStyle w:val="2"/>
        <w:numPr>
          <w:ilvl w:val="0"/>
          <w:numId w:val="1"/>
        </w:numPr>
        <w:spacing w:before="0" w:after="0" w:line="560" w:lineRule="exact"/>
        <w:rPr>
          <w:rFonts w:ascii="Times New Roman" w:hAnsi="Times New Roman"/>
          <w:sz w:val="28"/>
        </w:rPr>
      </w:pPr>
      <w:r>
        <w:rPr>
          <w:rFonts w:hint="eastAsia" w:ascii="Times New Roman" w:hAnsi="Times New Roman"/>
          <w:sz w:val="28"/>
        </w:rPr>
        <w:t>服务目标</w:t>
      </w:r>
    </w:p>
    <w:p w14:paraId="373DB2F8">
      <w:pPr>
        <w:spacing w:line="560" w:lineRule="exact"/>
        <w:ind w:firstLine="480" w:firstLineChars="200"/>
        <w:rPr>
          <w:rFonts w:hint="eastAsia" w:ascii="宋体" w:hAnsi="宋体" w:cs="宋体"/>
          <w:sz w:val="24"/>
          <w:szCs w:val="32"/>
        </w:rPr>
      </w:pPr>
      <w:r>
        <w:rPr>
          <w:rFonts w:hint="eastAsia" w:ascii="宋体" w:hAnsi="宋体" w:cs="宋体"/>
          <w:sz w:val="24"/>
          <w:szCs w:val="32"/>
        </w:rPr>
        <w:t>通过聘请第三方咨询单位为招标人提供专业的项目建设管理服务。项目建设管理服务期从全过程咨询服务合同签订后开始，直至项目竣工验收为止。项目建设管理服务主要代表招标人对项目的组织实施进行全过程的管理和服务，须充分发挥管理的主导作用，对项目全流程的进度和质量进行管理，并从项目整体效益出发，建立相关管理制度，协助招标人提升项目建设管理水平。投标人须派驻项目管理技术服务团队，持续开展项目管理服务，对项目建设过程中遇到的关键问题提供技术支持。投标人须协调各承建方进行项目建设、测试、验收等。</w:t>
      </w:r>
    </w:p>
    <w:p w14:paraId="5507B6D9">
      <w:pPr>
        <w:pStyle w:val="2"/>
        <w:numPr>
          <w:ilvl w:val="0"/>
          <w:numId w:val="1"/>
        </w:numPr>
        <w:spacing w:before="0" w:after="0" w:line="560" w:lineRule="exact"/>
        <w:rPr>
          <w:rFonts w:ascii="Times New Roman" w:hAnsi="Times New Roman"/>
          <w:sz w:val="28"/>
        </w:rPr>
      </w:pPr>
      <w:r>
        <w:rPr>
          <w:rFonts w:hint="eastAsia" w:ascii="Times New Roman" w:hAnsi="Times New Roman"/>
          <w:sz w:val="28"/>
        </w:rPr>
        <w:t>服务内容</w:t>
      </w:r>
    </w:p>
    <w:p w14:paraId="23FE9793">
      <w:pPr>
        <w:spacing w:line="560" w:lineRule="exact"/>
        <w:ind w:firstLine="480" w:firstLineChars="200"/>
        <w:rPr>
          <w:rFonts w:hint="eastAsia" w:ascii="宋体" w:hAnsi="宋体" w:cs="宋体"/>
          <w:sz w:val="24"/>
          <w:szCs w:val="32"/>
        </w:rPr>
      </w:pPr>
      <w:r>
        <w:rPr>
          <w:rFonts w:ascii="宋体" w:hAnsi="宋体" w:cs="宋体"/>
          <w:sz w:val="24"/>
          <w:szCs w:val="32"/>
        </w:rPr>
        <w:t>深圳（东部）人工智能产业公共服务平台升级配套服务及存储中心项目</w:t>
      </w:r>
      <w:bookmarkStart w:id="0" w:name="_GoBack"/>
      <w:r>
        <w:rPr>
          <w:rFonts w:ascii="宋体" w:hAnsi="宋体" w:cs="宋体"/>
          <w:sz w:val="24"/>
          <w:szCs w:val="32"/>
        </w:rPr>
        <w:t>全过程咨询服务</w:t>
      </w:r>
      <w:bookmarkEnd w:id="0"/>
      <w:r>
        <w:rPr>
          <w:rFonts w:hint="eastAsia" w:ascii="宋体" w:hAnsi="宋体" w:cs="宋体"/>
          <w:sz w:val="24"/>
          <w:szCs w:val="32"/>
        </w:rPr>
        <w:t>内容主要包括：</w:t>
      </w:r>
    </w:p>
    <w:p w14:paraId="790995BA">
      <w:pPr>
        <w:spacing w:line="560" w:lineRule="exact"/>
        <w:ind w:firstLine="482" w:firstLineChars="200"/>
        <w:rPr>
          <w:rFonts w:hint="eastAsia" w:ascii="宋体" w:hAnsi="宋体" w:cs="宋体"/>
          <w:sz w:val="24"/>
          <w:szCs w:val="32"/>
        </w:rPr>
      </w:pPr>
      <w:r>
        <w:rPr>
          <w:rFonts w:hint="eastAsia" w:ascii="宋体" w:hAnsi="宋体" w:cs="宋体"/>
          <w:b/>
          <w:bCs/>
          <w:sz w:val="24"/>
          <w:szCs w:val="32"/>
        </w:rPr>
        <w:t>提供全过程项目管理服务，</w:t>
      </w:r>
      <w:r>
        <w:rPr>
          <w:rFonts w:hint="eastAsia" w:ascii="宋体" w:hAnsi="宋体" w:cs="宋体"/>
          <w:sz w:val="24"/>
          <w:szCs w:val="32"/>
        </w:rPr>
        <w:t>保障项目过程合规性、相关文档成果的完整性、设计及实施方案的合理性；协助招标人履行项目建设期内的各项管理职责；识别并管控风险，确保项目顺利实施；</w:t>
      </w:r>
    </w:p>
    <w:p w14:paraId="7FC1EAAA">
      <w:pPr>
        <w:spacing w:line="560" w:lineRule="exact"/>
        <w:ind w:firstLine="482" w:firstLineChars="200"/>
        <w:rPr>
          <w:rFonts w:hint="eastAsia" w:ascii="宋体" w:hAnsi="宋体" w:cs="宋体"/>
          <w:sz w:val="24"/>
          <w:szCs w:val="32"/>
        </w:rPr>
      </w:pPr>
      <w:r>
        <w:rPr>
          <w:rFonts w:hint="eastAsia" w:ascii="宋体" w:hAnsi="宋体" w:cs="宋体"/>
          <w:b/>
          <w:bCs/>
          <w:sz w:val="24"/>
          <w:szCs w:val="32"/>
        </w:rPr>
        <w:t>提供实施监理服务，</w:t>
      </w:r>
      <w:r>
        <w:rPr>
          <w:rFonts w:hint="eastAsia" w:ascii="宋体" w:hAnsi="宋体" w:cs="宋体"/>
          <w:sz w:val="24"/>
          <w:szCs w:val="32"/>
        </w:rPr>
        <w:t>按照合同约定对项目整体质量和进度进行控制；在项目实施阶段对项目建设相关方的关系进行协调；并在项目现场实施阶段对项目进度、质量、安全进行管控；</w:t>
      </w:r>
    </w:p>
    <w:p w14:paraId="4D5483C1">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围绕上述项服务内容，分解到项目全过程不同阶段，对应的具体服务内容如下：</w:t>
      </w:r>
    </w:p>
    <w:p w14:paraId="3E4F50AA">
      <w:pPr>
        <w:pStyle w:val="4"/>
        <w:spacing w:line="560" w:lineRule="exact"/>
        <w:ind w:firstLine="482"/>
        <w:outlineLvl w:val="1"/>
        <w:rPr>
          <w:rFonts w:hint="eastAsia" w:ascii="宋体" w:hAnsi="宋体" w:cs="宋体"/>
          <w:b/>
          <w:sz w:val="24"/>
          <w:szCs w:val="32"/>
        </w:rPr>
      </w:pPr>
      <w:r>
        <w:rPr>
          <w:rFonts w:hint="eastAsia" w:ascii="宋体" w:hAnsi="宋体" w:cs="宋体"/>
          <w:b/>
          <w:sz w:val="24"/>
          <w:szCs w:val="32"/>
        </w:rPr>
        <w:t>（一）建设实施阶段</w:t>
      </w:r>
    </w:p>
    <w:p w14:paraId="03D66387">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严格实施计划进度管理，定期输出项目阶段性月度报告，反映项目的工作进度、成果，存在的问题以及纠偏措施。</w:t>
      </w:r>
    </w:p>
    <w:p w14:paraId="52B4D662">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参与项目管理例会和项目协调例会，对于项目中的规划、设计、技术、设备等重大问题以及影响项目质量、进度、投资的关键问题提出意见，推进项目质量、进度、投资等控制目标的实现。</w:t>
      </w:r>
    </w:p>
    <w:p w14:paraId="7E914B1C">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协助审核实施单位提出的变更，并提出合理化建议。</w:t>
      </w:r>
    </w:p>
    <w:p w14:paraId="26FB6563">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在实施阶段对项目进度及质量进行监督管理，对重要工序进行旁站。</w:t>
      </w:r>
    </w:p>
    <w:p w14:paraId="156D5651">
      <w:pPr>
        <w:pStyle w:val="4"/>
        <w:spacing w:line="560" w:lineRule="exact"/>
        <w:ind w:firstLine="482"/>
        <w:outlineLvl w:val="1"/>
        <w:rPr>
          <w:rFonts w:hint="eastAsia" w:ascii="宋体" w:hAnsi="宋体" w:cs="宋体"/>
          <w:b/>
          <w:sz w:val="24"/>
          <w:szCs w:val="32"/>
        </w:rPr>
      </w:pPr>
      <w:r>
        <w:rPr>
          <w:rFonts w:hint="eastAsia" w:ascii="宋体" w:hAnsi="宋体" w:cs="宋体"/>
          <w:b/>
          <w:sz w:val="24"/>
          <w:szCs w:val="32"/>
        </w:rPr>
        <w:t>（二）竣工验收阶段</w:t>
      </w:r>
    </w:p>
    <w:p w14:paraId="1E95229E">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基于各项已签署的合同等文件，协助招标人参照合同建设内容、软硬件清单、验收条件对项目建设成果进行验收评审。</w:t>
      </w:r>
    </w:p>
    <w:p w14:paraId="5A5DBBEC">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协助招标人进行项目竣工资料的收集、汇编，并审核竣工验收档案资料的完整性、合规性。</w:t>
      </w:r>
    </w:p>
    <w:p w14:paraId="58FF333C">
      <w:pPr>
        <w:pStyle w:val="4"/>
        <w:spacing w:line="560" w:lineRule="exact"/>
        <w:ind w:firstLine="482"/>
        <w:outlineLvl w:val="1"/>
        <w:rPr>
          <w:rFonts w:hint="eastAsia" w:ascii="宋体" w:hAnsi="宋体" w:cs="宋体"/>
          <w:b/>
          <w:sz w:val="24"/>
          <w:szCs w:val="32"/>
        </w:rPr>
      </w:pPr>
      <w:r>
        <w:rPr>
          <w:rFonts w:hint="eastAsia" w:ascii="宋体" w:hAnsi="宋体" w:cs="宋体"/>
          <w:b/>
          <w:sz w:val="24"/>
          <w:szCs w:val="32"/>
        </w:rPr>
        <w:t>（三）其他支撑工作</w:t>
      </w:r>
    </w:p>
    <w:p w14:paraId="515D7138">
      <w:pPr>
        <w:pStyle w:val="4"/>
        <w:spacing w:line="560" w:lineRule="exact"/>
        <w:ind w:left="480" w:firstLine="0" w:firstLineChars="0"/>
        <w:rPr>
          <w:rFonts w:hint="eastAsia" w:ascii="宋体" w:hAnsi="宋体" w:cs="宋体"/>
          <w:sz w:val="24"/>
          <w:szCs w:val="32"/>
        </w:rPr>
      </w:pPr>
      <w:r>
        <w:rPr>
          <w:rFonts w:hint="eastAsia" w:ascii="宋体" w:hAnsi="宋体" w:cs="宋体"/>
          <w:sz w:val="24"/>
          <w:szCs w:val="32"/>
        </w:rPr>
        <w:t>负责向招标人提供优良而全面的技术顾问服务，比如：</w:t>
      </w:r>
    </w:p>
    <w:p w14:paraId="08CD44D1">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协助招标人对项目技术风险进行识别和规避。</w:t>
      </w:r>
    </w:p>
    <w:p w14:paraId="45D5C6BD">
      <w:pPr>
        <w:pStyle w:val="4"/>
        <w:numPr>
          <w:ilvl w:val="0"/>
          <w:numId w:val="2"/>
        </w:numPr>
        <w:spacing w:line="560" w:lineRule="exact"/>
        <w:ind w:left="0" w:firstLine="480"/>
        <w:rPr>
          <w:rFonts w:hint="eastAsia" w:ascii="宋体" w:hAnsi="宋体" w:cs="宋体"/>
          <w:sz w:val="24"/>
          <w:szCs w:val="32"/>
        </w:rPr>
      </w:pPr>
      <w:r>
        <w:rPr>
          <w:rFonts w:hint="eastAsia" w:ascii="宋体" w:hAnsi="宋体" w:cs="宋体"/>
          <w:sz w:val="24"/>
          <w:szCs w:val="32"/>
        </w:rPr>
        <w:t>协助招标人组织关键技术路线以及重点实施方案相关讨论，把关技术方案合理性、完整性、可扩展性。</w:t>
      </w:r>
    </w:p>
    <w:p w14:paraId="35361F12">
      <w:pPr>
        <w:pStyle w:val="2"/>
        <w:numPr>
          <w:ilvl w:val="0"/>
          <w:numId w:val="1"/>
        </w:numPr>
        <w:spacing w:before="0" w:after="0" w:line="560" w:lineRule="exact"/>
        <w:rPr>
          <w:rFonts w:ascii="Times New Roman" w:hAnsi="Times New Roman"/>
          <w:sz w:val="28"/>
        </w:rPr>
      </w:pPr>
      <w:r>
        <w:rPr>
          <w:rFonts w:hint="eastAsia" w:ascii="Times New Roman" w:hAnsi="Times New Roman"/>
          <w:sz w:val="28"/>
        </w:rPr>
        <w:t>服务成果</w:t>
      </w:r>
    </w:p>
    <w:p w14:paraId="7852CA48">
      <w:pPr>
        <w:spacing w:line="360" w:lineRule="auto"/>
        <w:ind w:firstLine="480" w:firstLineChars="200"/>
        <w:rPr>
          <w:rFonts w:hint="eastAsia" w:ascii="宋体" w:hAnsi="宋体" w:cs="宋体"/>
          <w:sz w:val="24"/>
          <w:szCs w:val="32"/>
        </w:rPr>
      </w:pPr>
      <w:r>
        <w:rPr>
          <w:rFonts w:hint="eastAsia" w:ascii="宋体" w:hAnsi="宋体" w:cs="宋体"/>
          <w:sz w:val="24"/>
          <w:szCs w:val="32"/>
        </w:rPr>
        <w:t>（一）项目实施计划（WORD/PDF，份数视专业和复杂程度按需提供），明确项目应用目标、组织架构及时间计划，规范各参与方工作行为。</w:t>
      </w:r>
    </w:p>
    <w:p w14:paraId="1B2716B5">
      <w:pPr>
        <w:spacing w:line="360" w:lineRule="auto"/>
        <w:ind w:firstLine="480" w:firstLineChars="200"/>
        <w:rPr>
          <w:rFonts w:hint="eastAsia" w:ascii="宋体" w:hAnsi="宋体" w:cs="宋体"/>
          <w:sz w:val="24"/>
          <w:szCs w:val="32"/>
        </w:rPr>
      </w:pPr>
      <w:r>
        <w:rPr>
          <w:rFonts w:hint="eastAsia" w:ascii="宋体" w:hAnsi="宋体" w:cs="宋体"/>
          <w:sz w:val="24"/>
          <w:szCs w:val="32"/>
        </w:rPr>
        <w:t>（二）项目阶段性月度报告（WORD/PDF，1份/月），要求反映项目的工作进度、成果，存在的问题以及纠偏措施。</w:t>
      </w:r>
    </w:p>
    <w:p w14:paraId="459EDC9E">
      <w:pPr>
        <w:spacing w:line="360" w:lineRule="auto"/>
        <w:ind w:firstLine="480" w:firstLineChars="200"/>
        <w:rPr>
          <w:rFonts w:hint="eastAsia" w:ascii="宋体" w:hAnsi="宋体" w:cs="宋体"/>
          <w:sz w:val="24"/>
          <w:szCs w:val="32"/>
        </w:rPr>
      </w:pPr>
      <w:r>
        <w:rPr>
          <w:rFonts w:hint="eastAsia" w:ascii="宋体" w:hAnsi="宋体" w:cs="宋体"/>
          <w:sz w:val="24"/>
          <w:szCs w:val="32"/>
        </w:rPr>
        <w:t>（三）项目相关会议纪要（WORD/PDF，1份/次），对项目过程中组织召开的沟通协调会议，负责对相关方的职责以正式会议纪要的方式加以明确，并跟踪问题解决的进度和质量及时向招标方反馈。</w:t>
      </w:r>
    </w:p>
    <w:p w14:paraId="4E16DA6E">
      <w:pPr>
        <w:spacing w:line="360" w:lineRule="auto"/>
        <w:ind w:firstLine="480" w:firstLineChars="200"/>
        <w:rPr>
          <w:rFonts w:ascii="宋体" w:hAnsi="宋体" w:cs="宋体"/>
          <w:sz w:val="24"/>
          <w:szCs w:val="32"/>
        </w:rPr>
      </w:pPr>
      <w:r>
        <w:rPr>
          <w:rFonts w:hint="eastAsia" w:ascii="宋体" w:hAnsi="宋体" w:cs="宋体"/>
          <w:sz w:val="24"/>
          <w:szCs w:val="32"/>
        </w:rPr>
        <w:t>（四）项目管理总结报告（WORD/PDF，份数视专业和复杂程度按需提供），对项目最终的质量、进度、造价进行评估总结，对项目过程中发生的变更情况进行记录归档。</w:t>
      </w:r>
    </w:p>
    <w:p w14:paraId="575C1E4D">
      <w:pPr>
        <w:spacing w:line="360" w:lineRule="auto"/>
        <w:ind w:firstLine="480" w:firstLineChars="200"/>
        <w:rPr>
          <w:rFonts w:hint="eastAsia" w:ascii="宋体" w:hAnsi="宋体" w:cs="宋体"/>
          <w:sz w:val="24"/>
          <w:szCs w:val="32"/>
        </w:rPr>
      </w:pPr>
      <w:r>
        <w:rPr>
          <w:rFonts w:hint="eastAsia" w:ascii="宋体" w:hAnsi="宋体" w:cs="宋体"/>
          <w:sz w:val="24"/>
          <w:szCs w:val="32"/>
        </w:rPr>
        <w:t>（五）</w:t>
      </w:r>
      <w:r>
        <w:rPr>
          <w:rFonts w:ascii="宋体" w:hAnsi="宋体" w:cs="宋体"/>
          <w:sz w:val="24"/>
          <w:szCs w:val="32"/>
        </w:rPr>
        <w:t>项目竣工资料审查报告（WORD/PDF，份数视专业和复杂程度按需提供）审核竣工验收档案资料的完整性、合规性。</w:t>
      </w:r>
    </w:p>
    <w:p w14:paraId="7BD34293">
      <w:pPr>
        <w:pStyle w:val="2"/>
        <w:numPr>
          <w:ilvl w:val="0"/>
          <w:numId w:val="1"/>
        </w:numPr>
        <w:spacing w:before="0" w:after="0" w:line="560" w:lineRule="exact"/>
        <w:rPr>
          <w:rFonts w:ascii="Times New Roman" w:hAnsi="Times New Roman"/>
          <w:sz w:val="28"/>
        </w:rPr>
      </w:pPr>
      <w:r>
        <w:rPr>
          <w:rFonts w:hint="eastAsia" w:ascii="Times New Roman" w:hAnsi="Times New Roman"/>
          <w:sz w:val="28"/>
        </w:rPr>
        <w:t>服务要求</w:t>
      </w:r>
    </w:p>
    <w:p w14:paraId="72AE08A5">
      <w:pPr>
        <w:pStyle w:val="3"/>
        <w:spacing w:before="0" w:after="0" w:line="560" w:lineRule="exact"/>
        <w:ind w:firstLine="482"/>
        <w:rPr>
          <w:rFonts w:hint="eastAsia" w:eastAsia="宋体" w:cs="宋体"/>
          <w:sz w:val="24"/>
          <w:szCs w:val="24"/>
        </w:rPr>
      </w:pPr>
      <w:r>
        <w:rPr>
          <w:rFonts w:hint="eastAsia" w:eastAsia="宋体" w:cs="宋体"/>
          <w:sz w:val="24"/>
          <w:szCs w:val="24"/>
        </w:rPr>
        <w:t>（一）咨询服务工作原则</w:t>
      </w:r>
    </w:p>
    <w:p w14:paraId="198E9CE7">
      <w:pPr>
        <w:spacing w:line="560" w:lineRule="exact"/>
        <w:ind w:firstLine="480" w:firstLineChars="200"/>
        <w:rPr>
          <w:rFonts w:hint="eastAsia" w:ascii="宋体" w:hAnsi="宋体" w:cs="宋体"/>
          <w:sz w:val="24"/>
          <w:szCs w:val="32"/>
        </w:rPr>
      </w:pPr>
      <w:r>
        <w:rPr>
          <w:rFonts w:hint="eastAsia" w:ascii="宋体" w:hAnsi="宋体" w:cs="宋体"/>
          <w:sz w:val="24"/>
          <w:szCs w:val="32"/>
        </w:rPr>
        <w:t>咨询服务团队须遵循独立、科学、专业、公正等四个原则，运用技术功底、业务理解、项目管理和法律法规等多方面的知识和经验，提供技术支持服务。</w:t>
      </w:r>
    </w:p>
    <w:p w14:paraId="0F26003F">
      <w:pPr>
        <w:spacing w:line="560" w:lineRule="exact"/>
        <w:ind w:left="420" w:leftChars="200"/>
        <w:rPr>
          <w:rFonts w:hint="eastAsia" w:ascii="宋体" w:hAnsi="宋体" w:cs="宋体"/>
          <w:b/>
          <w:bCs/>
          <w:sz w:val="24"/>
          <w:szCs w:val="32"/>
        </w:rPr>
      </w:pPr>
      <w:r>
        <w:rPr>
          <w:rFonts w:hint="eastAsia" w:ascii="宋体" w:hAnsi="宋体" w:cs="宋体"/>
          <w:b/>
          <w:bCs/>
          <w:sz w:val="24"/>
          <w:szCs w:val="32"/>
        </w:rPr>
        <w:t>1.独立性</w:t>
      </w:r>
    </w:p>
    <w:p w14:paraId="3FE41873">
      <w:pPr>
        <w:spacing w:line="560" w:lineRule="exact"/>
        <w:ind w:firstLine="480" w:firstLineChars="200"/>
        <w:rPr>
          <w:rFonts w:hint="eastAsia" w:ascii="宋体" w:hAnsi="宋体" w:cs="宋体"/>
          <w:sz w:val="24"/>
          <w:szCs w:val="32"/>
        </w:rPr>
      </w:pPr>
      <w:r>
        <w:rPr>
          <w:rFonts w:hint="eastAsia" w:ascii="宋体" w:hAnsi="宋体" w:cs="宋体"/>
          <w:sz w:val="24"/>
          <w:szCs w:val="32"/>
        </w:rPr>
        <w:t>独立是指咨询服务团队应具有相对独立的地位，不受其他方面偏好、意图的干扰，能够独立自主地执业，对完成的工作成果担责。团队的独立性，是其工作的基础，是坚持客观、公正立场的前提条件。</w:t>
      </w:r>
    </w:p>
    <w:p w14:paraId="2C8ACA05">
      <w:pPr>
        <w:spacing w:line="560" w:lineRule="exact"/>
        <w:ind w:left="420" w:leftChars="200"/>
        <w:rPr>
          <w:rFonts w:hint="eastAsia" w:ascii="宋体" w:hAnsi="宋体" w:cs="宋体"/>
          <w:b/>
          <w:bCs/>
          <w:sz w:val="24"/>
          <w:szCs w:val="32"/>
        </w:rPr>
      </w:pPr>
      <w:r>
        <w:rPr>
          <w:rFonts w:hint="eastAsia" w:ascii="宋体" w:hAnsi="宋体" w:cs="宋体"/>
          <w:b/>
          <w:bCs/>
          <w:sz w:val="24"/>
          <w:szCs w:val="32"/>
        </w:rPr>
        <w:t>2.科学性</w:t>
      </w:r>
    </w:p>
    <w:p w14:paraId="6374FE47">
      <w:pPr>
        <w:spacing w:line="560" w:lineRule="exact"/>
        <w:ind w:firstLine="480" w:firstLineChars="200"/>
        <w:rPr>
          <w:rFonts w:hint="eastAsia" w:ascii="宋体" w:hAnsi="宋体" w:cs="宋体"/>
          <w:sz w:val="24"/>
          <w:szCs w:val="32"/>
        </w:rPr>
      </w:pPr>
      <w:r>
        <w:rPr>
          <w:rFonts w:hint="eastAsia" w:ascii="宋体" w:hAnsi="宋体" w:cs="宋体"/>
          <w:sz w:val="24"/>
          <w:szCs w:val="32"/>
        </w:rPr>
        <w:t>科学是指工作成果的依据、方法和过程应具有科学性。本次咨询服务，要求咨询人员实事求是，了解并反映项目客观、真实的情况，据实记录，据理论证，不弄虚作假；要求咨询人员符合科学的工作程序、咨询标准和行为规范，不违背客观规律；要求咨询方体现科学发展观，运用科学的理论、方法、知识和技术，使咨询成果经得住时间和历史的检验。</w:t>
      </w:r>
    </w:p>
    <w:p w14:paraId="1A4BC92E">
      <w:pPr>
        <w:spacing w:line="560" w:lineRule="exact"/>
        <w:ind w:left="420" w:leftChars="200"/>
        <w:rPr>
          <w:rFonts w:hint="eastAsia" w:ascii="宋体" w:hAnsi="宋体" w:cs="宋体"/>
          <w:b/>
          <w:bCs/>
          <w:sz w:val="24"/>
          <w:szCs w:val="32"/>
        </w:rPr>
      </w:pPr>
      <w:r>
        <w:rPr>
          <w:rFonts w:hint="eastAsia" w:ascii="宋体" w:hAnsi="宋体" w:cs="宋体"/>
          <w:b/>
          <w:bCs/>
          <w:sz w:val="24"/>
          <w:szCs w:val="32"/>
        </w:rPr>
        <w:t>3.专业性</w:t>
      </w:r>
    </w:p>
    <w:p w14:paraId="6871A5F3">
      <w:pPr>
        <w:spacing w:line="560" w:lineRule="exact"/>
        <w:ind w:firstLine="480" w:firstLineChars="200"/>
        <w:rPr>
          <w:rFonts w:hint="eastAsia" w:ascii="宋体" w:hAnsi="宋体" w:cs="宋体"/>
          <w:sz w:val="24"/>
          <w:szCs w:val="32"/>
        </w:rPr>
      </w:pPr>
      <w:r>
        <w:rPr>
          <w:rFonts w:hint="eastAsia" w:ascii="宋体" w:hAnsi="宋体" w:cs="宋体"/>
          <w:sz w:val="24"/>
          <w:szCs w:val="32"/>
        </w:rPr>
        <w:t>本次咨询服务是专业性很强的工作，既要忠实地为招标人提供咨询服务，又不能完全以某一方单方面的满意度作为评价工作好坏的唯一标准。</w:t>
      </w:r>
    </w:p>
    <w:p w14:paraId="6AF85CFA">
      <w:pPr>
        <w:spacing w:line="560" w:lineRule="exact"/>
        <w:ind w:left="420" w:leftChars="200"/>
        <w:rPr>
          <w:rFonts w:hint="eastAsia" w:ascii="宋体" w:hAnsi="宋体" w:cs="宋体"/>
          <w:b/>
          <w:bCs/>
          <w:sz w:val="24"/>
          <w:szCs w:val="32"/>
        </w:rPr>
      </w:pPr>
      <w:r>
        <w:rPr>
          <w:rFonts w:hint="eastAsia" w:ascii="宋体" w:hAnsi="宋体" w:cs="宋体"/>
          <w:b/>
          <w:bCs/>
          <w:sz w:val="24"/>
          <w:szCs w:val="32"/>
        </w:rPr>
        <w:t>4.公正性</w:t>
      </w:r>
    </w:p>
    <w:p w14:paraId="5513CCC5">
      <w:pPr>
        <w:spacing w:line="560" w:lineRule="exact"/>
        <w:ind w:firstLine="480" w:firstLineChars="200"/>
        <w:rPr>
          <w:rFonts w:hint="eastAsia" w:ascii="宋体" w:hAnsi="宋体" w:cs="宋体"/>
          <w:sz w:val="24"/>
          <w:szCs w:val="32"/>
        </w:rPr>
      </w:pPr>
      <w:r>
        <w:rPr>
          <w:rFonts w:hint="eastAsia" w:ascii="宋体" w:hAnsi="宋体" w:cs="宋体"/>
          <w:sz w:val="24"/>
          <w:szCs w:val="32"/>
        </w:rPr>
        <w:t>公正是指在本次咨询工作中，应坚持原则，坚持公正立场。当招标人的想法和意见存在客观不足时，咨询团队应敢于提出不同意见，或在授权范围内进行协调或裁决，支持意见正确的另一方。</w:t>
      </w:r>
    </w:p>
    <w:p w14:paraId="73A37569">
      <w:pPr>
        <w:pStyle w:val="3"/>
        <w:spacing w:before="0" w:after="0" w:line="560" w:lineRule="exact"/>
        <w:ind w:firstLine="482"/>
        <w:rPr>
          <w:rFonts w:hint="eastAsia" w:eastAsia="宋体" w:cs="宋体"/>
          <w:sz w:val="24"/>
          <w:szCs w:val="24"/>
        </w:rPr>
      </w:pPr>
      <w:r>
        <w:rPr>
          <w:rFonts w:hint="eastAsia" w:eastAsia="宋体" w:cs="宋体"/>
          <w:sz w:val="24"/>
          <w:szCs w:val="24"/>
        </w:rPr>
        <w:t>（二）咨询服务团队及人员要求</w:t>
      </w:r>
    </w:p>
    <w:p w14:paraId="60DC20CC">
      <w:pPr>
        <w:pStyle w:val="4"/>
        <w:spacing w:line="560" w:lineRule="exact"/>
        <w:ind w:left="420" w:leftChars="200" w:firstLine="0" w:firstLineChars="0"/>
        <w:rPr>
          <w:rFonts w:hint="eastAsia" w:ascii="宋体" w:hAnsi="宋体" w:cs="宋体"/>
          <w:b/>
          <w:bCs/>
          <w:sz w:val="24"/>
          <w:szCs w:val="32"/>
        </w:rPr>
      </w:pPr>
      <w:r>
        <w:rPr>
          <w:rFonts w:hint="eastAsia" w:ascii="宋体" w:hAnsi="宋体" w:cs="宋体"/>
          <w:b/>
          <w:bCs/>
          <w:sz w:val="24"/>
          <w:szCs w:val="32"/>
        </w:rPr>
        <w:t>1.服务团队要求</w:t>
      </w:r>
    </w:p>
    <w:p w14:paraId="77E3226C">
      <w:pPr>
        <w:spacing w:line="560" w:lineRule="exact"/>
        <w:ind w:firstLine="480" w:firstLineChars="200"/>
        <w:rPr>
          <w:rFonts w:hint="eastAsia" w:ascii="宋体" w:hAnsi="宋体" w:cs="宋体"/>
          <w:sz w:val="24"/>
          <w:szCs w:val="32"/>
        </w:rPr>
      </w:pPr>
      <w:r>
        <w:rPr>
          <w:rFonts w:hint="eastAsia" w:ascii="宋体" w:hAnsi="宋体" w:cs="宋体"/>
          <w:sz w:val="24"/>
          <w:szCs w:val="32"/>
        </w:rPr>
        <w:t>投标人应成立项目管理咨询服务团队</w:t>
      </w:r>
      <w:r>
        <w:rPr>
          <w:rFonts w:hint="eastAsia" w:ascii="宋体" w:hAnsi="宋体" w:cs="宋体"/>
          <w:sz w:val="24"/>
          <w:szCs w:val="32"/>
          <w:lang w:eastAsia="zh-CN"/>
        </w:rPr>
        <w:t>（</w:t>
      </w:r>
      <w:r>
        <w:rPr>
          <w:rFonts w:hint="eastAsia" w:ascii="宋体" w:hAnsi="宋体" w:cs="宋体"/>
          <w:sz w:val="24"/>
          <w:szCs w:val="32"/>
          <w:lang w:val="en-US" w:eastAsia="zh-CN"/>
        </w:rPr>
        <w:t>除项目负责人外</w:t>
      </w:r>
      <w:r>
        <w:rPr>
          <w:rFonts w:hint="eastAsia" w:ascii="宋体" w:hAnsi="宋体" w:cs="宋体"/>
          <w:sz w:val="24"/>
          <w:szCs w:val="32"/>
          <w:lang w:eastAsia="zh-CN"/>
        </w:rPr>
        <w:t>）</w:t>
      </w:r>
      <w:r>
        <w:rPr>
          <w:rFonts w:hint="eastAsia" w:ascii="宋体" w:hAnsi="宋体" w:cs="宋体"/>
          <w:sz w:val="24"/>
          <w:szCs w:val="32"/>
        </w:rPr>
        <w:t>，团队应设置资深咨询顾问、高级咨询顾问、咨询顾问、等角色（岗位），咨询服务团队固定人员不少于3名，岗位分述如下：</w:t>
      </w:r>
    </w:p>
    <w:p w14:paraId="5FAC9426">
      <w:pPr>
        <w:pStyle w:val="12"/>
        <w:numPr>
          <w:ilvl w:val="0"/>
          <w:numId w:val="3"/>
        </w:numPr>
        <w:spacing w:line="560" w:lineRule="exact"/>
        <w:ind w:left="0" w:firstLine="482" w:firstLineChars="200"/>
        <w:rPr>
          <w:rFonts w:hint="eastAsia" w:ascii="宋体" w:hAnsi="宋体" w:cs="宋体"/>
          <w:b/>
          <w:bCs/>
          <w:sz w:val="24"/>
          <w:szCs w:val="32"/>
        </w:rPr>
      </w:pPr>
      <w:r>
        <w:rPr>
          <w:rFonts w:hint="eastAsia" w:ascii="宋体" w:hAnsi="宋体" w:cs="宋体"/>
          <w:b/>
          <w:bCs/>
          <w:sz w:val="24"/>
          <w:szCs w:val="32"/>
        </w:rPr>
        <w:t>资深咨询顾问</w:t>
      </w:r>
    </w:p>
    <w:p w14:paraId="7ABC6D03">
      <w:pPr>
        <w:pStyle w:val="12"/>
        <w:spacing w:line="560" w:lineRule="exact"/>
        <w:ind w:firstLine="480" w:firstLineChars="200"/>
        <w:rPr>
          <w:rFonts w:hint="eastAsia" w:ascii="宋体" w:hAnsi="宋体" w:cs="宋体"/>
          <w:sz w:val="24"/>
          <w:szCs w:val="32"/>
        </w:rPr>
      </w:pPr>
      <w:r>
        <w:rPr>
          <w:rFonts w:hint="eastAsia" w:ascii="宋体" w:hAnsi="宋体" w:cs="宋体"/>
          <w:sz w:val="24"/>
          <w:szCs w:val="32"/>
        </w:rPr>
        <w:t>负责监督项目计划、文件和重要交付节点管理，评估项目潜在风险，确保良好沟通与协作，对咨询的重要文档质量把关，保证咨询服务项目顺利进行。为项目负责人提供方法指导和资源支持，指导和组织进行项目关键节点和重要里程碑的管理与保障，指导和检查项目交付文件的管理。</w:t>
      </w:r>
    </w:p>
    <w:p w14:paraId="29AF0BEB">
      <w:pPr>
        <w:pStyle w:val="12"/>
        <w:numPr>
          <w:ilvl w:val="0"/>
          <w:numId w:val="3"/>
        </w:numPr>
        <w:spacing w:line="560" w:lineRule="exact"/>
        <w:ind w:left="0" w:firstLine="482" w:firstLineChars="200"/>
        <w:rPr>
          <w:rFonts w:hint="eastAsia" w:ascii="宋体" w:hAnsi="宋体" w:cs="宋体"/>
          <w:b/>
          <w:bCs/>
          <w:sz w:val="24"/>
          <w:szCs w:val="32"/>
        </w:rPr>
      </w:pPr>
      <w:r>
        <w:rPr>
          <w:rFonts w:hint="eastAsia" w:ascii="宋体" w:hAnsi="宋体" w:cs="宋体"/>
          <w:b/>
          <w:bCs/>
          <w:sz w:val="24"/>
          <w:szCs w:val="32"/>
        </w:rPr>
        <w:t>高级咨询顾问</w:t>
      </w:r>
    </w:p>
    <w:p w14:paraId="3B690BB7">
      <w:pPr>
        <w:pStyle w:val="12"/>
        <w:spacing w:line="560" w:lineRule="exact"/>
        <w:ind w:firstLine="480" w:firstLineChars="200"/>
        <w:rPr>
          <w:rFonts w:hint="eastAsia" w:ascii="宋体" w:hAnsi="宋体" w:cs="宋体"/>
          <w:sz w:val="24"/>
          <w:szCs w:val="32"/>
        </w:rPr>
      </w:pPr>
      <w:r>
        <w:rPr>
          <w:rFonts w:hint="eastAsia" w:ascii="宋体" w:hAnsi="宋体" w:cs="宋体"/>
          <w:sz w:val="24"/>
          <w:szCs w:val="32"/>
        </w:rPr>
        <w:t>具体负责组建咨询团队，对团队进行全面管理，主持进行项目工作分解与分工，组织团队针对任务制定项目计划和任务分解，开展项目进程管理、节点管理、总体统筹和质量控制，组织规划成果物的编制，进行各阶段的沟通协调与会议安排，组织阶段性沟通汇报。</w:t>
      </w:r>
    </w:p>
    <w:p w14:paraId="47F3410C">
      <w:pPr>
        <w:pStyle w:val="12"/>
        <w:numPr>
          <w:ilvl w:val="0"/>
          <w:numId w:val="3"/>
        </w:numPr>
        <w:spacing w:line="560" w:lineRule="exact"/>
        <w:ind w:left="0" w:firstLine="482" w:firstLineChars="200"/>
        <w:rPr>
          <w:rFonts w:hint="eastAsia" w:ascii="宋体" w:hAnsi="宋体" w:cs="宋体"/>
          <w:b/>
          <w:bCs/>
          <w:sz w:val="24"/>
          <w:szCs w:val="32"/>
        </w:rPr>
      </w:pPr>
      <w:r>
        <w:rPr>
          <w:rFonts w:hint="eastAsia" w:ascii="宋体" w:hAnsi="宋体" w:cs="宋体"/>
          <w:b/>
          <w:bCs/>
          <w:sz w:val="24"/>
          <w:szCs w:val="32"/>
        </w:rPr>
        <w:t>咨询顾问</w:t>
      </w:r>
    </w:p>
    <w:p w14:paraId="5A1353D5">
      <w:pPr>
        <w:pStyle w:val="12"/>
        <w:spacing w:line="560" w:lineRule="exact"/>
        <w:ind w:firstLine="480" w:firstLineChars="200"/>
        <w:rPr>
          <w:rFonts w:hint="eastAsia" w:ascii="宋体" w:hAnsi="宋体" w:cs="宋体"/>
          <w:sz w:val="24"/>
          <w:szCs w:val="32"/>
        </w:rPr>
      </w:pPr>
      <w:r>
        <w:rPr>
          <w:rFonts w:hint="eastAsia" w:ascii="宋体" w:hAnsi="宋体" w:cs="宋体"/>
          <w:sz w:val="24"/>
          <w:szCs w:val="32"/>
        </w:rPr>
        <w:t>参与项目管理，组织进行相关报告、文档的编制，制订现场调研的计划和方案，并具体组织开展调研、访谈和研讨，对所承担的阶段性成果交付进行进程管理和质量控制。</w:t>
      </w:r>
    </w:p>
    <w:p w14:paraId="3283F07D">
      <w:pPr>
        <w:pStyle w:val="4"/>
        <w:spacing w:line="560" w:lineRule="exact"/>
        <w:ind w:left="420" w:leftChars="200" w:firstLine="0" w:firstLineChars="0"/>
        <w:rPr>
          <w:rFonts w:hint="eastAsia" w:ascii="宋体" w:hAnsi="宋体" w:cs="宋体"/>
          <w:b/>
          <w:bCs/>
          <w:sz w:val="24"/>
          <w:szCs w:val="32"/>
        </w:rPr>
      </w:pPr>
      <w:r>
        <w:rPr>
          <w:rFonts w:hint="eastAsia" w:ascii="宋体" w:hAnsi="宋体" w:cs="宋体"/>
          <w:b/>
          <w:bCs/>
          <w:sz w:val="24"/>
          <w:szCs w:val="32"/>
        </w:rPr>
        <w:t>2.现场服务人员要求</w:t>
      </w:r>
    </w:p>
    <w:p w14:paraId="0AADCAA6">
      <w:pPr>
        <w:pStyle w:val="4"/>
        <w:spacing w:line="560" w:lineRule="exact"/>
        <w:ind w:firstLine="480"/>
        <w:rPr>
          <w:rFonts w:hint="eastAsia" w:ascii="宋体" w:hAnsi="宋体" w:cs="宋体"/>
          <w:sz w:val="24"/>
          <w:szCs w:val="32"/>
        </w:rPr>
      </w:pPr>
      <w:r>
        <w:rPr>
          <w:rFonts w:hint="eastAsia" w:ascii="宋体" w:hAnsi="宋体" w:cs="宋体"/>
          <w:sz w:val="24"/>
          <w:szCs w:val="32"/>
        </w:rPr>
        <w:t>如招标人项目需要，投标人需要提供不少于1名技术骨干不定期现场技术服务，配合招标人开展相关服务工作；投标人安排的技术人员应具有信息化项目管理、咨询经验。</w:t>
      </w:r>
    </w:p>
    <w:p w14:paraId="4843F09C">
      <w:pPr>
        <w:pStyle w:val="4"/>
        <w:spacing w:line="560" w:lineRule="exact"/>
        <w:ind w:left="420" w:leftChars="200" w:firstLine="0" w:firstLineChars="0"/>
        <w:rPr>
          <w:rFonts w:hint="eastAsia" w:ascii="宋体" w:hAnsi="宋体" w:cs="宋体"/>
          <w:b/>
          <w:bCs/>
          <w:sz w:val="24"/>
          <w:szCs w:val="32"/>
        </w:rPr>
      </w:pPr>
      <w:r>
        <w:rPr>
          <w:rFonts w:hint="eastAsia" w:ascii="宋体" w:hAnsi="宋体" w:cs="宋体"/>
          <w:b/>
          <w:bCs/>
          <w:sz w:val="24"/>
          <w:szCs w:val="32"/>
        </w:rPr>
        <w:t>3.响应时间要求</w:t>
      </w:r>
    </w:p>
    <w:p w14:paraId="71727440">
      <w:pPr>
        <w:pStyle w:val="4"/>
        <w:numPr>
          <w:ilvl w:val="0"/>
          <w:numId w:val="4"/>
        </w:numPr>
        <w:spacing w:line="560" w:lineRule="exact"/>
        <w:ind w:left="0" w:firstLine="482"/>
        <w:rPr>
          <w:rFonts w:hint="eastAsia" w:ascii="宋体" w:hAnsi="宋体" w:cs="宋体"/>
          <w:b/>
          <w:bCs/>
          <w:sz w:val="24"/>
          <w:szCs w:val="32"/>
        </w:rPr>
      </w:pPr>
      <w:r>
        <w:rPr>
          <w:rFonts w:hint="eastAsia" w:ascii="宋体" w:hAnsi="宋体" w:cs="宋体"/>
          <w:b/>
          <w:bCs/>
          <w:sz w:val="24"/>
          <w:szCs w:val="32"/>
        </w:rPr>
        <w:t>服务团队</w:t>
      </w:r>
    </w:p>
    <w:p w14:paraId="4EE2A473">
      <w:pPr>
        <w:pStyle w:val="4"/>
        <w:spacing w:line="560" w:lineRule="exact"/>
        <w:ind w:firstLine="480"/>
        <w:rPr>
          <w:rFonts w:hint="eastAsia" w:ascii="宋体" w:hAnsi="宋体" w:cs="宋体"/>
          <w:sz w:val="24"/>
          <w:szCs w:val="32"/>
        </w:rPr>
      </w:pPr>
      <w:r>
        <w:rPr>
          <w:rFonts w:hint="eastAsia" w:ascii="宋体" w:hAnsi="宋体" w:cs="宋体"/>
          <w:sz w:val="24"/>
          <w:szCs w:val="32"/>
        </w:rPr>
        <w:t>投标人需承诺提供5*8小时的咨询服务和技术业务咨询服务，并有专业的服务团队负责及时解决项目技术问题。</w:t>
      </w:r>
    </w:p>
    <w:p w14:paraId="67CBAA83">
      <w:pPr>
        <w:pStyle w:val="4"/>
        <w:numPr>
          <w:ilvl w:val="0"/>
          <w:numId w:val="5"/>
        </w:numPr>
        <w:spacing w:line="560" w:lineRule="exact"/>
        <w:ind w:left="0" w:firstLine="482"/>
        <w:rPr>
          <w:rFonts w:hint="eastAsia" w:ascii="宋体" w:hAnsi="宋体" w:cs="宋体"/>
          <w:b/>
          <w:bCs/>
          <w:sz w:val="24"/>
          <w:szCs w:val="32"/>
        </w:rPr>
      </w:pPr>
      <w:r>
        <w:rPr>
          <w:rFonts w:hint="eastAsia" w:ascii="宋体" w:hAnsi="宋体" w:cs="宋体"/>
          <w:b/>
          <w:bCs/>
          <w:sz w:val="24"/>
          <w:szCs w:val="32"/>
        </w:rPr>
        <w:t>现场服务人员</w:t>
      </w:r>
    </w:p>
    <w:p w14:paraId="0B596286">
      <w:pPr>
        <w:pStyle w:val="4"/>
        <w:spacing w:line="560" w:lineRule="exact"/>
        <w:ind w:firstLine="480"/>
        <w:rPr>
          <w:rFonts w:hint="eastAsia" w:ascii="宋体" w:hAnsi="宋体" w:cs="宋体"/>
          <w:sz w:val="24"/>
          <w:szCs w:val="32"/>
        </w:rPr>
      </w:pPr>
      <w:r>
        <w:rPr>
          <w:rFonts w:hint="eastAsia" w:ascii="宋体" w:hAnsi="宋体" w:cs="宋体"/>
          <w:sz w:val="24"/>
          <w:szCs w:val="32"/>
        </w:rPr>
        <w:t>如招标人项目需要，现场服务人员须5*8小时至招标人指定地点开展相关服务工作（参照招标人的安排并服从招标人的要求）。</w:t>
      </w:r>
    </w:p>
    <w:p w14:paraId="7F25569D">
      <w:pPr>
        <w:pStyle w:val="2"/>
        <w:numPr>
          <w:ilvl w:val="0"/>
          <w:numId w:val="1"/>
        </w:numPr>
        <w:spacing w:before="0" w:after="0" w:line="560" w:lineRule="exact"/>
        <w:rPr>
          <w:rFonts w:ascii="Times New Roman" w:hAnsi="Times New Roman"/>
          <w:sz w:val="28"/>
        </w:rPr>
      </w:pPr>
      <w:r>
        <w:rPr>
          <w:rFonts w:hint="eastAsia" w:ascii="Times New Roman" w:hAnsi="Times New Roman"/>
          <w:sz w:val="28"/>
        </w:rPr>
        <w:t>服务明细</w:t>
      </w:r>
    </w:p>
    <w:tbl>
      <w:tblPr>
        <w:tblStyle w:val="10"/>
        <w:tblW w:w="5000" w:type="pct"/>
        <w:tblInd w:w="0" w:type="dxa"/>
        <w:tblLayout w:type="autofit"/>
        <w:tblCellMar>
          <w:top w:w="0" w:type="dxa"/>
          <w:left w:w="108" w:type="dxa"/>
          <w:bottom w:w="0" w:type="dxa"/>
          <w:right w:w="108" w:type="dxa"/>
        </w:tblCellMar>
      </w:tblPr>
      <w:tblGrid>
        <w:gridCol w:w="1345"/>
        <w:gridCol w:w="7177"/>
      </w:tblGrid>
      <w:tr w14:paraId="51A72728">
        <w:tblPrEx>
          <w:tblCellMar>
            <w:top w:w="0" w:type="dxa"/>
            <w:left w:w="108" w:type="dxa"/>
            <w:bottom w:w="0" w:type="dxa"/>
            <w:right w:w="108" w:type="dxa"/>
          </w:tblCellMar>
        </w:tblPrEx>
        <w:trPr>
          <w:trHeight w:val="280" w:hRule="atLeast"/>
          <w:tblHeader/>
        </w:trPr>
        <w:tc>
          <w:tcPr>
            <w:tcW w:w="884" w:type="pct"/>
            <w:tcBorders>
              <w:top w:val="single" w:color="auto" w:sz="4" w:space="0"/>
              <w:left w:val="single" w:color="auto" w:sz="4" w:space="0"/>
              <w:bottom w:val="single" w:color="auto" w:sz="4" w:space="0"/>
              <w:right w:val="single" w:color="auto" w:sz="4" w:space="0"/>
            </w:tcBorders>
            <w:noWrap/>
            <w:vAlign w:val="center"/>
          </w:tcPr>
          <w:p w14:paraId="5678BE1E">
            <w:pPr>
              <w:widowControl/>
              <w:jc w:val="center"/>
              <w:rPr>
                <w:rFonts w:hint="eastAsia" w:ascii="宋体" w:hAnsi="宋体" w:cs="宋体"/>
                <w:b/>
                <w:bCs/>
                <w:color w:val="000000"/>
                <w:kern w:val="0"/>
                <w:szCs w:val="21"/>
              </w:rPr>
            </w:pPr>
            <w:r>
              <w:rPr>
                <w:rFonts w:ascii="宋体" w:hAnsi="宋体" w:cs="宋体"/>
                <w:b/>
                <w:bCs/>
                <w:color w:val="000000"/>
                <w:kern w:val="0"/>
                <w:szCs w:val="21"/>
              </w:rPr>
              <w:t>服务大项</w:t>
            </w:r>
          </w:p>
        </w:tc>
        <w:tc>
          <w:tcPr>
            <w:tcW w:w="4116" w:type="pct"/>
            <w:tcBorders>
              <w:top w:val="single" w:color="auto" w:sz="4" w:space="0"/>
              <w:left w:val="nil"/>
              <w:bottom w:val="single" w:color="auto" w:sz="4" w:space="0"/>
              <w:right w:val="single" w:color="auto" w:sz="4" w:space="0"/>
            </w:tcBorders>
            <w:noWrap/>
            <w:vAlign w:val="center"/>
          </w:tcPr>
          <w:p w14:paraId="7122731E">
            <w:pPr>
              <w:widowControl/>
              <w:jc w:val="center"/>
              <w:rPr>
                <w:rFonts w:hint="eastAsia" w:ascii="宋体" w:hAnsi="宋体" w:cs="宋体"/>
                <w:b/>
                <w:bCs/>
                <w:color w:val="000000"/>
                <w:kern w:val="0"/>
                <w:szCs w:val="21"/>
              </w:rPr>
            </w:pPr>
            <w:r>
              <w:rPr>
                <w:rFonts w:ascii="宋体" w:hAnsi="宋体" w:cs="宋体"/>
                <w:b/>
                <w:bCs/>
                <w:color w:val="000000"/>
                <w:kern w:val="0"/>
                <w:szCs w:val="21"/>
              </w:rPr>
              <w:t>工作细项</w:t>
            </w:r>
          </w:p>
        </w:tc>
      </w:tr>
      <w:tr w14:paraId="27135A26">
        <w:tblPrEx>
          <w:tblCellMar>
            <w:top w:w="0" w:type="dxa"/>
            <w:left w:w="108" w:type="dxa"/>
            <w:bottom w:w="0" w:type="dxa"/>
            <w:right w:w="108" w:type="dxa"/>
          </w:tblCellMar>
        </w:tblPrEx>
        <w:trPr>
          <w:trHeight w:val="540" w:hRule="atLeast"/>
        </w:trPr>
        <w:tc>
          <w:tcPr>
            <w:tcW w:w="884" w:type="pct"/>
            <w:vMerge w:val="restart"/>
            <w:tcBorders>
              <w:top w:val="nil"/>
              <w:left w:val="single" w:color="auto" w:sz="4" w:space="0"/>
              <w:bottom w:val="single" w:color="auto" w:sz="4" w:space="0"/>
              <w:right w:val="single" w:color="auto" w:sz="4" w:space="0"/>
            </w:tcBorders>
            <w:vAlign w:val="center"/>
          </w:tcPr>
          <w:p w14:paraId="1495FAAE">
            <w:pPr>
              <w:widowControl/>
              <w:jc w:val="left"/>
              <w:rPr>
                <w:rFonts w:hint="eastAsia" w:ascii="宋体" w:hAnsi="宋体" w:cs="宋体"/>
                <w:color w:val="000000"/>
                <w:kern w:val="0"/>
                <w:szCs w:val="21"/>
              </w:rPr>
            </w:pPr>
            <w:r>
              <w:rPr>
                <w:rFonts w:ascii="宋体" w:hAnsi="宋体" w:cs="宋体"/>
                <w:color w:val="000000"/>
                <w:kern w:val="0"/>
                <w:szCs w:val="21"/>
              </w:rPr>
              <w:t>全过程项目管理</w:t>
            </w:r>
          </w:p>
        </w:tc>
        <w:tc>
          <w:tcPr>
            <w:tcW w:w="4116" w:type="pct"/>
            <w:tcBorders>
              <w:top w:val="nil"/>
              <w:left w:val="nil"/>
              <w:bottom w:val="single" w:color="auto" w:sz="4" w:space="0"/>
              <w:right w:val="single" w:color="auto" w:sz="4" w:space="0"/>
            </w:tcBorders>
            <w:vAlign w:val="center"/>
          </w:tcPr>
          <w:p w14:paraId="58BEB42F">
            <w:pPr>
              <w:widowControl/>
              <w:jc w:val="left"/>
              <w:rPr>
                <w:rFonts w:hint="eastAsia" w:ascii="宋体" w:hAnsi="宋体" w:cs="宋体"/>
                <w:color w:val="000000"/>
                <w:kern w:val="0"/>
                <w:szCs w:val="21"/>
              </w:rPr>
            </w:pPr>
            <w:r>
              <w:rPr>
                <w:rFonts w:ascii="宋体" w:hAnsi="宋体" w:cs="宋体"/>
                <w:color w:val="000000"/>
                <w:kern w:val="0"/>
                <w:szCs w:val="21"/>
              </w:rPr>
              <w:t>项目实施阶段，严格实施计划进度管理，定期输出项目阶段性月度报告，反映项目的工作进度、成果，存在的问题以及纠偏措施</w:t>
            </w:r>
          </w:p>
        </w:tc>
      </w:tr>
      <w:tr w14:paraId="31F286CF">
        <w:tblPrEx>
          <w:tblCellMar>
            <w:top w:w="0" w:type="dxa"/>
            <w:left w:w="108" w:type="dxa"/>
            <w:bottom w:w="0" w:type="dxa"/>
            <w:right w:w="108" w:type="dxa"/>
          </w:tblCellMar>
        </w:tblPrEx>
        <w:trPr>
          <w:trHeight w:val="810" w:hRule="atLeast"/>
        </w:trPr>
        <w:tc>
          <w:tcPr>
            <w:tcW w:w="884" w:type="pct"/>
            <w:vMerge w:val="continue"/>
            <w:tcBorders>
              <w:top w:val="nil"/>
              <w:left w:val="single" w:color="auto" w:sz="4" w:space="0"/>
              <w:bottom w:val="single" w:color="auto" w:sz="4" w:space="0"/>
              <w:right w:val="single" w:color="auto" w:sz="4" w:space="0"/>
            </w:tcBorders>
            <w:vAlign w:val="center"/>
          </w:tcPr>
          <w:p w14:paraId="2C762CF0">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4CA6B174">
            <w:pPr>
              <w:widowControl/>
              <w:jc w:val="left"/>
              <w:rPr>
                <w:rFonts w:hint="eastAsia" w:ascii="宋体" w:hAnsi="宋体" w:cs="宋体"/>
                <w:color w:val="000000"/>
                <w:kern w:val="0"/>
                <w:szCs w:val="21"/>
              </w:rPr>
            </w:pPr>
            <w:r>
              <w:rPr>
                <w:rFonts w:ascii="宋体" w:hAnsi="宋体" w:cs="宋体"/>
                <w:color w:val="000000"/>
                <w:kern w:val="0"/>
                <w:szCs w:val="21"/>
              </w:rPr>
              <w:t>项目实施阶段，参与项目管理例会和项目协调例会，对于项目中的规划、设计、技术、设备等重大问题以及影响项目质量、进度、投资的关键问题提出意见，推进项目质量、进度、投资等控制目标的实现</w:t>
            </w:r>
          </w:p>
        </w:tc>
      </w:tr>
      <w:tr w14:paraId="1629EAA0">
        <w:tblPrEx>
          <w:tblCellMar>
            <w:top w:w="0" w:type="dxa"/>
            <w:left w:w="108" w:type="dxa"/>
            <w:bottom w:w="0" w:type="dxa"/>
            <w:right w:w="108" w:type="dxa"/>
          </w:tblCellMar>
        </w:tblPrEx>
        <w:trPr>
          <w:trHeight w:val="540" w:hRule="atLeast"/>
        </w:trPr>
        <w:tc>
          <w:tcPr>
            <w:tcW w:w="884" w:type="pct"/>
            <w:vMerge w:val="continue"/>
            <w:tcBorders>
              <w:top w:val="nil"/>
              <w:left w:val="single" w:color="auto" w:sz="4" w:space="0"/>
              <w:bottom w:val="single" w:color="auto" w:sz="4" w:space="0"/>
              <w:right w:val="single" w:color="auto" w:sz="4" w:space="0"/>
            </w:tcBorders>
            <w:vAlign w:val="center"/>
          </w:tcPr>
          <w:p w14:paraId="402A7A9B">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38AE6A1F">
            <w:pPr>
              <w:widowControl/>
              <w:jc w:val="left"/>
              <w:rPr>
                <w:rFonts w:hint="eastAsia" w:ascii="宋体" w:hAnsi="宋体" w:cs="宋体"/>
                <w:color w:val="000000"/>
                <w:kern w:val="0"/>
                <w:szCs w:val="21"/>
              </w:rPr>
            </w:pPr>
            <w:r>
              <w:rPr>
                <w:rFonts w:ascii="宋体" w:hAnsi="宋体" w:cs="宋体"/>
                <w:color w:val="000000"/>
                <w:kern w:val="0"/>
                <w:szCs w:val="21"/>
              </w:rPr>
              <w:t>项目实施阶段，协助招标人组织关键技术路线以及重点实施方案相关讨论，把关技术方案合理性、完整性、可扩展性</w:t>
            </w:r>
          </w:p>
        </w:tc>
      </w:tr>
      <w:tr w14:paraId="58DB9447">
        <w:tblPrEx>
          <w:tblCellMar>
            <w:top w:w="0" w:type="dxa"/>
            <w:left w:w="108" w:type="dxa"/>
            <w:bottom w:w="0" w:type="dxa"/>
            <w:right w:w="108" w:type="dxa"/>
          </w:tblCellMar>
        </w:tblPrEx>
        <w:trPr>
          <w:trHeight w:val="540" w:hRule="atLeast"/>
        </w:trPr>
        <w:tc>
          <w:tcPr>
            <w:tcW w:w="884" w:type="pct"/>
            <w:vMerge w:val="continue"/>
            <w:tcBorders>
              <w:top w:val="nil"/>
              <w:left w:val="single" w:color="auto" w:sz="4" w:space="0"/>
              <w:bottom w:val="single" w:color="auto" w:sz="4" w:space="0"/>
              <w:right w:val="single" w:color="auto" w:sz="4" w:space="0"/>
            </w:tcBorders>
            <w:vAlign w:val="center"/>
          </w:tcPr>
          <w:p w14:paraId="611ABAEA">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59818516">
            <w:pPr>
              <w:widowControl/>
              <w:jc w:val="left"/>
              <w:rPr>
                <w:rFonts w:hint="eastAsia" w:ascii="宋体" w:hAnsi="宋体" w:cs="宋体"/>
                <w:color w:val="000000"/>
                <w:kern w:val="0"/>
                <w:szCs w:val="21"/>
              </w:rPr>
            </w:pPr>
            <w:r>
              <w:rPr>
                <w:rFonts w:ascii="宋体" w:hAnsi="宋体" w:cs="宋体"/>
                <w:color w:val="000000"/>
                <w:kern w:val="0"/>
                <w:szCs w:val="21"/>
              </w:rPr>
              <w:t>竣工验收阶段，基于深化设计方案及各项已签署的合同等文件，协助招标人参照合同建设内容、软硬件清单、验收条件对项目建设成果进行验收评审</w:t>
            </w:r>
          </w:p>
        </w:tc>
      </w:tr>
      <w:tr w14:paraId="0503159A">
        <w:tblPrEx>
          <w:tblCellMar>
            <w:top w:w="0" w:type="dxa"/>
            <w:left w:w="108" w:type="dxa"/>
            <w:bottom w:w="0" w:type="dxa"/>
            <w:right w:w="108" w:type="dxa"/>
          </w:tblCellMar>
        </w:tblPrEx>
        <w:trPr>
          <w:trHeight w:val="540" w:hRule="atLeast"/>
        </w:trPr>
        <w:tc>
          <w:tcPr>
            <w:tcW w:w="884" w:type="pct"/>
            <w:vMerge w:val="continue"/>
            <w:tcBorders>
              <w:top w:val="nil"/>
              <w:left w:val="single" w:color="auto" w:sz="4" w:space="0"/>
              <w:bottom w:val="single" w:color="auto" w:sz="4" w:space="0"/>
              <w:right w:val="single" w:color="auto" w:sz="4" w:space="0"/>
            </w:tcBorders>
            <w:vAlign w:val="center"/>
          </w:tcPr>
          <w:p w14:paraId="7AD44839">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3CE3AA25">
            <w:pPr>
              <w:widowControl/>
              <w:jc w:val="left"/>
              <w:rPr>
                <w:rFonts w:hint="eastAsia" w:ascii="宋体" w:hAnsi="宋体" w:cs="宋体"/>
                <w:color w:val="000000"/>
                <w:kern w:val="0"/>
                <w:szCs w:val="21"/>
              </w:rPr>
            </w:pPr>
            <w:r>
              <w:rPr>
                <w:rFonts w:ascii="宋体" w:hAnsi="宋体" w:cs="宋体"/>
                <w:color w:val="000000"/>
                <w:kern w:val="0"/>
                <w:szCs w:val="21"/>
              </w:rPr>
              <w:t>竣工验收阶段，协助招标人进行项目竣工资料的收集、汇编，并审核竣工验收档案资料的完整性、合规性</w:t>
            </w:r>
          </w:p>
        </w:tc>
      </w:tr>
      <w:tr w14:paraId="1BEB5028">
        <w:tblPrEx>
          <w:tblCellMar>
            <w:top w:w="0" w:type="dxa"/>
            <w:left w:w="108" w:type="dxa"/>
            <w:bottom w:w="0" w:type="dxa"/>
            <w:right w:w="108" w:type="dxa"/>
          </w:tblCellMar>
        </w:tblPrEx>
        <w:trPr>
          <w:trHeight w:val="280" w:hRule="atLeast"/>
        </w:trPr>
        <w:tc>
          <w:tcPr>
            <w:tcW w:w="884" w:type="pct"/>
            <w:vMerge w:val="continue"/>
            <w:tcBorders>
              <w:top w:val="nil"/>
              <w:left w:val="single" w:color="auto" w:sz="4" w:space="0"/>
              <w:bottom w:val="single" w:color="auto" w:sz="4" w:space="0"/>
              <w:right w:val="single" w:color="auto" w:sz="4" w:space="0"/>
            </w:tcBorders>
            <w:vAlign w:val="center"/>
          </w:tcPr>
          <w:p w14:paraId="62606559">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271CEE36">
            <w:pPr>
              <w:widowControl/>
              <w:jc w:val="left"/>
              <w:rPr>
                <w:rFonts w:hint="eastAsia" w:ascii="宋体" w:hAnsi="宋体" w:cs="宋体"/>
                <w:color w:val="000000"/>
                <w:kern w:val="0"/>
                <w:szCs w:val="21"/>
              </w:rPr>
            </w:pPr>
            <w:r>
              <w:rPr>
                <w:rFonts w:ascii="宋体" w:hAnsi="宋体" w:cs="宋体"/>
                <w:color w:val="000000"/>
                <w:kern w:val="0"/>
                <w:szCs w:val="21"/>
              </w:rPr>
              <w:t>组织项目验收专家评审，确保项目顺利验收。</w:t>
            </w:r>
          </w:p>
        </w:tc>
      </w:tr>
      <w:tr w14:paraId="0A5339D4">
        <w:tblPrEx>
          <w:tblCellMar>
            <w:top w:w="0" w:type="dxa"/>
            <w:left w:w="108" w:type="dxa"/>
            <w:bottom w:w="0" w:type="dxa"/>
            <w:right w:w="108" w:type="dxa"/>
          </w:tblCellMar>
        </w:tblPrEx>
        <w:trPr>
          <w:trHeight w:val="280" w:hRule="atLeast"/>
        </w:trPr>
        <w:tc>
          <w:tcPr>
            <w:tcW w:w="884" w:type="pct"/>
            <w:vMerge w:val="restart"/>
            <w:tcBorders>
              <w:top w:val="nil"/>
              <w:left w:val="single" w:color="auto" w:sz="4" w:space="0"/>
              <w:bottom w:val="single" w:color="auto" w:sz="4" w:space="0"/>
              <w:right w:val="single" w:color="auto" w:sz="4" w:space="0"/>
            </w:tcBorders>
            <w:noWrap/>
            <w:vAlign w:val="center"/>
          </w:tcPr>
          <w:p w14:paraId="2D6ECD66">
            <w:pPr>
              <w:widowControl/>
              <w:jc w:val="center"/>
              <w:rPr>
                <w:rFonts w:hint="eastAsia" w:ascii="宋体" w:hAnsi="宋体" w:cs="宋体"/>
                <w:color w:val="000000"/>
                <w:kern w:val="0"/>
                <w:szCs w:val="21"/>
              </w:rPr>
            </w:pPr>
            <w:r>
              <w:rPr>
                <w:rFonts w:ascii="宋体" w:hAnsi="宋体" w:cs="宋体"/>
                <w:color w:val="000000"/>
                <w:kern w:val="0"/>
                <w:szCs w:val="21"/>
              </w:rPr>
              <w:t>项目实施监理</w:t>
            </w:r>
          </w:p>
        </w:tc>
        <w:tc>
          <w:tcPr>
            <w:tcW w:w="4116" w:type="pct"/>
            <w:tcBorders>
              <w:top w:val="nil"/>
              <w:left w:val="nil"/>
              <w:bottom w:val="single" w:color="auto" w:sz="4" w:space="0"/>
              <w:right w:val="single" w:color="auto" w:sz="4" w:space="0"/>
            </w:tcBorders>
            <w:noWrap/>
            <w:vAlign w:val="center"/>
          </w:tcPr>
          <w:p w14:paraId="0ECA84BF">
            <w:pPr>
              <w:widowControl/>
              <w:jc w:val="left"/>
              <w:rPr>
                <w:rFonts w:hint="eastAsia" w:ascii="宋体" w:hAnsi="宋体" w:cs="宋体"/>
                <w:color w:val="000000"/>
                <w:kern w:val="0"/>
                <w:szCs w:val="21"/>
              </w:rPr>
            </w:pPr>
            <w:r>
              <w:rPr>
                <w:rFonts w:ascii="宋体" w:hAnsi="宋体" w:cs="宋体"/>
                <w:color w:val="000000"/>
                <w:kern w:val="0"/>
                <w:szCs w:val="21"/>
              </w:rPr>
              <w:t>协助审核</w:t>
            </w:r>
            <w:r>
              <w:rPr>
                <w:rFonts w:hint="eastAsia" w:ascii="宋体" w:hAnsi="宋体" w:cs="宋体"/>
                <w:color w:val="000000"/>
                <w:kern w:val="0"/>
                <w:szCs w:val="21"/>
              </w:rPr>
              <w:t>实施单位</w:t>
            </w:r>
            <w:r>
              <w:rPr>
                <w:rFonts w:ascii="宋体" w:hAnsi="宋体" w:cs="宋体"/>
                <w:color w:val="000000"/>
                <w:kern w:val="0"/>
                <w:szCs w:val="21"/>
              </w:rPr>
              <w:t>提出的变更，并提出合理化建议</w:t>
            </w:r>
          </w:p>
        </w:tc>
      </w:tr>
      <w:tr w14:paraId="1F72C2A3">
        <w:tblPrEx>
          <w:tblCellMar>
            <w:top w:w="0" w:type="dxa"/>
            <w:left w:w="108" w:type="dxa"/>
            <w:bottom w:w="0" w:type="dxa"/>
            <w:right w:w="108" w:type="dxa"/>
          </w:tblCellMar>
        </w:tblPrEx>
        <w:trPr>
          <w:trHeight w:val="280" w:hRule="atLeast"/>
        </w:trPr>
        <w:tc>
          <w:tcPr>
            <w:tcW w:w="884" w:type="pct"/>
            <w:vMerge w:val="continue"/>
            <w:tcBorders>
              <w:top w:val="nil"/>
              <w:left w:val="single" w:color="auto" w:sz="4" w:space="0"/>
              <w:bottom w:val="single" w:color="auto" w:sz="4" w:space="0"/>
              <w:right w:val="single" w:color="auto" w:sz="4" w:space="0"/>
            </w:tcBorders>
            <w:vAlign w:val="center"/>
          </w:tcPr>
          <w:p w14:paraId="35DE3476">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noWrap/>
            <w:vAlign w:val="center"/>
          </w:tcPr>
          <w:p w14:paraId="288F606B">
            <w:pPr>
              <w:widowControl/>
              <w:jc w:val="left"/>
              <w:rPr>
                <w:rFonts w:hint="eastAsia" w:ascii="宋体" w:hAnsi="宋体" w:cs="宋体"/>
                <w:color w:val="000000"/>
                <w:kern w:val="0"/>
                <w:szCs w:val="21"/>
              </w:rPr>
            </w:pPr>
            <w:r>
              <w:rPr>
                <w:rFonts w:ascii="宋体" w:hAnsi="宋体" w:cs="宋体"/>
                <w:color w:val="000000"/>
                <w:kern w:val="0"/>
                <w:szCs w:val="21"/>
              </w:rPr>
              <w:t>设备到货后进行设备清点，检查实际到货设备数量、型号、参数与采购清单的一致性</w:t>
            </w:r>
          </w:p>
        </w:tc>
      </w:tr>
      <w:tr w14:paraId="1C3EE8F4">
        <w:tblPrEx>
          <w:tblCellMar>
            <w:top w:w="0" w:type="dxa"/>
            <w:left w:w="108" w:type="dxa"/>
            <w:bottom w:w="0" w:type="dxa"/>
            <w:right w:w="108" w:type="dxa"/>
          </w:tblCellMar>
        </w:tblPrEx>
        <w:trPr>
          <w:trHeight w:val="280" w:hRule="atLeast"/>
        </w:trPr>
        <w:tc>
          <w:tcPr>
            <w:tcW w:w="884" w:type="pct"/>
            <w:vMerge w:val="continue"/>
            <w:tcBorders>
              <w:top w:val="nil"/>
              <w:left w:val="single" w:color="auto" w:sz="4" w:space="0"/>
              <w:bottom w:val="single" w:color="auto" w:sz="4" w:space="0"/>
              <w:right w:val="single" w:color="auto" w:sz="4" w:space="0"/>
            </w:tcBorders>
            <w:vAlign w:val="center"/>
          </w:tcPr>
          <w:p w14:paraId="10A1B1EC">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noWrap/>
            <w:vAlign w:val="center"/>
          </w:tcPr>
          <w:p w14:paraId="263361E2">
            <w:pPr>
              <w:widowControl/>
              <w:jc w:val="left"/>
              <w:rPr>
                <w:rFonts w:hint="eastAsia" w:ascii="宋体" w:hAnsi="宋体" w:cs="宋体"/>
                <w:color w:val="000000"/>
                <w:kern w:val="0"/>
                <w:szCs w:val="21"/>
              </w:rPr>
            </w:pPr>
            <w:r>
              <w:rPr>
                <w:rFonts w:ascii="宋体" w:hAnsi="宋体" w:cs="宋体"/>
                <w:color w:val="000000"/>
                <w:kern w:val="0"/>
                <w:szCs w:val="21"/>
              </w:rPr>
              <w:t>对</w:t>
            </w:r>
            <w:r>
              <w:rPr>
                <w:rFonts w:hint="eastAsia" w:ascii="宋体" w:hAnsi="宋体" w:cs="宋体"/>
                <w:color w:val="000000"/>
                <w:kern w:val="0"/>
                <w:szCs w:val="21"/>
              </w:rPr>
              <w:t>项目</w:t>
            </w:r>
            <w:r>
              <w:rPr>
                <w:rFonts w:ascii="宋体" w:hAnsi="宋体" w:cs="宋体"/>
                <w:color w:val="000000"/>
                <w:kern w:val="0"/>
                <w:szCs w:val="21"/>
              </w:rPr>
              <w:t>材料进行检验和验收，确保材料的质量符合要求</w:t>
            </w:r>
          </w:p>
        </w:tc>
      </w:tr>
      <w:tr w14:paraId="31B52BDE">
        <w:tblPrEx>
          <w:tblCellMar>
            <w:top w:w="0" w:type="dxa"/>
            <w:left w:w="108" w:type="dxa"/>
            <w:bottom w:w="0" w:type="dxa"/>
            <w:right w:w="108" w:type="dxa"/>
          </w:tblCellMar>
        </w:tblPrEx>
        <w:trPr>
          <w:trHeight w:val="280" w:hRule="atLeast"/>
        </w:trPr>
        <w:tc>
          <w:tcPr>
            <w:tcW w:w="884" w:type="pct"/>
            <w:vMerge w:val="continue"/>
            <w:tcBorders>
              <w:top w:val="nil"/>
              <w:left w:val="single" w:color="auto" w:sz="4" w:space="0"/>
              <w:bottom w:val="single" w:color="auto" w:sz="4" w:space="0"/>
              <w:right w:val="single" w:color="auto" w:sz="4" w:space="0"/>
            </w:tcBorders>
            <w:vAlign w:val="center"/>
          </w:tcPr>
          <w:p w14:paraId="347BA7EA">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06E59C98">
            <w:pPr>
              <w:widowControl/>
              <w:jc w:val="left"/>
              <w:rPr>
                <w:rFonts w:hint="eastAsia" w:ascii="宋体" w:hAnsi="宋体" w:cs="宋体"/>
                <w:color w:val="000000"/>
                <w:kern w:val="0"/>
                <w:szCs w:val="21"/>
              </w:rPr>
            </w:pPr>
            <w:r>
              <w:rPr>
                <w:rFonts w:ascii="宋体" w:hAnsi="宋体" w:cs="宋体"/>
                <w:color w:val="000000"/>
                <w:kern w:val="0"/>
                <w:szCs w:val="21"/>
              </w:rPr>
              <w:t>对</w:t>
            </w:r>
            <w:r>
              <w:rPr>
                <w:rFonts w:hint="eastAsia" w:ascii="宋体" w:hAnsi="宋体" w:cs="宋体"/>
                <w:color w:val="000000"/>
                <w:kern w:val="0"/>
                <w:szCs w:val="21"/>
              </w:rPr>
              <w:t>项目</w:t>
            </w:r>
            <w:r>
              <w:rPr>
                <w:rFonts w:ascii="宋体" w:hAnsi="宋体" w:cs="宋体"/>
                <w:color w:val="000000"/>
                <w:kern w:val="0"/>
                <w:szCs w:val="21"/>
              </w:rPr>
              <w:t>现场进行检查和监督，确保质量符合设计要求和</w:t>
            </w:r>
            <w:r>
              <w:rPr>
                <w:rFonts w:hint="eastAsia" w:ascii="宋体" w:hAnsi="宋体" w:cs="宋体"/>
                <w:color w:val="000000"/>
                <w:kern w:val="0"/>
                <w:szCs w:val="21"/>
              </w:rPr>
              <w:t>实施</w:t>
            </w:r>
            <w:r>
              <w:rPr>
                <w:rFonts w:ascii="宋体" w:hAnsi="宋体" w:cs="宋体"/>
                <w:color w:val="000000"/>
                <w:kern w:val="0"/>
                <w:szCs w:val="21"/>
              </w:rPr>
              <w:t>标准</w:t>
            </w:r>
          </w:p>
        </w:tc>
      </w:tr>
      <w:tr w14:paraId="7539AB11">
        <w:tblPrEx>
          <w:tblCellMar>
            <w:top w:w="0" w:type="dxa"/>
            <w:left w:w="108" w:type="dxa"/>
            <w:bottom w:w="0" w:type="dxa"/>
            <w:right w:w="108" w:type="dxa"/>
          </w:tblCellMar>
        </w:tblPrEx>
        <w:trPr>
          <w:trHeight w:val="540" w:hRule="atLeast"/>
        </w:trPr>
        <w:tc>
          <w:tcPr>
            <w:tcW w:w="884" w:type="pct"/>
            <w:vMerge w:val="continue"/>
            <w:tcBorders>
              <w:top w:val="nil"/>
              <w:left w:val="single" w:color="auto" w:sz="4" w:space="0"/>
              <w:bottom w:val="single" w:color="auto" w:sz="4" w:space="0"/>
              <w:right w:val="single" w:color="auto" w:sz="4" w:space="0"/>
            </w:tcBorders>
            <w:vAlign w:val="center"/>
          </w:tcPr>
          <w:p w14:paraId="0E60A36A">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2C69E317">
            <w:pPr>
              <w:widowControl/>
              <w:jc w:val="left"/>
              <w:rPr>
                <w:rFonts w:hint="eastAsia" w:ascii="宋体" w:hAnsi="宋体" w:cs="宋体"/>
                <w:color w:val="000000"/>
                <w:kern w:val="0"/>
                <w:szCs w:val="21"/>
              </w:rPr>
            </w:pPr>
            <w:r>
              <w:rPr>
                <w:rFonts w:ascii="宋体" w:hAnsi="宋体" w:cs="宋体"/>
                <w:color w:val="000000"/>
                <w:kern w:val="0"/>
                <w:szCs w:val="21"/>
              </w:rPr>
              <w:t>每周组织召开现场例会，若临时确定有必要临时召开专题会议，需与有关单位协商后组织会议进行专题讨论</w:t>
            </w:r>
          </w:p>
        </w:tc>
      </w:tr>
      <w:tr w14:paraId="55063A49">
        <w:tblPrEx>
          <w:tblCellMar>
            <w:top w:w="0" w:type="dxa"/>
            <w:left w:w="108" w:type="dxa"/>
            <w:bottom w:w="0" w:type="dxa"/>
            <w:right w:w="108" w:type="dxa"/>
          </w:tblCellMar>
        </w:tblPrEx>
        <w:trPr>
          <w:trHeight w:val="540" w:hRule="atLeast"/>
        </w:trPr>
        <w:tc>
          <w:tcPr>
            <w:tcW w:w="884" w:type="pct"/>
            <w:vMerge w:val="continue"/>
            <w:tcBorders>
              <w:top w:val="nil"/>
              <w:left w:val="single" w:color="auto" w:sz="4" w:space="0"/>
              <w:bottom w:val="single" w:color="auto" w:sz="4" w:space="0"/>
              <w:right w:val="single" w:color="auto" w:sz="4" w:space="0"/>
            </w:tcBorders>
            <w:vAlign w:val="center"/>
          </w:tcPr>
          <w:p w14:paraId="4064907B">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6D078856">
            <w:pPr>
              <w:widowControl/>
              <w:jc w:val="left"/>
              <w:rPr>
                <w:rFonts w:hint="eastAsia" w:ascii="宋体" w:hAnsi="宋体" w:cs="宋体"/>
                <w:color w:val="000000"/>
                <w:kern w:val="0"/>
                <w:szCs w:val="21"/>
              </w:rPr>
            </w:pPr>
            <w:r>
              <w:rPr>
                <w:rFonts w:ascii="宋体" w:hAnsi="宋体" w:cs="宋体"/>
                <w:color w:val="000000"/>
                <w:kern w:val="0"/>
                <w:szCs w:val="21"/>
              </w:rPr>
              <w:t>发现</w:t>
            </w:r>
            <w:r>
              <w:rPr>
                <w:rFonts w:hint="eastAsia" w:ascii="宋体" w:hAnsi="宋体" w:cs="宋体"/>
                <w:color w:val="000000"/>
                <w:kern w:val="0"/>
                <w:szCs w:val="21"/>
              </w:rPr>
              <w:t>实施单位</w:t>
            </w:r>
            <w:r>
              <w:rPr>
                <w:rFonts w:ascii="宋体" w:hAnsi="宋体" w:cs="宋体"/>
                <w:color w:val="000000"/>
                <w:kern w:val="0"/>
                <w:szCs w:val="21"/>
              </w:rPr>
              <w:t>需要整改的工作内容，视情况严重程度发出工作联系单或监理通知单，提出要求采取的措施及意见</w:t>
            </w:r>
          </w:p>
        </w:tc>
      </w:tr>
      <w:tr w14:paraId="5A7CDA53">
        <w:tblPrEx>
          <w:tblCellMar>
            <w:top w:w="0" w:type="dxa"/>
            <w:left w:w="108" w:type="dxa"/>
            <w:bottom w:w="0" w:type="dxa"/>
            <w:right w:w="108" w:type="dxa"/>
          </w:tblCellMar>
        </w:tblPrEx>
        <w:trPr>
          <w:trHeight w:val="540" w:hRule="atLeast"/>
        </w:trPr>
        <w:tc>
          <w:tcPr>
            <w:tcW w:w="884" w:type="pct"/>
            <w:vMerge w:val="continue"/>
            <w:tcBorders>
              <w:top w:val="nil"/>
              <w:left w:val="single" w:color="auto" w:sz="4" w:space="0"/>
              <w:bottom w:val="single" w:color="auto" w:sz="4" w:space="0"/>
              <w:right w:val="single" w:color="auto" w:sz="4" w:space="0"/>
            </w:tcBorders>
            <w:vAlign w:val="center"/>
          </w:tcPr>
          <w:p w14:paraId="6AF6E3D9">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1C8FFA2A">
            <w:pPr>
              <w:widowControl/>
              <w:jc w:val="left"/>
              <w:rPr>
                <w:rFonts w:hint="eastAsia" w:ascii="宋体" w:hAnsi="宋体" w:cs="宋体"/>
                <w:color w:val="000000"/>
                <w:kern w:val="0"/>
                <w:szCs w:val="21"/>
              </w:rPr>
            </w:pPr>
            <w:r>
              <w:rPr>
                <w:rFonts w:ascii="宋体" w:hAnsi="宋体" w:cs="宋体"/>
                <w:color w:val="000000"/>
                <w:kern w:val="0"/>
                <w:szCs w:val="21"/>
              </w:rPr>
              <w:t>协助招标人组织定期的安全检查，现场检查特殊工种持证上岗情况及安全保护措施，落实文明管理的具体内容</w:t>
            </w:r>
          </w:p>
        </w:tc>
      </w:tr>
      <w:tr w14:paraId="1ECC493B">
        <w:tblPrEx>
          <w:tblCellMar>
            <w:top w:w="0" w:type="dxa"/>
            <w:left w:w="108" w:type="dxa"/>
            <w:bottom w:w="0" w:type="dxa"/>
            <w:right w:w="108" w:type="dxa"/>
          </w:tblCellMar>
        </w:tblPrEx>
        <w:trPr>
          <w:trHeight w:val="280" w:hRule="atLeast"/>
        </w:trPr>
        <w:tc>
          <w:tcPr>
            <w:tcW w:w="884" w:type="pct"/>
            <w:vMerge w:val="continue"/>
            <w:tcBorders>
              <w:top w:val="nil"/>
              <w:left w:val="single" w:color="auto" w:sz="4" w:space="0"/>
              <w:bottom w:val="single" w:color="auto" w:sz="4" w:space="0"/>
              <w:right w:val="single" w:color="auto" w:sz="4" w:space="0"/>
            </w:tcBorders>
            <w:vAlign w:val="center"/>
          </w:tcPr>
          <w:p w14:paraId="02D07D6B">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13682E7E">
            <w:pPr>
              <w:widowControl/>
              <w:jc w:val="left"/>
              <w:rPr>
                <w:rFonts w:hint="eastAsia" w:ascii="宋体" w:hAnsi="宋体" w:cs="宋体"/>
                <w:color w:val="000000"/>
                <w:kern w:val="0"/>
                <w:szCs w:val="21"/>
              </w:rPr>
            </w:pPr>
            <w:r>
              <w:rPr>
                <w:rFonts w:ascii="宋体" w:hAnsi="宋体" w:cs="宋体"/>
                <w:color w:val="000000"/>
                <w:kern w:val="0"/>
                <w:szCs w:val="21"/>
              </w:rPr>
              <w:t>现场旁站关键工序、关键部位的</w:t>
            </w:r>
            <w:r>
              <w:rPr>
                <w:rFonts w:hint="eastAsia" w:ascii="宋体" w:hAnsi="宋体" w:cs="宋体"/>
                <w:color w:val="000000"/>
                <w:kern w:val="0"/>
                <w:szCs w:val="21"/>
              </w:rPr>
              <w:t>实施</w:t>
            </w:r>
            <w:r>
              <w:rPr>
                <w:rFonts w:ascii="宋体" w:hAnsi="宋体" w:cs="宋体"/>
                <w:color w:val="000000"/>
                <w:kern w:val="0"/>
                <w:szCs w:val="21"/>
              </w:rPr>
              <w:t>过程以及强制性标准执行情况</w:t>
            </w:r>
          </w:p>
        </w:tc>
      </w:tr>
      <w:tr w14:paraId="76193ACE">
        <w:tblPrEx>
          <w:tblCellMar>
            <w:top w:w="0" w:type="dxa"/>
            <w:left w:w="108" w:type="dxa"/>
            <w:bottom w:w="0" w:type="dxa"/>
            <w:right w:w="108" w:type="dxa"/>
          </w:tblCellMar>
        </w:tblPrEx>
        <w:trPr>
          <w:trHeight w:val="280" w:hRule="atLeast"/>
        </w:trPr>
        <w:tc>
          <w:tcPr>
            <w:tcW w:w="884" w:type="pct"/>
            <w:vMerge w:val="continue"/>
            <w:tcBorders>
              <w:top w:val="nil"/>
              <w:left w:val="single" w:color="auto" w:sz="4" w:space="0"/>
              <w:bottom w:val="single" w:color="auto" w:sz="4" w:space="0"/>
              <w:right w:val="single" w:color="auto" w:sz="4" w:space="0"/>
            </w:tcBorders>
            <w:vAlign w:val="center"/>
          </w:tcPr>
          <w:p w14:paraId="1E22226B">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1E8F2F60">
            <w:pPr>
              <w:widowControl/>
              <w:jc w:val="left"/>
              <w:rPr>
                <w:rFonts w:hint="eastAsia" w:ascii="宋体" w:hAnsi="宋体" w:cs="宋体"/>
                <w:color w:val="000000"/>
                <w:kern w:val="0"/>
                <w:szCs w:val="21"/>
              </w:rPr>
            </w:pPr>
            <w:r>
              <w:rPr>
                <w:rFonts w:hint="eastAsia" w:ascii="宋体" w:hAnsi="宋体" w:cs="宋体"/>
                <w:color w:val="000000"/>
                <w:kern w:val="0"/>
                <w:szCs w:val="21"/>
              </w:rPr>
              <w:t>实施</w:t>
            </w:r>
            <w:r>
              <w:rPr>
                <w:rFonts w:ascii="宋体" w:hAnsi="宋体" w:cs="宋体"/>
                <w:color w:val="000000"/>
                <w:kern w:val="0"/>
                <w:szCs w:val="21"/>
              </w:rPr>
              <w:t xml:space="preserve">阶段，每日巡视检查，将发现的事件、活动、问题进行客观的记录 </w:t>
            </w:r>
          </w:p>
        </w:tc>
      </w:tr>
      <w:tr w14:paraId="1A9F397A">
        <w:tblPrEx>
          <w:tblCellMar>
            <w:top w:w="0" w:type="dxa"/>
            <w:left w:w="108" w:type="dxa"/>
            <w:bottom w:w="0" w:type="dxa"/>
            <w:right w:w="108" w:type="dxa"/>
          </w:tblCellMar>
        </w:tblPrEx>
        <w:trPr>
          <w:trHeight w:val="280" w:hRule="atLeast"/>
        </w:trPr>
        <w:tc>
          <w:tcPr>
            <w:tcW w:w="884" w:type="pct"/>
            <w:vMerge w:val="continue"/>
            <w:tcBorders>
              <w:top w:val="nil"/>
              <w:left w:val="single" w:color="auto" w:sz="4" w:space="0"/>
              <w:bottom w:val="single" w:color="auto" w:sz="4" w:space="0"/>
              <w:right w:val="single" w:color="auto" w:sz="4" w:space="0"/>
            </w:tcBorders>
            <w:vAlign w:val="center"/>
          </w:tcPr>
          <w:p w14:paraId="40F1F53C">
            <w:pPr>
              <w:widowControl/>
              <w:jc w:val="left"/>
              <w:rPr>
                <w:rFonts w:hint="eastAsia" w:ascii="宋体" w:hAnsi="宋体" w:cs="宋体"/>
                <w:color w:val="000000"/>
                <w:kern w:val="0"/>
                <w:szCs w:val="21"/>
              </w:rPr>
            </w:pPr>
          </w:p>
        </w:tc>
        <w:tc>
          <w:tcPr>
            <w:tcW w:w="4116" w:type="pct"/>
            <w:tcBorders>
              <w:top w:val="nil"/>
              <w:left w:val="nil"/>
              <w:bottom w:val="single" w:color="auto" w:sz="4" w:space="0"/>
              <w:right w:val="single" w:color="auto" w:sz="4" w:space="0"/>
            </w:tcBorders>
            <w:vAlign w:val="center"/>
          </w:tcPr>
          <w:p w14:paraId="1D59D724">
            <w:pPr>
              <w:widowControl/>
              <w:jc w:val="left"/>
              <w:rPr>
                <w:rFonts w:hint="eastAsia" w:ascii="宋体" w:hAnsi="宋体" w:cs="宋体"/>
                <w:color w:val="000000"/>
                <w:kern w:val="0"/>
                <w:szCs w:val="21"/>
              </w:rPr>
            </w:pPr>
            <w:r>
              <w:rPr>
                <w:rFonts w:ascii="宋体" w:hAnsi="宋体" w:cs="宋体"/>
                <w:color w:val="000000"/>
                <w:kern w:val="0"/>
                <w:szCs w:val="21"/>
              </w:rPr>
              <w:t>对</w:t>
            </w:r>
            <w:r>
              <w:rPr>
                <w:rFonts w:hint="eastAsia" w:ascii="宋体" w:hAnsi="宋体" w:cs="宋体"/>
                <w:color w:val="000000"/>
                <w:kern w:val="0"/>
                <w:szCs w:val="21"/>
              </w:rPr>
              <w:t>项目进度</w:t>
            </w:r>
            <w:r>
              <w:rPr>
                <w:rFonts w:ascii="宋体" w:hAnsi="宋体" w:cs="宋体"/>
                <w:color w:val="000000"/>
                <w:kern w:val="0"/>
                <w:szCs w:val="21"/>
              </w:rPr>
              <w:t>款支付、最终结算输出意见</w:t>
            </w:r>
          </w:p>
        </w:tc>
      </w:tr>
    </w:tbl>
    <w:p w14:paraId="696CB60A"/>
    <w:p w14:paraId="0A908ABB"/>
    <w:p w14:paraId="6626ED64">
      <w:pPr>
        <w:pStyle w:val="4"/>
        <w:spacing w:line="360" w:lineRule="auto"/>
        <w:ind w:firstLine="480"/>
        <w:rPr>
          <w:rFonts w:hint="eastAsia" w:ascii="宋体" w:hAnsi="宋体" w:cs="宋体"/>
          <w:sz w:val="24"/>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3124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3B35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C3B35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8EF4B"/>
    <w:multiLevelType w:val="singleLevel"/>
    <w:tmpl w:val="D3C8EF4B"/>
    <w:lvl w:ilvl="0" w:tentative="0">
      <w:start w:val="1"/>
      <w:numFmt w:val="bullet"/>
      <w:lvlText w:val=""/>
      <w:lvlJc w:val="left"/>
      <w:pPr>
        <w:ind w:left="420" w:hanging="420"/>
      </w:pPr>
      <w:rPr>
        <w:rFonts w:hint="default" w:ascii="Wingdings" w:hAnsi="Wingdings"/>
      </w:rPr>
    </w:lvl>
  </w:abstractNum>
  <w:abstractNum w:abstractNumId="1">
    <w:nsid w:val="FABB133C"/>
    <w:multiLevelType w:val="singleLevel"/>
    <w:tmpl w:val="FABB133C"/>
    <w:lvl w:ilvl="0" w:tentative="0">
      <w:start w:val="1"/>
      <w:numFmt w:val="bullet"/>
      <w:lvlText w:val=""/>
      <w:lvlJc w:val="left"/>
      <w:pPr>
        <w:ind w:left="420" w:hanging="420"/>
      </w:pPr>
      <w:rPr>
        <w:rFonts w:hint="default" w:ascii="Wingdings" w:hAnsi="Wingdings"/>
      </w:rPr>
    </w:lvl>
  </w:abstractNum>
  <w:abstractNum w:abstractNumId="2">
    <w:nsid w:val="41868EE4"/>
    <w:multiLevelType w:val="singleLevel"/>
    <w:tmpl w:val="41868EE4"/>
    <w:lvl w:ilvl="0" w:tentative="0">
      <w:start w:val="1"/>
      <w:numFmt w:val="chineseCounting"/>
      <w:suff w:val="nothing"/>
      <w:lvlText w:val="%1、"/>
      <w:lvlJc w:val="left"/>
      <w:pPr>
        <w:ind w:left="0" w:firstLine="420"/>
      </w:pPr>
      <w:rPr>
        <w:rFonts w:hint="eastAsia"/>
      </w:rPr>
    </w:lvl>
  </w:abstractNum>
  <w:abstractNum w:abstractNumId="3">
    <w:nsid w:val="6D306AE9"/>
    <w:multiLevelType w:val="singleLevel"/>
    <w:tmpl w:val="6D306AE9"/>
    <w:lvl w:ilvl="0" w:tentative="0">
      <w:start w:val="1"/>
      <w:numFmt w:val="bullet"/>
      <w:lvlText w:val=""/>
      <w:lvlJc w:val="left"/>
      <w:pPr>
        <w:ind w:left="420" w:hanging="420"/>
      </w:pPr>
      <w:rPr>
        <w:rFonts w:hint="default" w:ascii="Wingdings" w:hAnsi="Wingdings"/>
      </w:rPr>
    </w:lvl>
  </w:abstractNum>
  <w:abstractNum w:abstractNumId="4">
    <w:nsid w:val="7B3148EA"/>
    <w:multiLevelType w:val="multilevel"/>
    <w:tmpl w:val="7B3148E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xZjRlNTBiZTVhM2ZiOGM5M2E1YzA4YmI2MjM2NWMifQ=="/>
  </w:docVars>
  <w:rsids>
    <w:rsidRoot w:val="394A4A09"/>
    <w:rsid w:val="0000275E"/>
    <w:rsid w:val="00056973"/>
    <w:rsid w:val="00075FCF"/>
    <w:rsid w:val="00076E2B"/>
    <w:rsid w:val="000F04E3"/>
    <w:rsid w:val="001261DB"/>
    <w:rsid w:val="00127F15"/>
    <w:rsid w:val="00134489"/>
    <w:rsid w:val="001479C6"/>
    <w:rsid w:val="00181E8A"/>
    <w:rsid w:val="00187D03"/>
    <w:rsid w:val="002472E7"/>
    <w:rsid w:val="00297FB3"/>
    <w:rsid w:val="0033314C"/>
    <w:rsid w:val="003A525D"/>
    <w:rsid w:val="00403CBF"/>
    <w:rsid w:val="004230DF"/>
    <w:rsid w:val="00440A6E"/>
    <w:rsid w:val="004561B2"/>
    <w:rsid w:val="005344C4"/>
    <w:rsid w:val="00582875"/>
    <w:rsid w:val="005A6B5F"/>
    <w:rsid w:val="005B22FF"/>
    <w:rsid w:val="006555DC"/>
    <w:rsid w:val="00661B13"/>
    <w:rsid w:val="00662653"/>
    <w:rsid w:val="00681384"/>
    <w:rsid w:val="006B29A8"/>
    <w:rsid w:val="006B384F"/>
    <w:rsid w:val="006B536F"/>
    <w:rsid w:val="006F1666"/>
    <w:rsid w:val="007929D4"/>
    <w:rsid w:val="007974DB"/>
    <w:rsid w:val="00850071"/>
    <w:rsid w:val="00850185"/>
    <w:rsid w:val="00861EFF"/>
    <w:rsid w:val="0087628F"/>
    <w:rsid w:val="008B58C5"/>
    <w:rsid w:val="008C2C86"/>
    <w:rsid w:val="008E3351"/>
    <w:rsid w:val="009224D4"/>
    <w:rsid w:val="009256FF"/>
    <w:rsid w:val="00933B6C"/>
    <w:rsid w:val="009846D1"/>
    <w:rsid w:val="009A098F"/>
    <w:rsid w:val="009C6A38"/>
    <w:rsid w:val="00A73C4D"/>
    <w:rsid w:val="00A74507"/>
    <w:rsid w:val="00A8691F"/>
    <w:rsid w:val="00B21A72"/>
    <w:rsid w:val="00B321D4"/>
    <w:rsid w:val="00B33A46"/>
    <w:rsid w:val="00B67C1C"/>
    <w:rsid w:val="00B805EB"/>
    <w:rsid w:val="00BB37DC"/>
    <w:rsid w:val="00C50BB8"/>
    <w:rsid w:val="00C53568"/>
    <w:rsid w:val="00CD6798"/>
    <w:rsid w:val="00D60F20"/>
    <w:rsid w:val="00DB7CFB"/>
    <w:rsid w:val="00DC1E28"/>
    <w:rsid w:val="00DD32C3"/>
    <w:rsid w:val="00E0767D"/>
    <w:rsid w:val="00E21EC9"/>
    <w:rsid w:val="00E30CB7"/>
    <w:rsid w:val="00E34748"/>
    <w:rsid w:val="00E45F27"/>
    <w:rsid w:val="00E64572"/>
    <w:rsid w:val="00E709ED"/>
    <w:rsid w:val="00E777FA"/>
    <w:rsid w:val="00EB3DBD"/>
    <w:rsid w:val="00EC2A42"/>
    <w:rsid w:val="00EE391A"/>
    <w:rsid w:val="00F36B3A"/>
    <w:rsid w:val="00F464C2"/>
    <w:rsid w:val="00F56958"/>
    <w:rsid w:val="00FA64B4"/>
    <w:rsid w:val="00FC40AE"/>
    <w:rsid w:val="02B0310F"/>
    <w:rsid w:val="069E49AE"/>
    <w:rsid w:val="0A260E04"/>
    <w:rsid w:val="0C267A34"/>
    <w:rsid w:val="0D6E00EC"/>
    <w:rsid w:val="0DBB4191"/>
    <w:rsid w:val="0EEE56EB"/>
    <w:rsid w:val="0FBB72D2"/>
    <w:rsid w:val="10644022"/>
    <w:rsid w:val="13A719DF"/>
    <w:rsid w:val="14AE41E1"/>
    <w:rsid w:val="17F16E77"/>
    <w:rsid w:val="1A0E5A2C"/>
    <w:rsid w:val="1A755B1D"/>
    <w:rsid w:val="1A757778"/>
    <w:rsid w:val="1EC93137"/>
    <w:rsid w:val="23A45D2D"/>
    <w:rsid w:val="24A0493A"/>
    <w:rsid w:val="26DF753D"/>
    <w:rsid w:val="29550AFF"/>
    <w:rsid w:val="2985675E"/>
    <w:rsid w:val="2B8A026B"/>
    <w:rsid w:val="2D5D6872"/>
    <w:rsid w:val="2F283BBC"/>
    <w:rsid w:val="30C56654"/>
    <w:rsid w:val="36F11025"/>
    <w:rsid w:val="394A4A09"/>
    <w:rsid w:val="3B3B1899"/>
    <w:rsid w:val="3CD1612B"/>
    <w:rsid w:val="3D443F04"/>
    <w:rsid w:val="3E0934EC"/>
    <w:rsid w:val="3E26789C"/>
    <w:rsid w:val="41523FC5"/>
    <w:rsid w:val="43DD652B"/>
    <w:rsid w:val="45E307A0"/>
    <w:rsid w:val="47D63038"/>
    <w:rsid w:val="48F02ED7"/>
    <w:rsid w:val="4E125FF9"/>
    <w:rsid w:val="4F2657ED"/>
    <w:rsid w:val="4F7E6A16"/>
    <w:rsid w:val="52972F71"/>
    <w:rsid w:val="52CF183C"/>
    <w:rsid w:val="52EB3A72"/>
    <w:rsid w:val="54F55D2D"/>
    <w:rsid w:val="5C1C495E"/>
    <w:rsid w:val="5FC30F01"/>
    <w:rsid w:val="60C62FD2"/>
    <w:rsid w:val="617A5E0B"/>
    <w:rsid w:val="64F2365E"/>
    <w:rsid w:val="6B221EFB"/>
    <w:rsid w:val="6E160D96"/>
    <w:rsid w:val="70757FF6"/>
    <w:rsid w:val="72206FB5"/>
    <w:rsid w:val="74855837"/>
    <w:rsid w:val="76391230"/>
    <w:rsid w:val="77D777E8"/>
    <w:rsid w:val="79FB3A1A"/>
    <w:rsid w:val="7B1043CB"/>
    <w:rsid w:val="7C6A4359"/>
    <w:rsid w:val="7EB7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4"/>
    <w:next w:val="1"/>
    <w:qFormat/>
    <w:uiPriority w:val="0"/>
    <w:pPr>
      <w:keepNext/>
      <w:keepLines/>
      <w:spacing w:before="260" w:after="260" w:line="360" w:lineRule="auto"/>
      <w:outlineLvl w:val="2"/>
    </w:pPr>
    <w:rPr>
      <w:rFonts w:ascii="宋体" w:hAnsi="宋体" w:eastAsia="黑体"/>
      <w:b/>
      <w:bCs/>
      <w:szCs w:val="21"/>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line="360" w:lineRule="auto"/>
    </w:pPr>
    <w:rPr>
      <w:b/>
      <w:bCs/>
      <w:sz w:val="24"/>
    </w:rPr>
  </w:style>
  <w:style w:type="paragraph" w:styleId="7">
    <w:name w:val="Balloon Text"/>
    <w:basedOn w:val="1"/>
    <w:unhideWhenUsed/>
    <w:qFormat/>
    <w:uiPriority w:val="0"/>
    <w:rPr>
      <w:rFonts w:ascii="Times New Roman" w:hAnsi="Times New Roman"/>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正文-方案"/>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3278</Words>
  <Characters>3346</Characters>
  <Lines>24</Lines>
  <Paragraphs>6</Paragraphs>
  <TotalTime>2</TotalTime>
  <ScaleCrop>false</ScaleCrop>
  <LinksUpToDate>false</LinksUpToDate>
  <CharactersWithSpaces>3348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2026-04-22T07:02:00Z</dcterms:created>
  <dc:creator>刘慧洋</dc:creator>
  <cp:lastModifiedBy>實誠</cp:lastModifiedBy>
  <dcterms:modified xsi:type="dcterms:W3CDTF">2026-04-27T01:35:21Z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AB6C4363361247789DD8DB7661CF284D_13</vt:lpwstr>
  </property>
  <property fmtid="{D5CDD505-2E9C-101B-9397-08002B2CF9AE}" pid="4" name="KSOTemplateDocerSaveRecord">
    <vt:lpwstr>eyJoZGlkIjoiZjYxZTUyYjc1MzQwNWRmNjlmMWQyYmQ2NmM1M2U4MmMiLCJ1c2VySWQiOiI2OTk3NTA5NDAifQ==</vt:lpwstr>
  </property>
</Properties>
</file>