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Times New Roman" w:eastAsia="仿宋_GB2312" w:cs="Times New Roman"/>
          <w:b/>
          <w:bCs/>
          <w:color w:val="auto"/>
          <w:sz w:val="30"/>
          <w:szCs w:val="30"/>
        </w:rPr>
      </w:pPr>
      <w:r>
        <w:rPr>
          <w:rFonts w:hint="eastAsia" w:ascii="仿宋_GB2312" w:hAnsi="Times New Roman" w:eastAsia="仿宋_GB2312" w:cs="Times New Roman"/>
          <w:b/>
          <w:bCs/>
          <w:color w:val="auto"/>
          <w:sz w:val="30"/>
          <w:szCs w:val="30"/>
        </w:rPr>
        <w:t>附件</w:t>
      </w:r>
      <w:r>
        <w:rPr>
          <w:rFonts w:hint="eastAsia" w:ascii="仿宋_GB2312" w:hAnsi="Times New Roman" w:eastAsia="仿宋_GB2312" w:cs="Times New Roman"/>
          <w:b/>
          <w:bCs/>
          <w:color w:val="auto"/>
          <w:sz w:val="30"/>
          <w:szCs w:val="30"/>
          <w:lang w:val="en-US" w:eastAsia="zh-CN"/>
        </w:rPr>
        <w:t>五</w:t>
      </w:r>
      <w:r>
        <w:rPr>
          <w:rFonts w:hint="eastAsia" w:ascii="仿宋_GB2312" w:hAnsi="Times New Roman" w:eastAsia="仿宋_GB2312" w:cs="Times New Roman"/>
          <w:b/>
          <w:bCs/>
          <w:color w:val="auto"/>
          <w:sz w:val="30"/>
          <w:szCs w:val="30"/>
        </w:rPr>
        <w:t>：综合评分表</w:t>
      </w:r>
    </w:p>
    <w:p>
      <w:pPr>
        <w:jc w:val="center"/>
        <w:rPr>
          <w:rFonts w:ascii="仿宋_GB2312" w:eastAsia="仿宋_GB2312"/>
          <w:b/>
          <w:bCs/>
          <w:color w:val="000000"/>
          <w:sz w:val="30"/>
          <w:szCs w:val="30"/>
        </w:rPr>
      </w:pPr>
      <w:r>
        <w:rPr>
          <w:rFonts w:hint="eastAsia" w:ascii="仿宋_GB2312" w:eastAsia="仿宋_GB2312"/>
          <w:b/>
          <w:bCs/>
          <w:color w:val="000000"/>
          <w:sz w:val="30"/>
          <w:szCs w:val="30"/>
        </w:rPr>
        <w:t>综合评分表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694"/>
        <w:gridCol w:w="3585"/>
        <w:gridCol w:w="283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blHeader/>
          <w:jc w:val="center"/>
        </w:trPr>
        <w:tc>
          <w:tcPr>
            <w:tcW w:w="270" w:type="pct"/>
            <w:shd w:val="clear" w:color="auto" w:fill="DEEAF6"/>
            <w:vAlign w:val="center"/>
          </w:tcPr>
          <w:p>
            <w:pPr>
              <w:widowControl/>
              <w:adjustRightInd w:val="0"/>
              <w:snapToGrid w:val="0"/>
              <w:spacing w:line="0" w:lineRule="atLeast"/>
              <w:jc w:val="center"/>
              <w:rPr>
                <w:rFonts w:ascii="宋体" w:hAnsi="宋体" w:cs="宋体"/>
                <w:b/>
                <w:color w:val="000000"/>
                <w:szCs w:val="21"/>
              </w:rPr>
            </w:pPr>
            <w:bookmarkStart w:id="0" w:name="_Hlk17297611"/>
            <w:r>
              <w:rPr>
                <w:rFonts w:hint="eastAsia" w:ascii="宋体" w:hAnsi="宋体" w:cs="宋体"/>
                <w:b/>
                <w:color w:val="000000"/>
                <w:szCs w:val="21"/>
              </w:rPr>
              <w:t>序号</w:t>
            </w:r>
          </w:p>
        </w:tc>
        <w:tc>
          <w:tcPr>
            <w:tcW w:w="407" w:type="pct"/>
            <w:shd w:val="clear" w:color="auto" w:fill="DEEAF6"/>
            <w:vAlign w:val="center"/>
          </w:tcPr>
          <w:p>
            <w:pPr>
              <w:widowControl/>
              <w:adjustRightInd w:val="0"/>
              <w:snapToGrid w:val="0"/>
              <w:spacing w:line="0" w:lineRule="atLeast"/>
              <w:jc w:val="center"/>
              <w:rPr>
                <w:rFonts w:ascii="宋体" w:hAnsi="宋体" w:cs="宋体"/>
                <w:b/>
                <w:color w:val="000000"/>
                <w:szCs w:val="21"/>
              </w:rPr>
            </w:pPr>
            <w:r>
              <w:rPr>
                <w:rFonts w:hint="eastAsia" w:ascii="宋体" w:hAnsi="宋体" w:cs="宋体"/>
                <w:b/>
                <w:color w:val="000000"/>
                <w:szCs w:val="21"/>
              </w:rPr>
              <w:t>评审</w:t>
            </w:r>
          </w:p>
          <w:p>
            <w:pPr>
              <w:widowControl/>
              <w:adjustRightInd w:val="0"/>
              <w:snapToGrid w:val="0"/>
              <w:spacing w:line="0" w:lineRule="atLeast"/>
              <w:jc w:val="center"/>
              <w:rPr>
                <w:rFonts w:ascii="宋体" w:hAnsi="宋体" w:cs="宋体"/>
                <w:b/>
                <w:color w:val="000000"/>
                <w:szCs w:val="21"/>
              </w:rPr>
            </w:pPr>
            <w:r>
              <w:rPr>
                <w:rFonts w:hint="eastAsia" w:ascii="宋体" w:hAnsi="宋体" w:cs="宋体"/>
                <w:b/>
                <w:color w:val="000000"/>
                <w:szCs w:val="21"/>
              </w:rPr>
              <w:t>项目</w:t>
            </w:r>
          </w:p>
        </w:tc>
        <w:tc>
          <w:tcPr>
            <w:tcW w:w="2103" w:type="pct"/>
            <w:shd w:val="clear" w:color="auto" w:fill="DEEAF6"/>
            <w:vAlign w:val="center"/>
          </w:tcPr>
          <w:p>
            <w:pPr>
              <w:widowControl/>
              <w:adjustRightInd w:val="0"/>
              <w:snapToGrid w:val="0"/>
              <w:jc w:val="center"/>
              <w:rPr>
                <w:rFonts w:ascii="宋体" w:hAnsi="宋体" w:cs="宋体"/>
                <w:b/>
                <w:color w:val="000000"/>
                <w:szCs w:val="21"/>
              </w:rPr>
            </w:pPr>
            <w:r>
              <w:rPr>
                <w:rFonts w:hint="eastAsia" w:ascii="宋体" w:hAnsi="宋体" w:cs="宋体"/>
                <w:b/>
                <w:color w:val="000000"/>
                <w:szCs w:val="21"/>
              </w:rPr>
              <w:t>评审标准</w:t>
            </w:r>
          </w:p>
        </w:tc>
        <w:tc>
          <w:tcPr>
            <w:tcW w:w="1659" w:type="pct"/>
            <w:shd w:val="clear" w:color="auto" w:fill="DEEAF6"/>
            <w:vAlign w:val="center"/>
          </w:tcPr>
          <w:p>
            <w:pPr>
              <w:widowControl/>
              <w:adjustRightInd w:val="0"/>
              <w:snapToGrid w:val="0"/>
              <w:spacing w:line="0" w:lineRule="atLeast"/>
              <w:jc w:val="center"/>
              <w:rPr>
                <w:rFonts w:ascii="宋体" w:hAnsi="宋体" w:cs="宋体"/>
                <w:b/>
                <w:color w:val="000000"/>
                <w:szCs w:val="21"/>
              </w:rPr>
            </w:pPr>
            <w:r>
              <w:rPr>
                <w:rFonts w:hint="eastAsia" w:ascii="宋体" w:hAnsi="宋体" w:cs="宋体"/>
                <w:b/>
                <w:color w:val="000000"/>
                <w:szCs w:val="21"/>
              </w:rPr>
              <w:t>证明材料</w:t>
            </w:r>
          </w:p>
        </w:tc>
        <w:tc>
          <w:tcPr>
            <w:tcW w:w="559" w:type="pct"/>
            <w:shd w:val="clear" w:color="auto" w:fill="DEEAF6"/>
            <w:vAlign w:val="center"/>
          </w:tcPr>
          <w:p>
            <w:pPr>
              <w:widowControl/>
              <w:adjustRightInd w:val="0"/>
              <w:snapToGrid w:val="0"/>
              <w:spacing w:line="0" w:lineRule="atLeast"/>
              <w:jc w:val="center"/>
              <w:rPr>
                <w:rFonts w:ascii="宋体" w:hAnsi="宋体" w:cs="宋体"/>
                <w:b/>
                <w:color w:val="000000"/>
                <w:szCs w:val="21"/>
              </w:rPr>
            </w:pPr>
            <w:r>
              <w:rPr>
                <w:rFonts w:hint="eastAsia" w:ascii="宋体" w:hAnsi="宋体" w:cs="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jc w:val="center"/>
        </w:trPr>
        <w:tc>
          <w:tcPr>
            <w:tcW w:w="270" w:type="pct"/>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1</w:t>
            </w:r>
          </w:p>
        </w:tc>
        <w:tc>
          <w:tcPr>
            <w:tcW w:w="407" w:type="pct"/>
            <w:vAlign w:val="center"/>
          </w:tcPr>
          <w:p>
            <w:pPr>
              <w:spacing w:line="0" w:lineRule="atLeast"/>
              <w:jc w:val="center"/>
              <w:rPr>
                <w:rFonts w:ascii="宋体" w:hAnsi="宋体" w:cs="宋体"/>
                <w:color w:val="000000"/>
                <w:szCs w:val="21"/>
              </w:rPr>
            </w:pPr>
            <w:r>
              <w:rPr>
                <w:rFonts w:hint="eastAsia" w:ascii="宋体" w:hAnsi="宋体" w:cs="宋体"/>
                <w:color w:val="000000"/>
                <w:szCs w:val="21"/>
              </w:rPr>
              <w:t>同类业绩情况</w:t>
            </w:r>
          </w:p>
        </w:tc>
        <w:tc>
          <w:tcPr>
            <w:tcW w:w="2103" w:type="pct"/>
            <w:vAlign w:val="center"/>
          </w:tcPr>
          <w:p>
            <w:pPr>
              <w:spacing w:line="0" w:lineRule="atLeast"/>
            </w:pPr>
            <w:r>
              <w:rPr>
                <w:rFonts w:hint="eastAsia" w:ascii="宋体" w:hAnsi="宋体" w:cs="仿宋"/>
                <w:bCs/>
                <w:color w:val="auto"/>
                <w:szCs w:val="20"/>
                <w:highlight w:val="none"/>
              </w:rPr>
              <w:t>202</w:t>
            </w:r>
            <w:r>
              <w:rPr>
                <w:rFonts w:hint="eastAsia" w:ascii="宋体" w:hAnsi="宋体" w:cs="仿宋"/>
                <w:bCs/>
                <w:color w:val="auto"/>
                <w:szCs w:val="20"/>
                <w:highlight w:val="none"/>
                <w:lang w:val="en-US" w:eastAsia="zh-CN"/>
              </w:rPr>
              <w:t>1</w:t>
            </w:r>
            <w:r>
              <w:rPr>
                <w:rFonts w:hint="eastAsia" w:ascii="宋体" w:hAnsi="宋体" w:cs="仿宋"/>
                <w:bCs/>
                <w:color w:val="auto"/>
                <w:szCs w:val="20"/>
                <w:highlight w:val="none"/>
              </w:rPr>
              <w:t>年</w:t>
            </w:r>
            <w:r>
              <w:rPr>
                <w:rFonts w:ascii="宋体" w:hAnsi="宋体" w:cs="仿宋"/>
                <w:bCs/>
                <w:color w:val="auto"/>
                <w:szCs w:val="20"/>
                <w:highlight w:val="none"/>
              </w:rPr>
              <w:t>1</w:t>
            </w:r>
            <w:r>
              <w:rPr>
                <w:rFonts w:hint="eastAsia" w:ascii="宋体" w:hAnsi="宋体" w:cs="仿宋"/>
                <w:bCs/>
                <w:color w:val="auto"/>
                <w:szCs w:val="20"/>
                <w:highlight w:val="none"/>
              </w:rPr>
              <w:t>月</w:t>
            </w:r>
            <w:r>
              <w:rPr>
                <w:rFonts w:ascii="宋体" w:hAnsi="宋体" w:cs="仿宋"/>
                <w:bCs/>
                <w:color w:val="auto"/>
                <w:szCs w:val="20"/>
                <w:highlight w:val="none"/>
              </w:rPr>
              <w:t>1</w:t>
            </w:r>
            <w:r>
              <w:rPr>
                <w:rFonts w:hint="eastAsia" w:ascii="宋体" w:hAnsi="宋体" w:cs="仿宋"/>
                <w:bCs/>
                <w:color w:val="auto"/>
                <w:szCs w:val="20"/>
                <w:highlight w:val="none"/>
              </w:rPr>
              <w:t>日</w:t>
            </w:r>
            <w:r>
              <w:rPr>
                <w:rFonts w:hint="eastAsia" w:ascii="宋体" w:hAnsi="宋体" w:cs="宋体"/>
                <w:bCs/>
                <w:color w:val="auto"/>
                <w:szCs w:val="20"/>
                <w:highlight w:val="none"/>
              </w:rPr>
              <w:t>至</w:t>
            </w:r>
            <w:r>
              <w:rPr>
                <w:rFonts w:hint="eastAsia" w:ascii="宋体" w:hAnsi="宋体" w:cs="宋体"/>
                <w:bCs/>
                <w:color w:val="auto"/>
                <w:szCs w:val="20"/>
                <w:highlight w:val="none"/>
                <w:lang w:val="en-US" w:eastAsia="zh-CN"/>
              </w:rPr>
              <w:t>本项目</w:t>
            </w:r>
            <w:r>
              <w:rPr>
                <w:rFonts w:hint="eastAsia" w:ascii="宋体" w:hAnsi="宋体" w:cs="宋体"/>
                <w:szCs w:val="21"/>
              </w:rPr>
              <w:t>招标公告发布之日前</w:t>
            </w:r>
            <w:r>
              <w:rPr>
                <w:rFonts w:hint="eastAsia" w:ascii="宋体" w:hAnsi="宋体" w:cs="宋体"/>
                <w:bCs/>
                <w:color w:val="auto"/>
                <w:szCs w:val="20"/>
                <w:highlight w:val="none"/>
              </w:rPr>
              <w:t>（以合同签订时间为准），</w:t>
            </w:r>
            <w:r>
              <w:rPr>
                <w:rFonts w:hint="eastAsia" w:ascii="宋体" w:hAnsi="宋体" w:cs="宋体"/>
                <w:szCs w:val="21"/>
              </w:rPr>
              <w:t>承接过节能绿建检测（含能效测评及绿建符合性评估）项目，单个合同额超</w:t>
            </w:r>
            <w:r>
              <w:rPr>
                <w:rFonts w:hint="eastAsia" w:ascii="宋体" w:hAnsi="宋体" w:cs="宋体"/>
                <w:szCs w:val="21"/>
                <w:lang w:val="en-US" w:eastAsia="zh-CN"/>
              </w:rPr>
              <w:t>45</w:t>
            </w:r>
            <w:r>
              <w:rPr>
                <w:rFonts w:hint="eastAsia" w:ascii="宋体" w:hAnsi="宋体" w:cs="宋体"/>
                <w:szCs w:val="21"/>
              </w:rPr>
              <w:t>万元，每提供一个项目业绩得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得15</w:t>
            </w:r>
            <w:r>
              <w:rPr>
                <w:rFonts w:hint="eastAsia" w:ascii="宋体" w:hAnsi="宋体" w:cs="宋体"/>
                <w:szCs w:val="21"/>
              </w:rPr>
              <w:t>分</w:t>
            </w:r>
            <w:r>
              <w:rPr>
                <w:rFonts w:hint="eastAsia" w:ascii="宋体" w:hAnsi="宋体" w:cs="宋体"/>
                <w:szCs w:val="21"/>
                <w:lang w:eastAsia="zh-CN"/>
              </w:rPr>
              <w:t>。</w:t>
            </w:r>
          </w:p>
        </w:tc>
        <w:tc>
          <w:tcPr>
            <w:tcW w:w="1659" w:type="pct"/>
            <w:vAlign w:val="center"/>
          </w:tcPr>
          <w:p>
            <w:pPr>
              <w:adjustRightInd w:val="0"/>
              <w:snapToGrid w:val="0"/>
              <w:spacing w:line="0" w:lineRule="atLeast"/>
              <w:rPr>
                <w:color w:val="000000"/>
              </w:rPr>
            </w:pPr>
            <w:r>
              <w:rPr>
                <w:rFonts w:hint="eastAsia"/>
                <w:color w:val="000000"/>
              </w:rPr>
              <w:t>须提供合同关键页复印件或扫描件并加盖投标人公章（内容至少包括合同首页、工作内容页、金额页、签字盖章页）。</w:t>
            </w:r>
          </w:p>
        </w:tc>
        <w:tc>
          <w:tcPr>
            <w:tcW w:w="559" w:type="pct"/>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color w:val="000000"/>
                <w:szCs w:val="21"/>
                <w:lang w:val="en-US" w:eastAsia="zh-CN"/>
              </w:rPr>
              <w:t>15</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jc w:val="center"/>
        </w:trPr>
        <w:tc>
          <w:tcPr>
            <w:tcW w:w="270" w:type="pct"/>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2</w:t>
            </w:r>
          </w:p>
        </w:tc>
        <w:tc>
          <w:tcPr>
            <w:tcW w:w="407" w:type="pct"/>
            <w:vAlign w:val="center"/>
          </w:tcPr>
          <w:p>
            <w:pPr>
              <w:spacing w:line="0" w:lineRule="atLeast"/>
              <w:jc w:val="center"/>
              <w:rPr>
                <w:rFonts w:ascii="宋体" w:hAnsi="宋体" w:cs="宋体"/>
                <w:color w:val="000000"/>
                <w:szCs w:val="21"/>
              </w:rPr>
            </w:pPr>
            <w:r>
              <w:rPr>
                <w:rFonts w:hint="eastAsia" w:ascii="宋体" w:hAnsi="宋体" w:cs="宋体"/>
                <w:color w:val="000000"/>
                <w:szCs w:val="21"/>
              </w:rPr>
              <w:t>投标人履约评价</w:t>
            </w:r>
          </w:p>
        </w:tc>
        <w:tc>
          <w:tcPr>
            <w:tcW w:w="2103" w:type="pct"/>
            <w:vAlign w:val="center"/>
          </w:tcPr>
          <w:p>
            <w:pPr>
              <w:adjustRightInd w:val="0"/>
              <w:snapToGrid w:val="0"/>
              <w:rPr>
                <w:rFonts w:ascii="宋体" w:hAnsi="宋体" w:cs="宋体"/>
                <w:kern w:val="0"/>
                <w:szCs w:val="21"/>
              </w:rPr>
            </w:pPr>
            <w:r>
              <w:rPr>
                <w:rFonts w:hint="eastAsia" w:ascii="宋体" w:hAnsi="宋体" w:cs="仿宋"/>
                <w:bCs/>
                <w:color w:val="auto"/>
                <w:szCs w:val="20"/>
                <w:highlight w:val="none"/>
              </w:rPr>
              <w:t>202</w:t>
            </w:r>
            <w:r>
              <w:rPr>
                <w:rFonts w:hint="eastAsia" w:ascii="宋体" w:hAnsi="宋体" w:cs="仿宋"/>
                <w:bCs/>
                <w:color w:val="auto"/>
                <w:szCs w:val="20"/>
                <w:highlight w:val="none"/>
                <w:lang w:val="en-US" w:eastAsia="zh-CN"/>
              </w:rPr>
              <w:t>1</w:t>
            </w:r>
            <w:r>
              <w:rPr>
                <w:rFonts w:hint="eastAsia" w:ascii="宋体" w:hAnsi="宋体" w:cs="仿宋"/>
                <w:bCs/>
                <w:color w:val="auto"/>
                <w:szCs w:val="20"/>
                <w:highlight w:val="none"/>
              </w:rPr>
              <w:t>年</w:t>
            </w:r>
            <w:r>
              <w:rPr>
                <w:rFonts w:ascii="宋体" w:hAnsi="宋体" w:cs="仿宋"/>
                <w:bCs/>
                <w:color w:val="auto"/>
                <w:szCs w:val="20"/>
                <w:highlight w:val="none"/>
              </w:rPr>
              <w:t>1</w:t>
            </w:r>
            <w:r>
              <w:rPr>
                <w:rFonts w:hint="eastAsia" w:ascii="宋体" w:hAnsi="宋体" w:cs="仿宋"/>
                <w:bCs/>
                <w:color w:val="auto"/>
                <w:szCs w:val="20"/>
                <w:highlight w:val="none"/>
              </w:rPr>
              <w:t>月</w:t>
            </w:r>
            <w:r>
              <w:rPr>
                <w:rFonts w:ascii="宋体" w:hAnsi="宋体" w:cs="仿宋"/>
                <w:bCs/>
                <w:color w:val="auto"/>
                <w:szCs w:val="20"/>
                <w:highlight w:val="none"/>
              </w:rPr>
              <w:t>1</w:t>
            </w:r>
            <w:r>
              <w:rPr>
                <w:rFonts w:hint="eastAsia" w:ascii="宋体" w:hAnsi="宋体" w:cs="仿宋"/>
                <w:bCs/>
                <w:color w:val="auto"/>
                <w:szCs w:val="20"/>
                <w:highlight w:val="none"/>
              </w:rPr>
              <w:t>日</w:t>
            </w:r>
            <w:r>
              <w:rPr>
                <w:rFonts w:hint="eastAsia" w:ascii="宋体" w:hAnsi="宋体" w:cs="宋体"/>
                <w:bCs/>
                <w:color w:val="auto"/>
                <w:szCs w:val="20"/>
                <w:highlight w:val="none"/>
              </w:rPr>
              <w:t>至</w:t>
            </w:r>
            <w:r>
              <w:rPr>
                <w:rFonts w:hint="eastAsia" w:ascii="宋体" w:hAnsi="宋体" w:cs="宋体"/>
                <w:bCs/>
                <w:color w:val="auto"/>
                <w:szCs w:val="20"/>
                <w:highlight w:val="none"/>
                <w:lang w:val="en-US" w:eastAsia="zh-CN"/>
              </w:rPr>
              <w:t>本项目</w:t>
            </w:r>
            <w:r>
              <w:rPr>
                <w:rFonts w:hint="eastAsia" w:ascii="宋体" w:hAnsi="宋体" w:cs="宋体"/>
                <w:szCs w:val="21"/>
              </w:rPr>
              <w:t>招标公告发布之日前</w:t>
            </w:r>
            <w:r>
              <w:rPr>
                <w:rFonts w:hint="eastAsia" w:ascii="宋体" w:hAnsi="宋体" w:cs="宋体"/>
                <w:kern w:val="0"/>
                <w:szCs w:val="21"/>
              </w:rPr>
              <w:t>（履约评价或感谢信或表扬信</w:t>
            </w:r>
            <w:r>
              <w:rPr>
                <w:rFonts w:hint="eastAsia" w:ascii="宋体" w:hAnsi="宋体" w:cs="宋体"/>
                <w:kern w:val="0"/>
                <w:szCs w:val="21"/>
                <w:lang w:val="en-US" w:eastAsia="zh-CN"/>
              </w:rPr>
              <w:t>需体现</w:t>
            </w:r>
            <w:r>
              <w:t>合同服务时间</w:t>
            </w:r>
            <w:r>
              <w:rPr>
                <w:rFonts w:hint="eastAsia" w:ascii="宋体" w:hAnsi="宋体" w:cs="宋体"/>
                <w:kern w:val="0"/>
                <w:szCs w:val="21"/>
                <w:lang w:val="en-US" w:eastAsia="zh-CN"/>
              </w:rPr>
              <w:t>或者落款日期</w:t>
            </w:r>
            <w:r>
              <w:rPr>
                <w:rFonts w:hint="eastAsia" w:ascii="宋体" w:hAnsi="宋体" w:cs="宋体"/>
                <w:kern w:val="0"/>
                <w:szCs w:val="21"/>
              </w:rPr>
              <w:t>）：</w:t>
            </w:r>
          </w:p>
          <w:p>
            <w:pPr>
              <w:adjustRightInd w:val="0"/>
              <w:snapToGrid w:val="0"/>
              <w:rPr>
                <w:rFonts w:ascii="宋体" w:hAnsi="宋体" w:eastAsia="宋体" w:cs="宋体"/>
                <w:szCs w:val="21"/>
              </w:rPr>
            </w:pPr>
            <w:r>
              <w:rPr>
                <w:rFonts w:hint="eastAsia" w:ascii="宋体" w:hAnsi="宋体" w:cs="宋体"/>
                <w:kern w:val="0"/>
                <w:szCs w:val="21"/>
              </w:rPr>
              <w:t>投标人提供经采购</w:t>
            </w:r>
            <w:r>
              <w:rPr>
                <w:rFonts w:hint="eastAsia" w:ascii="宋体" w:hAnsi="宋体"/>
                <w:szCs w:val="21"/>
              </w:rPr>
              <w:t>单位</w:t>
            </w:r>
            <w:r>
              <w:rPr>
                <w:rFonts w:hint="eastAsia" w:ascii="宋体" w:hAnsi="宋体" w:cs="宋体"/>
                <w:kern w:val="0"/>
                <w:szCs w:val="21"/>
              </w:rPr>
              <w:t>或被服务单位总体履约评价结果为“优”或“优秀”或评价表中最高等级评价的</w:t>
            </w:r>
            <w:r>
              <w:rPr>
                <w:rFonts w:hint="eastAsia" w:ascii="宋体" w:hAnsi="宋体" w:cs="宋体"/>
                <w:kern w:val="0"/>
                <w:szCs w:val="21"/>
                <w:lang w:val="en-US" w:eastAsia="zh-CN"/>
              </w:rPr>
              <w:t>检测类服务</w:t>
            </w:r>
            <w:r>
              <w:rPr>
                <w:rFonts w:hint="eastAsia" w:ascii="宋体" w:hAnsi="宋体" w:cs="宋体"/>
                <w:kern w:val="0"/>
                <w:szCs w:val="21"/>
              </w:rPr>
              <w:t>履约评价证明；或投标人</w:t>
            </w:r>
            <w:r>
              <w:rPr>
                <w:rFonts w:hint="eastAsia" w:ascii="宋体" w:hAnsi="宋体" w:cs="宋体"/>
                <w:kern w:val="0"/>
                <w:szCs w:val="21"/>
                <w:lang w:val="en-US" w:eastAsia="zh-CN"/>
              </w:rPr>
              <w:t>因检测类服务</w:t>
            </w:r>
            <w:r>
              <w:rPr>
                <w:rFonts w:hint="eastAsia" w:ascii="宋体" w:hAnsi="宋体" w:cs="宋体"/>
                <w:kern w:val="0"/>
                <w:szCs w:val="21"/>
              </w:rPr>
              <w:t>曾经受到采购单位或被服务单位表扬信或感谢信的；每提供1个，得2分，以上累计最高得6分。</w:t>
            </w:r>
          </w:p>
        </w:tc>
        <w:tc>
          <w:tcPr>
            <w:tcW w:w="1659" w:type="pct"/>
            <w:vAlign w:val="center"/>
          </w:tcPr>
          <w:p>
            <w:pPr>
              <w:numPr>
                <w:ilvl w:val="0"/>
                <w:numId w:val="0"/>
              </w:numPr>
              <w:adjustRightInd w:val="0"/>
              <w:snapToGrid w:val="0"/>
              <w:jc w:val="left"/>
              <w:rPr>
                <w:rFonts w:ascii="宋体" w:hAnsi="宋体"/>
                <w:szCs w:val="21"/>
              </w:rPr>
            </w:pPr>
            <w:r>
              <w:rPr>
                <w:rFonts w:hint="default" w:ascii="宋体" w:hAnsi="宋体"/>
                <w:szCs w:val="21"/>
              </w:rPr>
              <w:t>1.</w:t>
            </w:r>
            <w:r>
              <w:rPr>
                <w:rFonts w:hint="eastAsia" w:ascii="宋体" w:hAnsi="宋体"/>
                <w:szCs w:val="21"/>
              </w:rPr>
              <w:t>履约评价证明文件：采购单位或被服务单位出具的总体履约评价为“优”或“优秀”或评价表中其他最高等级评价的相关证明文件加盖合同甲方公章（或甲方业务章）。证明文件的内容包括但不仅限于合同的项目名称、总体履约评价结果、</w:t>
            </w:r>
            <w:r>
              <w:t>合同服务时间</w:t>
            </w:r>
            <w:r>
              <w:rPr>
                <w:rFonts w:hint="eastAsia" w:ascii="宋体" w:hAnsi="宋体" w:cs="宋体"/>
                <w:kern w:val="0"/>
                <w:szCs w:val="21"/>
                <w:lang w:val="en-US" w:eastAsia="zh-CN"/>
              </w:rPr>
              <w:t>或者落款日期</w:t>
            </w:r>
            <w:r>
              <w:rPr>
                <w:rFonts w:hint="eastAsia" w:ascii="宋体" w:hAnsi="宋体"/>
                <w:szCs w:val="21"/>
              </w:rPr>
              <w:t>等相关内容,如提交的证明文件其评价结果没有结论而仅是打分的（比如打100分、98分、95分、85分等的）不计分。</w:t>
            </w:r>
          </w:p>
          <w:p>
            <w:pPr>
              <w:numPr>
                <w:ilvl w:val="0"/>
                <w:numId w:val="0"/>
              </w:numPr>
              <w:adjustRightInd w:val="0"/>
              <w:snapToGrid w:val="0"/>
              <w:jc w:val="left"/>
              <w:rPr>
                <w:color w:val="000000"/>
              </w:rPr>
            </w:pPr>
            <w:r>
              <w:rPr>
                <w:rFonts w:hint="eastAsia" w:asciiTheme="minorEastAsia" w:hAnsiTheme="minorEastAsia" w:eastAsiaTheme="minorEastAsia" w:cstheme="minorEastAsia"/>
              </w:rPr>
              <w:t>2.</w:t>
            </w:r>
            <w:r>
              <w:rPr>
                <w:rFonts w:hint="eastAsia"/>
              </w:rPr>
              <w:t>若提供表扬信或感谢信作为履约评价证明材料的，需体现项目内容和评价情况。</w:t>
            </w:r>
          </w:p>
        </w:tc>
        <w:tc>
          <w:tcPr>
            <w:tcW w:w="559" w:type="pct"/>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jc w:val="center"/>
        </w:trPr>
        <w:tc>
          <w:tcPr>
            <w:tcW w:w="270" w:type="pct"/>
            <w:vAlign w:val="center"/>
          </w:tcPr>
          <w:p>
            <w:pPr>
              <w:widowControl/>
              <w:adjustRightInd w:val="0"/>
              <w:snapToGrid w:val="0"/>
              <w:spacing w:line="0" w:lineRule="atLeast"/>
              <w:jc w:val="cente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3</w:t>
            </w:r>
          </w:p>
        </w:tc>
        <w:tc>
          <w:tcPr>
            <w:tcW w:w="407" w:type="pct"/>
            <w:vAlign w:val="center"/>
          </w:tcPr>
          <w:p>
            <w:pPr>
              <w:spacing w:line="0" w:lineRule="atLeast"/>
              <w:jc w:val="center"/>
              <w:rPr>
                <w:rFonts w:ascii="宋体" w:hAnsi="宋体" w:cs="宋体"/>
                <w:color w:val="000000"/>
                <w:szCs w:val="21"/>
              </w:rPr>
            </w:pPr>
            <w:r>
              <w:rPr>
                <w:rFonts w:hint="eastAsia" w:ascii="宋体" w:hAnsi="宋体" w:cs="宋体"/>
                <w:szCs w:val="21"/>
              </w:rPr>
              <w:t>拟安排的项目负责人情况（仅限一人）</w:t>
            </w:r>
          </w:p>
        </w:tc>
        <w:tc>
          <w:tcPr>
            <w:tcW w:w="2103" w:type="pct"/>
            <w:vAlign w:val="center"/>
          </w:tcPr>
          <w:p>
            <w:pPr>
              <w:spacing w:line="0" w:lineRule="atLeast"/>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.项目负责人</w:t>
            </w:r>
            <w:r>
              <w:rPr>
                <w:rFonts w:hint="eastAsia" w:ascii="宋体" w:hAnsi="宋体" w:cs="宋体"/>
                <w:color w:val="000000"/>
                <w:szCs w:val="21"/>
                <w:lang w:val="en-US" w:eastAsia="zh-CN"/>
              </w:rPr>
              <w:t>具有建筑类</w:t>
            </w:r>
            <w:r>
              <w:rPr>
                <w:rFonts w:hint="eastAsia" w:ascii="宋体" w:hAnsi="宋体" w:eastAsia="宋体" w:cs="宋体"/>
                <w:szCs w:val="21"/>
              </w:rPr>
              <w:t>高级工程师（含副高）职称证书的</w:t>
            </w:r>
            <w:r>
              <w:rPr>
                <w:rFonts w:hint="eastAsia" w:ascii="宋体" w:hAnsi="宋体" w:cs="宋体"/>
                <w:color w:val="000000"/>
                <w:szCs w:val="21"/>
              </w:rPr>
              <w:t>，得3分。</w:t>
            </w:r>
          </w:p>
          <w:p>
            <w:pPr>
              <w:spacing w:line="0" w:lineRule="atLeast"/>
            </w:pPr>
            <w:r>
              <w:rPr>
                <w:rFonts w:hint="eastAsia" w:ascii="宋体" w:hAnsi="宋体" w:cs="宋体"/>
                <w:color w:val="000000"/>
                <w:szCs w:val="21"/>
                <w:lang w:val="en-US" w:eastAsia="zh-CN"/>
              </w:rPr>
              <w:t>2</w:t>
            </w:r>
            <w:r>
              <w:rPr>
                <w:rFonts w:hint="eastAsia" w:ascii="宋体" w:hAnsi="宋体" w:cs="宋体"/>
                <w:color w:val="000000"/>
                <w:szCs w:val="21"/>
              </w:rPr>
              <w:t>.</w:t>
            </w:r>
            <w:bookmarkStart w:id="1" w:name="OLE_LINK1"/>
            <w:bookmarkStart w:id="2" w:name="OLE_LINK3"/>
            <w:r>
              <w:rPr>
                <w:rFonts w:hint="eastAsia" w:ascii="宋体" w:hAnsi="宋体" w:cs="宋体"/>
                <w:color w:val="000000"/>
                <w:szCs w:val="21"/>
              </w:rPr>
              <w:t>项目负责人</w:t>
            </w:r>
            <w:r>
              <w:rPr>
                <w:rFonts w:hint="eastAsia" w:ascii="宋体" w:hAnsi="宋体" w:cs="仿宋"/>
                <w:bCs/>
                <w:color w:val="auto"/>
                <w:szCs w:val="20"/>
                <w:highlight w:val="none"/>
              </w:rPr>
              <w:t>202</w:t>
            </w:r>
            <w:r>
              <w:rPr>
                <w:rFonts w:hint="eastAsia" w:ascii="宋体" w:hAnsi="宋体" w:cs="仿宋"/>
                <w:bCs/>
                <w:color w:val="auto"/>
                <w:szCs w:val="20"/>
                <w:highlight w:val="none"/>
                <w:lang w:val="en-US" w:eastAsia="zh-CN"/>
              </w:rPr>
              <w:t>1</w:t>
            </w:r>
            <w:r>
              <w:rPr>
                <w:rFonts w:hint="eastAsia" w:ascii="宋体" w:hAnsi="宋体" w:cs="仿宋"/>
                <w:bCs/>
                <w:color w:val="auto"/>
                <w:szCs w:val="20"/>
                <w:highlight w:val="none"/>
              </w:rPr>
              <w:t>年</w:t>
            </w:r>
            <w:r>
              <w:rPr>
                <w:rFonts w:ascii="宋体" w:hAnsi="宋体" w:cs="仿宋"/>
                <w:bCs/>
                <w:color w:val="auto"/>
                <w:szCs w:val="20"/>
                <w:highlight w:val="none"/>
              </w:rPr>
              <w:t>1</w:t>
            </w:r>
            <w:r>
              <w:rPr>
                <w:rFonts w:hint="eastAsia" w:ascii="宋体" w:hAnsi="宋体" w:cs="仿宋"/>
                <w:bCs/>
                <w:color w:val="auto"/>
                <w:szCs w:val="20"/>
                <w:highlight w:val="none"/>
              </w:rPr>
              <w:t>月</w:t>
            </w:r>
            <w:r>
              <w:rPr>
                <w:rFonts w:ascii="宋体" w:hAnsi="宋体" w:cs="仿宋"/>
                <w:bCs/>
                <w:color w:val="auto"/>
                <w:szCs w:val="20"/>
                <w:highlight w:val="none"/>
              </w:rPr>
              <w:t>1</w:t>
            </w:r>
            <w:r>
              <w:rPr>
                <w:rFonts w:hint="eastAsia" w:ascii="宋体" w:hAnsi="宋体" w:cs="仿宋"/>
                <w:bCs/>
                <w:color w:val="auto"/>
                <w:szCs w:val="20"/>
                <w:highlight w:val="none"/>
              </w:rPr>
              <w:t>日</w:t>
            </w:r>
            <w:r>
              <w:rPr>
                <w:rFonts w:hint="eastAsia" w:ascii="宋体" w:hAnsi="宋体" w:cs="宋体"/>
                <w:bCs/>
                <w:color w:val="auto"/>
                <w:szCs w:val="20"/>
                <w:highlight w:val="none"/>
              </w:rPr>
              <w:t>至</w:t>
            </w:r>
            <w:r>
              <w:rPr>
                <w:rFonts w:hint="eastAsia" w:ascii="宋体" w:hAnsi="宋体" w:cs="宋体"/>
                <w:bCs/>
                <w:color w:val="auto"/>
                <w:szCs w:val="20"/>
                <w:highlight w:val="none"/>
                <w:lang w:val="en-US" w:eastAsia="zh-CN"/>
              </w:rPr>
              <w:t>本项目</w:t>
            </w:r>
            <w:r>
              <w:rPr>
                <w:rFonts w:hint="eastAsia" w:ascii="宋体" w:hAnsi="宋体" w:cs="宋体"/>
                <w:szCs w:val="21"/>
              </w:rPr>
              <w:t>招标公告发布之日前</w:t>
            </w:r>
            <w:r>
              <w:rPr>
                <w:rFonts w:hint="eastAsia" w:ascii="宋体" w:hAnsi="宋体" w:cs="宋体"/>
                <w:bCs/>
                <w:color w:val="auto"/>
                <w:szCs w:val="20"/>
                <w:highlight w:val="none"/>
              </w:rPr>
              <w:t>（以合同签订时间为准）</w:t>
            </w:r>
            <w:r>
              <w:rPr>
                <w:rFonts w:hint="eastAsia" w:ascii="宋体" w:hAnsi="宋体" w:cs="宋体"/>
                <w:color w:val="000000"/>
                <w:szCs w:val="21"/>
              </w:rPr>
              <w:t>具有</w:t>
            </w:r>
            <w:r>
              <w:rPr>
                <w:rFonts w:hint="eastAsia" w:ascii="宋体" w:hAnsi="宋体" w:cs="宋体"/>
                <w:color w:val="000000"/>
                <w:szCs w:val="21"/>
                <w:lang w:val="en-US" w:eastAsia="zh-CN"/>
              </w:rPr>
              <w:t>以</w:t>
            </w:r>
            <w:bookmarkStart w:id="3" w:name="OLE_LINK11"/>
            <w:r>
              <w:rPr>
                <w:rFonts w:hint="eastAsia" w:ascii="宋体" w:hAnsi="宋体" w:cs="仿宋"/>
                <w:bCs/>
                <w:color w:val="auto"/>
                <w:szCs w:val="20"/>
                <w:highlight w:val="none"/>
              </w:rPr>
              <w:t>项目负责人或技术负责人或项目经理</w:t>
            </w:r>
            <w:bookmarkEnd w:id="3"/>
            <w:r>
              <w:rPr>
                <w:rFonts w:hint="eastAsia" w:ascii="宋体" w:hAnsi="宋体" w:cs="仿宋"/>
                <w:bCs/>
                <w:color w:val="auto"/>
                <w:szCs w:val="20"/>
                <w:highlight w:val="none"/>
              </w:rPr>
              <w:t>身份承担</w:t>
            </w:r>
            <w:r>
              <w:rPr>
                <w:rFonts w:hint="eastAsia" w:ascii="宋体" w:hAnsi="宋体" w:cs="宋体"/>
                <w:szCs w:val="21"/>
              </w:rPr>
              <w:t>节能绿建检测（含能效测评及绿建符合性评估）项目，单个合同额超</w:t>
            </w:r>
            <w:r>
              <w:rPr>
                <w:rFonts w:hint="eastAsia" w:ascii="宋体" w:hAnsi="宋体" w:cs="宋体"/>
                <w:szCs w:val="21"/>
                <w:lang w:val="en-US" w:eastAsia="zh-CN"/>
              </w:rPr>
              <w:t>45</w:t>
            </w:r>
            <w:r>
              <w:rPr>
                <w:rFonts w:hint="eastAsia" w:ascii="宋体" w:hAnsi="宋体" w:cs="宋体"/>
                <w:szCs w:val="21"/>
              </w:rPr>
              <w:t>万元</w:t>
            </w:r>
            <w:r>
              <w:rPr>
                <w:rFonts w:ascii="宋体" w:hAnsi="宋体" w:cs="宋体"/>
                <w:color w:val="000000"/>
                <w:szCs w:val="21"/>
              </w:rPr>
              <w:t>，每1个加</w:t>
            </w:r>
            <w:r>
              <w:rPr>
                <w:rFonts w:hint="eastAsia" w:ascii="宋体" w:hAnsi="宋体" w:cs="宋体"/>
                <w:color w:val="000000"/>
                <w:szCs w:val="21"/>
                <w:lang w:val="en-US" w:eastAsia="zh-CN"/>
              </w:rPr>
              <w:t>3</w:t>
            </w:r>
            <w:r>
              <w:rPr>
                <w:rFonts w:ascii="宋体" w:hAnsi="宋体" w:cs="宋体"/>
                <w:color w:val="000000"/>
                <w:szCs w:val="21"/>
              </w:rPr>
              <w:t>分，最多加</w:t>
            </w:r>
            <w:r>
              <w:rPr>
                <w:rFonts w:hint="eastAsia" w:ascii="宋体" w:hAnsi="宋体" w:cs="宋体"/>
                <w:color w:val="000000"/>
                <w:szCs w:val="21"/>
                <w:lang w:val="en-US" w:eastAsia="zh-CN"/>
              </w:rPr>
              <w:t>9</w:t>
            </w:r>
            <w:r>
              <w:rPr>
                <w:rFonts w:ascii="宋体" w:hAnsi="宋体" w:cs="宋体"/>
                <w:color w:val="000000"/>
                <w:szCs w:val="21"/>
              </w:rPr>
              <w:t>分。</w:t>
            </w:r>
            <w:bookmarkEnd w:id="1"/>
            <w:bookmarkEnd w:id="2"/>
          </w:p>
        </w:tc>
        <w:tc>
          <w:tcPr>
            <w:tcW w:w="1659" w:type="pct"/>
            <w:vAlign w:val="center"/>
          </w:tcPr>
          <w:p>
            <w:pPr>
              <w:adjustRightInd w:val="0"/>
              <w:snapToGrid w:val="0"/>
              <w:spacing w:line="0" w:lineRule="atLeas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须为投标人自有员工，提供投标人为其缴纳的近6个月社保清单，由于社保部门原因最近一个月的社保证明无法提供的可往前顺延一个月，如为成立不足六个月新成立的企业，可提供加盖公章的情况说明及成立之日起至投标截止之日的社保清单。</w:t>
            </w:r>
          </w:p>
          <w:p>
            <w:pPr>
              <w:adjustRightInd w:val="0"/>
              <w:snapToGrid w:val="0"/>
              <w:spacing w:line="0" w:lineRule="atLeas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职称证书要求提供扫描件，原件备查。</w:t>
            </w:r>
          </w:p>
          <w:p>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3.业绩证明须提供合同关键页复印件或扫描件并加盖投标人公章（内容至少包括合同首页、工作内容页、金额页、项目负责人或技术负责人或项目经理姓名、签字盖章页）。</w:t>
            </w:r>
          </w:p>
          <w:p>
            <w:pPr>
              <w:adjustRightInd w:val="0"/>
              <w:snapToGrid w:val="0"/>
              <w:spacing w:line="0" w:lineRule="atLeast"/>
              <w:rPr>
                <w:rFonts w:ascii="宋体" w:hAns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以上资料均要求提供扫描件，原件备查。评分中出现无证明资料或专家无法凭所提供资料判断是否得分的情况，一律作不得分处理。</w:t>
            </w:r>
          </w:p>
        </w:tc>
        <w:tc>
          <w:tcPr>
            <w:tcW w:w="559" w:type="pct"/>
            <w:vAlign w:val="center"/>
          </w:tcPr>
          <w:p>
            <w:pPr>
              <w:widowControl/>
              <w:adjustRightInd w:val="0"/>
              <w:snapToGrid w:val="0"/>
              <w:spacing w:line="0" w:lineRule="atLeast"/>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jc w:val="center"/>
        </w:trPr>
        <w:tc>
          <w:tcPr>
            <w:tcW w:w="270" w:type="pct"/>
            <w:vAlign w:val="center"/>
          </w:tcPr>
          <w:p>
            <w:pPr>
              <w:widowControl/>
              <w:adjustRightInd w:val="0"/>
              <w:snapToGrid w:val="0"/>
              <w:spacing w:line="0" w:lineRule="atLeast"/>
              <w:jc w:val="cente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4</w:t>
            </w:r>
          </w:p>
        </w:tc>
        <w:tc>
          <w:tcPr>
            <w:tcW w:w="407" w:type="pct"/>
            <w:vAlign w:val="center"/>
          </w:tcPr>
          <w:p>
            <w:pPr>
              <w:spacing w:line="0" w:lineRule="atLeast"/>
              <w:jc w:val="center"/>
              <w:rPr>
                <w:rFonts w:ascii="宋体" w:hAnsi="宋体" w:cs="宋体"/>
                <w:color w:val="000000"/>
                <w:szCs w:val="21"/>
              </w:rPr>
            </w:pPr>
            <w:r>
              <w:rPr>
                <w:rFonts w:hint="eastAsia" w:ascii="宋体" w:hAnsi="宋体" w:cs="宋体"/>
                <w:color w:val="000000"/>
                <w:szCs w:val="21"/>
              </w:rPr>
              <w:t>团队成员配置情况</w:t>
            </w:r>
          </w:p>
        </w:tc>
        <w:tc>
          <w:tcPr>
            <w:tcW w:w="2103" w:type="pct"/>
            <w:vAlign w:val="center"/>
          </w:tcPr>
          <w:p>
            <w:pPr>
              <w:spacing w:line="0" w:lineRule="atLeast"/>
              <w:rPr>
                <w:rFonts w:ascii="宋体" w:hAnsi="宋体" w:cs="宋体"/>
                <w:color w:val="000000"/>
                <w:szCs w:val="21"/>
              </w:rPr>
            </w:pPr>
            <w:r>
              <w:rPr>
                <w:rFonts w:hint="eastAsia" w:ascii="宋体" w:hAnsi="宋体" w:cs="宋体"/>
                <w:color w:val="000000"/>
                <w:szCs w:val="21"/>
              </w:rPr>
              <w:t>除项目负责人外，</w:t>
            </w:r>
            <w:r>
              <w:rPr>
                <w:rFonts w:hint="eastAsia" w:ascii="宋体" w:hAnsi="宋体" w:cs="仿宋"/>
                <w:bCs/>
                <w:color w:val="auto"/>
                <w:szCs w:val="20"/>
                <w:highlight w:val="none"/>
              </w:rPr>
              <w:t>拟派项目团队成员</w:t>
            </w:r>
            <w:r>
              <w:rPr>
                <w:rFonts w:hint="eastAsia" w:ascii="宋体" w:hAnsi="宋体" w:cs="宋体"/>
                <w:color w:val="000000"/>
                <w:szCs w:val="21"/>
                <w:lang w:val="en-US" w:eastAsia="zh-CN"/>
              </w:rPr>
              <w:t>情况</w:t>
            </w:r>
            <w:r>
              <w:rPr>
                <w:rFonts w:hint="eastAsia" w:ascii="宋体" w:hAnsi="宋体" w:cs="宋体"/>
                <w:color w:val="000000"/>
                <w:szCs w:val="21"/>
              </w:rPr>
              <w:t>：</w:t>
            </w:r>
          </w:p>
          <w:p>
            <w:pPr>
              <w:spacing w:line="0" w:lineRule="atLeast"/>
              <w:rPr>
                <w:rFonts w:ascii="宋体" w:hAnsi="宋体" w:eastAsia="宋体" w:cs="宋体"/>
                <w:szCs w:val="21"/>
              </w:rPr>
            </w:pPr>
            <w:r>
              <w:rPr>
                <w:rFonts w:hint="eastAsia" w:ascii="宋体" w:hAnsi="宋体" w:cs="宋体"/>
                <w:color w:val="000000"/>
                <w:szCs w:val="21"/>
              </w:rPr>
              <w:t>1.具</w:t>
            </w:r>
            <w:r>
              <w:rPr>
                <w:rFonts w:hint="eastAsia" w:ascii="宋体" w:hAnsi="宋体" w:cs="宋体"/>
                <w:color w:val="000000"/>
                <w:szCs w:val="21"/>
                <w:lang w:val="en-US" w:eastAsia="zh-CN"/>
              </w:rPr>
              <w:t>有建筑类</w:t>
            </w:r>
            <w:r>
              <w:rPr>
                <w:rFonts w:hint="eastAsia" w:ascii="宋体" w:hAnsi="宋体" w:eastAsia="宋体" w:cs="宋体"/>
                <w:szCs w:val="21"/>
              </w:rPr>
              <w:t>高级工程师（含副高）职称证书的，每人得</w:t>
            </w:r>
            <w:r>
              <w:rPr>
                <w:rFonts w:hint="eastAsia" w:ascii="宋体" w:hAnsi="宋体" w:eastAsia="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val="en-US" w:eastAsia="zh-CN"/>
              </w:rPr>
              <w:t>此项</w:t>
            </w:r>
            <w:r>
              <w:rPr>
                <w:rFonts w:hint="eastAsia" w:ascii="宋体" w:hAnsi="宋体" w:eastAsia="宋体" w:cs="宋体"/>
                <w:szCs w:val="21"/>
              </w:rPr>
              <w:t>最多得</w:t>
            </w:r>
            <w:r>
              <w:rPr>
                <w:rFonts w:hint="eastAsia" w:ascii="宋体" w:hAnsi="宋体" w:eastAsia="宋体" w:cs="宋体"/>
                <w:szCs w:val="21"/>
                <w:lang w:val="en-US" w:eastAsia="zh-CN"/>
              </w:rPr>
              <w:t>6</w:t>
            </w:r>
            <w:r>
              <w:rPr>
                <w:rFonts w:hint="eastAsia" w:ascii="宋体" w:hAnsi="宋体" w:eastAsia="宋体" w:cs="宋体"/>
                <w:szCs w:val="21"/>
              </w:rPr>
              <w:t>分；</w:t>
            </w:r>
          </w:p>
          <w:p>
            <w:pPr>
              <w:spacing w:line="0" w:lineRule="atLeast"/>
              <w:rPr>
                <w:rFonts w:hint="eastAsia" w:ascii="宋体" w:hAnsi="宋体" w:eastAsia="宋体" w:cs="宋体"/>
                <w:color w:val="000000"/>
                <w:szCs w:val="21"/>
                <w:lang w:eastAsia="zh-CN"/>
              </w:rPr>
            </w:pPr>
            <w:r>
              <w:rPr>
                <w:rFonts w:hint="eastAsia" w:ascii="宋体" w:hAnsi="宋体" w:cs="宋体"/>
                <w:color w:val="000000"/>
                <w:szCs w:val="21"/>
              </w:rPr>
              <w:t>2.具</w:t>
            </w:r>
            <w:r>
              <w:rPr>
                <w:rFonts w:hint="eastAsia" w:ascii="宋体" w:hAnsi="宋体" w:cs="宋体"/>
                <w:color w:val="000000"/>
                <w:szCs w:val="21"/>
                <w:lang w:val="en-US" w:eastAsia="zh-CN"/>
              </w:rPr>
              <w:t>有建筑类</w:t>
            </w:r>
            <w:r>
              <w:rPr>
                <w:rFonts w:hint="eastAsia" w:ascii="宋体" w:hAnsi="宋体" w:eastAsia="宋体" w:cs="宋体"/>
                <w:szCs w:val="21"/>
                <w:lang w:val="en-US" w:eastAsia="zh-CN"/>
              </w:rPr>
              <w:t>中级</w:t>
            </w:r>
            <w:r>
              <w:rPr>
                <w:rFonts w:hint="eastAsia" w:ascii="宋体" w:hAnsi="宋体" w:eastAsia="宋体" w:cs="宋体"/>
                <w:szCs w:val="21"/>
              </w:rPr>
              <w:t>职称证书的，每人得</w:t>
            </w:r>
            <w:r>
              <w:rPr>
                <w:rFonts w:hint="eastAsia" w:ascii="宋体" w:hAnsi="宋体" w:eastAsia="宋体" w:cs="宋体"/>
                <w:szCs w:val="21"/>
                <w:lang w:val="en-US" w:eastAsia="zh-CN"/>
              </w:rPr>
              <w:t>2</w:t>
            </w:r>
            <w:r>
              <w:rPr>
                <w:rFonts w:hint="eastAsia" w:ascii="宋体" w:hAnsi="宋体" w:eastAsia="宋体" w:cs="宋体"/>
                <w:szCs w:val="21"/>
              </w:rPr>
              <w:t>分，</w:t>
            </w:r>
            <w:r>
              <w:rPr>
                <w:rFonts w:hint="eastAsia" w:ascii="宋体" w:hAnsi="宋体" w:eastAsia="宋体" w:cs="宋体"/>
                <w:szCs w:val="21"/>
                <w:lang w:val="en-US" w:eastAsia="zh-CN"/>
              </w:rPr>
              <w:t>此项</w:t>
            </w:r>
            <w:r>
              <w:rPr>
                <w:rFonts w:hint="eastAsia" w:ascii="宋体" w:hAnsi="宋体" w:eastAsia="宋体" w:cs="宋体"/>
                <w:szCs w:val="21"/>
              </w:rPr>
              <w:t>最多得</w:t>
            </w:r>
            <w:r>
              <w:rPr>
                <w:rFonts w:hint="eastAsia" w:ascii="宋体" w:hAnsi="宋体" w:eastAsia="宋体" w:cs="宋体"/>
                <w:szCs w:val="21"/>
                <w:lang w:val="en-US" w:eastAsia="zh-CN"/>
              </w:rPr>
              <w:t>6</w:t>
            </w:r>
            <w:r>
              <w:rPr>
                <w:rFonts w:hint="eastAsia" w:ascii="宋体" w:hAnsi="宋体" w:eastAsia="宋体" w:cs="宋体"/>
                <w:szCs w:val="21"/>
              </w:rPr>
              <w:t>分</w:t>
            </w:r>
            <w:r>
              <w:rPr>
                <w:rFonts w:hint="eastAsia" w:ascii="宋体" w:hAnsi="宋体" w:eastAsia="宋体" w:cs="宋体"/>
                <w:szCs w:val="21"/>
                <w:lang w:eastAsia="zh-CN"/>
              </w:rPr>
              <w:t>。</w:t>
            </w:r>
          </w:p>
          <w:p>
            <w:pPr>
              <w:spacing w:line="0" w:lineRule="atLeast"/>
              <w:rPr>
                <w:rFonts w:ascii="宋体" w:hAnsi="宋体" w:cs="宋体"/>
                <w:color w:val="000000"/>
                <w:szCs w:val="21"/>
              </w:rPr>
            </w:pPr>
            <w:r>
              <w:rPr>
                <w:rFonts w:hint="eastAsia" w:ascii="宋体" w:hAnsi="宋体" w:cs="宋体"/>
                <w:color w:val="000000"/>
                <w:szCs w:val="21"/>
              </w:rPr>
              <w:t>注：单个成员拥有多个职称的，只按1个职称计分，不重复计分，以上累加计分，满分</w:t>
            </w:r>
            <w:r>
              <w:rPr>
                <w:rFonts w:hint="eastAsia" w:ascii="宋体" w:hAnsi="宋体" w:cs="宋体"/>
                <w:color w:val="000000"/>
                <w:szCs w:val="21"/>
                <w:lang w:val="en-US" w:eastAsia="zh-CN"/>
              </w:rPr>
              <w:t>12</w:t>
            </w:r>
            <w:r>
              <w:rPr>
                <w:rFonts w:hint="eastAsia" w:ascii="宋体" w:hAnsi="宋体" w:cs="宋体"/>
                <w:color w:val="000000"/>
                <w:szCs w:val="21"/>
              </w:rPr>
              <w:t>分。</w:t>
            </w:r>
          </w:p>
        </w:tc>
        <w:tc>
          <w:tcPr>
            <w:tcW w:w="1659" w:type="pct"/>
            <w:vAlign w:val="center"/>
          </w:tcPr>
          <w:p>
            <w:pPr>
              <w:pStyle w:val="2"/>
              <w:keepNext w:val="0"/>
              <w:keepLines w:val="0"/>
              <w:pageBreakBefore w:val="0"/>
              <w:widowControl w:val="0"/>
              <w:kinsoku/>
              <w:wordWrap/>
              <w:overflowPunct/>
              <w:topLinePunct w:val="0"/>
              <w:autoSpaceDE/>
              <w:autoSpaceDN/>
              <w:bidi w:val="0"/>
              <w:spacing w:line="240" w:lineRule="atLeast"/>
              <w:textAlignment w:val="auto"/>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投标人须提供项目团队成员名单列表（格式自拟）、职称证书扫描件。</w:t>
            </w:r>
          </w:p>
          <w:p>
            <w:pPr>
              <w:keepNext w:val="0"/>
              <w:keepLines w:val="0"/>
              <w:pageBreakBefore w:val="0"/>
              <w:widowControl w:val="0"/>
              <w:kinsoku/>
              <w:wordWrap/>
              <w:overflowPunct/>
              <w:topLinePunct w:val="0"/>
              <w:autoSpaceDE/>
              <w:autoSpaceDN/>
              <w:bidi w:val="0"/>
              <w:spacing w:line="240" w:lineRule="atLeast"/>
              <w:textAlignment w:val="auto"/>
              <w:rPr>
                <w:rFonts w:ascii="宋体" w:hAnsi="宋体" w:cs="宋体"/>
                <w:sz w:val="21"/>
                <w:szCs w:val="21"/>
              </w:rPr>
            </w:pPr>
            <w:r>
              <w:rPr>
                <w:rFonts w:ascii="宋体" w:hAnsi="宋体" w:cs="宋体"/>
                <w:sz w:val="21"/>
                <w:szCs w:val="21"/>
              </w:rPr>
              <w:t>2</w:t>
            </w:r>
            <w:r>
              <w:rPr>
                <w:rFonts w:hint="eastAsia" w:ascii="宋体" w:hAnsi="宋体" w:cs="宋体"/>
                <w:sz w:val="21"/>
                <w:szCs w:val="21"/>
              </w:rPr>
              <w:t>.同时提供投标人为以上人员缴交的近6个月的社保证明材料扫描件（社保资料须至少显示缴交养老保险信息，未显示该信息的该社保资料则不符合要求）。如开标日上一个月的社保材料因社保部门原因暂时无法取得，则可以往前顺延一个月，如为成立不足六个月新成立的企业，可提供加盖公章的情况说明及成立之日起至投标截止之日的社保清单。</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宋体" w:hAnsi="宋体" w:cs="宋体"/>
                <w:szCs w:val="21"/>
              </w:rPr>
            </w:pPr>
            <w:r>
              <w:rPr>
                <w:rFonts w:ascii="宋体" w:hAnsi="宋体" w:cs="宋体"/>
                <w:sz w:val="21"/>
                <w:szCs w:val="21"/>
              </w:rPr>
              <w:t>3</w:t>
            </w:r>
            <w:r>
              <w:rPr>
                <w:rFonts w:hint="eastAsia" w:ascii="宋体" w:hAnsi="宋体" w:cs="宋体"/>
                <w:sz w:val="21"/>
                <w:szCs w:val="21"/>
              </w:rPr>
              <w:t>.以上资料原件备查，未按要求提供或提供不清晰导致评委无法判断的不得分。</w:t>
            </w:r>
          </w:p>
        </w:tc>
        <w:tc>
          <w:tcPr>
            <w:tcW w:w="559" w:type="pct"/>
            <w:vAlign w:val="center"/>
          </w:tcPr>
          <w:p>
            <w:pPr>
              <w:widowControl/>
              <w:adjustRightInd w:val="0"/>
              <w:snapToGrid w:val="0"/>
              <w:spacing w:line="0" w:lineRule="atLeast"/>
              <w:jc w:val="center"/>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jc w:val="center"/>
        </w:trPr>
        <w:tc>
          <w:tcPr>
            <w:tcW w:w="270" w:type="pct"/>
            <w:vAlign w:val="center"/>
          </w:tcPr>
          <w:p>
            <w:pPr>
              <w:widowControl/>
              <w:adjustRightInd w:val="0"/>
              <w:snapToGrid w:val="0"/>
              <w:spacing w:line="0" w:lineRule="atLeast"/>
              <w:jc w:val="cente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5</w:t>
            </w:r>
          </w:p>
        </w:tc>
        <w:tc>
          <w:tcPr>
            <w:tcW w:w="407" w:type="pct"/>
            <w:vAlign w:val="center"/>
          </w:tcPr>
          <w:p>
            <w:pPr>
              <w:spacing w:line="0" w:lineRule="atLeast"/>
              <w:jc w:val="center"/>
              <w:rPr>
                <w:rFonts w:ascii="宋体" w:hAnsi="宋体" w:cs="宋体"/>
                <w:color w:val="000000"/>
                <w:szCs w:val="21"/>
              </w:rPr>
            </w:pPr>
            <w:r>
              <w:rPr>
                <w:rFonts w:hint="eastAsia" w:ascii="宋体" w:hAnsi="宋体" w:cs="宋体"/>
                <w:color w:val="000000"/>
                <w:szCs w:val="21"/>
              </w:rPr>
              <w:t>服务方案情况</w:t>
            </w:r>
          </w:p>
        </w:tc>
        <w:tc>
          <w:tcPr>
            <w:tcW w:w="2103" w:type="pct"/>
            <w:vAlign w:val="center"/>
          </w:tcPr>
          <w:p>
            <w:pPr>
              <w:spacing w:line="0" w:lineRule="atLeast"/>
              <w:rPr>
                <w:rFonts w:hint="eastAsia" w:ascii="宋体" w:hAnsi="宋体" w:eastAsiaTheme="minorEastAsia"/>
                <w:color w:val="000000"/>
                <w:szCs w:val="21"/>
                <w:lang w:eastAsia="zh-CN"/>
              </w:rPr>
            </w:pPr>
            <w:r>
              <w:rPr>
                <w:rFonts w:hint="eastAsia" w:ascii="宋体" w:hAnsi="宋体"/>
                <w:color w:val="000000"/>
                <w:szCs w:val="21"/>
              </w:rPr>
              <w:t>根据项目实际情况，从</w:t>
            </w:r>
            <w:r>
              <w:rPr>
                <w:rFonts w:hint="eastAsia"/>
                <w:szCs w:val="21"/>
              </w:rPr>
              <w:t>项目服务建议</w:t>
            </w:r>
            <w:r>
              <w:rPr>
                <w:rFonts w:hint="eastAsia"/>
                <w:szCs w:val="21"/>
                <w:lang w:eastAsia="zh-CN"/>
              </w:rPr>
              <w:t>、</w:t>
            </w:r>
            <w:r>
              <w:rPr>
                <w:rFonts w:hint="eastAsia" w:ascii="宋体" w:hAnsi="宋体" w:cs="宋体"/>
                <w:szCs w:val="21"/>
              </w:rPr>
              <w:t>项目咨询服务实施流程</w:t>
            </w:r>
            <w:r>
              <w:rPr>
                <w:rFonts w:hint="eastAsia" w:ascii="宋体" w:hAnsi="宋体" w:cs="宋体"/>
                <w:szCs w:val="21"/>
                <w:lang w:eastAsia="zh-CN"/>
              </w:rPr>
              <w:t>、</w:t>
            </w:r>
            <w:r>
              <w:rPr>
                <w:szCs w:val="21"/>
              </w:rPr>
              <w:t>质量（完成时间、安全、环保）保障措施及方案</w:t>
            </w:r>
            <w:r>
              <w:rPr>
                <w:rFonts w:hint="eastAsia"/>
                <w:szCs w:val="21"/>
                <w:lang w:eastAsia="zh-CN"/>
              </w:rPr>
              <w:t>、</w:t>
            </w:r>
            <w:r>
              <w:rPr>
                <w:rFonts w:hint="eastAsia"/>
                <w:szCs w:val="21"/>
              </w:rPr>
              <w:t>项目资源配置</w:t>
            </w:r>
            <w:r>
              <w:rPr>
                <w:rFonts w:hint="eastAsia"/>
                <w:szCs w:val="21"/>
                <w:lang w:eastAsia="zh-CN"/>
              </w:rPr>
              <w:t>、</w:t>
            </w:r>
            <w:r>
              <w:rPr>
                <w:rFonts w:hint="eastAsia"/>
                <w:szCs w:val="21"/>
              </w:rPr>
              <w:t>项目分析与应对</w:t>
            </w:r>
          </w:p>
          <w:p>
            <w:pPr>
              <w:spacing w:line="0" w:lineRule="atLeast"/>
              <w:rPr>
                <w:rFonts w:ascii="宋体" w:hAnsi="宋体" w:cs="宋体"/>
                <w:color w:val="000000"/>
                <w:szCs w:val="21"/>
              </w:rPr>
            </w:pPr>
            <w:r>
              <w:rPr>
                <w:rFonts w:hint="eastAsia" w:ascii="宋体" w:hAnsi="宋体"/>
                <w:color w:val="000000"/>
                <w:szCs w:val="21"/>
              </w:rPr>
              <w:t>等方面</w:t>
            </w:r>
            <w:r>
              <w:rPr>
                <w:rFonts w:hint="eastAsia" w:ascii="宋体" w:hAnsi="宋体" w:cs="宋体"/>
                <w:color w:val="000000"/>
                <w:szCs w:val="21"/>
                <w:lang w:eastAsia="zh-CN"/>
              </w:rPr>
              <w:t>，</w:t>
            </w:r>
            <w:r>
              <w:rPr>
                <w:rFonts w:hint="eastAsia" w:ascii="宋体" w:hAnsi="宋体" w:cs="宋体"/>
                <w:color w:val="000000"/>
                <w:szCs w:val="21"/>
              </w:rPr>
              <w:t>进行横向比较评分：</w:t>
            </w:r>
          </w:p>
          <w:p>
            <w:pPr>
              <w:spacing w:line="0" w:lineRule="atLeast"/>
              <w:rPr>
                <w:rFonts w:ascii="宋体" w:hAnsi="宋体" w:cs="宋体"/>
                <w:color w:val="000000"/>
                <w:szCs w:val="21"/>
              </w:rPr>
            </w:pPr>
            <w:r>
              <w:rPr>
                <w:rFonts w:hint="eastAsia" w:ascii="宋体" w:hAnsi="宋体" w:cs="宋体"/>
                <w:color w:val="000000"/>
                <w:szCs w:val="21"/>
              </w:rPr>
              <w:t>优得</w:t>
            </w:r>
            <w:r>
              <w:rPr>
                <w:rFonts w:hint="eastAsia" w:ascii="宋体" w:hAnsi="宋体" w:cs="宋体"/>
                <w:color w:val="000000"/>
                <w:szCs w:val="21"/>
                <w:lang w:val="en-US" w:eastAsia="zh-CN"/>
              </w:rPr>
              <w:t>25</w:t>
            </w:r>
            <w:r>
              <w:rPr>
                <w:rFonts w:hint="eastAsia" w:ascii="宋体" w:hAnsi="宋体" w:cs="宋体"/>
                <w:color w:val="000000"/>
                <w:szCs w:val="21"/>
              </w:rPr>
              <w:t>-</w:t>
            </w:r>
            <w:r>
              <w:rPr>
                <w:rFonts w:hint="eastAsia" w:ascii="宋体" w:hAnsi="宋体" w:cs="宋体"/>
                <w:color w:val="000000"/>
                <w:szCs w:val="21"/>
                <w:lang w:val="en-US" w:eastAsia="zh-CN"/>
              </w:rPr>
              <w:t>35</w:t>
            </w:r>
            <w:r>
              <w:rPr>
                <w:rFonts w:hint="eastAsia" w:ascii="宋体" w:hAnsi="宋体" w:cs="宋体"/>
                <w:color w:val="000000"/>
                <w:szCs w:val="21"/>
              </w:rPr>
              <w:t>分、中得</w:t>
            </w:r>
            <w:r>
              <w:rPr>
                <w:rFonts w:hint="eastAsia" w:ascii="宋体" w:hAnsi="宋体" w:cs="宋体"/>
                <w:color w:val="000000"/>
                <w:szCs w:val="21"/>
                <w:lang w:val="en-US" w:eastAsia="zh-CN"/>
              </w:rPr>
              <w:t>15</w:t>
            </w:r>
            <w:r>
              <w:rPr>
                <w:rFonts w:hint="eastAsia" w:ascii="宋体" w:hAnsi="宋体" w:cs="宋体"/>
                <w:color w:val="000000"/>
                <w:szCs w:val="21"/>
              </w:rPr>
              <w:t>-</w:t>
            </w:r>
            <w:r>
              <w:rPr>
                <w:rFonts w:hint="eastAsia" w:ascii="宋体" w:hAnsi="宋体" w:cs="宋体"/>
                <w:color w:val="000000"/>
                <w:szCs w:val="21"/>
                <w:lang w:val="en-US" w:eastAsia="zh-CN"/>
              </w:rPr>
              <w:t>25</w:t>
            </w:r>
            <w:r>
              <w:rPr>
                <w:rFonts w:hint="eastAsia" w:ascii="宋体" w:hAnsi="宋体" w:cs="宋体"/>
                <w:color w:val="000000"/>
                <w:szCs w:val="21"/>
              </w:rPr>
              <w:t>分、差得</w:t>
            </w:r>
            <w:r>
              <w:rPr>
                <w:rFonts w:hint="eastAsia" w:ascii="宋体" w:hAnsi="宋体" w:cs="宋体"/>
                <w:color w:val="000000"/>
                <w:szCs w:val="21"/>
                <w:lang w:val="en-US" w:eastAsia="zh-CN"/>
              </w:rPr>
              <w:t>0</w:t>
            </w:r>
            <w:r>
              <w:rPr>
                <w:rFonts w:hint="eastAsia" w:ascii="宋体" w:hAnsi="宋体" w:cs="宋体"/>
                <w:color w:val="000000"/>
                <w:szCs w:val="21"/>
              </w:rPr>
              <w:t>-</w:t>
            </w:r>
            <w:r>
              <w:rPr>
                <w:rFonts w:hint="eastAsia" w:ascii="宋体" w:hAnsi="宋体" w:cs="宋体"/>
                <w:color w:val="000000"/>
                <w:szCs w:val="21"/>
                <w:lang w:val="en-US" w:eastAsia="zh-CN"/>
              </w:rPr>
              <w:t>15</w:t>
            </w:r>
            <w:r>
              <w:rPr>
                <w:rFonts w:hint="eastAsia" w:ascii="宋体" w:hAnsi="宋体" w:cs="宋体"/>
                <w:color w:val="000000"/>
                <w:szCs w:val="21"/>
              </w:rPr>
              <w:t>分</w:t>
            </w:r>
            <w:r>
              <w:rPr>
                <w:rFonts w:hint="eastAsia" w:ascii="宋体" w:hAnsi="宋体" w:cs="宋体"/>
                <w:color w:val="000000"/>
                <w:szCs w:val="21"/>
                <w:lang w:eastAsia="zh-CN"/>
              </w:rPr>
              <w:t>。</w:t>
            </w:r>
          </w:p>
        </w:tc>
        <w:tc>
          <w:tcPr>
            <w:tcW w:w="1659" w:type="pct"/>
            <w:vAlign w:val="center"/>
          </w:tcPr>
          <w:p>
            <w:pPr>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提供服务方案，并加盖</w:t>
            </w:r>
            <w:r>
              <w:rPr>
                <w:rFonts w:hint="eastAsia" w:ascii="宋体" w:hAnsi="宋体" w:cs="宋体"/>
                <w:color w:val="000000"/>
                <w:szCs w:val="21"/>
                <w:lang w:val="en-US" w:eastAsia="zh-CN"/>
              </w:rPr>
              <w:t>公</w:t>
            </w:r>
            <w:r>
              <w:rPr>
                <w:rFonts w:hint="eastAsia" w:ascii="宋体" w:hAnsi="宋体" w:cs="宋体"/>
                <w:color w:val="000000"/>
                <w:szCs w:val="21"/>
              </w:rPr>
              <w:t>章</w:t>
            </w:r>
          </w:p>
        </w:tc>
        <w:tc>
          <w:tcPr>
            <w:tcW w:w="559" w:type="pct"/>
            <w:vAlign w:val="center"/>
          </w:tcPr>
          <w:p>
            <w:pPr>
              <w:spacing w:line="0" w:lineRule="atLeast"/>
              <w:jc w:val="center"/>
              <w:rPr>
                <w:rFonts w:ascii="宋体" w:hAnsi="宋体" w:cs="宋体"/>
                <w:color w:val="000000"/>
                <w:szCs w:val="21"/>
              </w:rPr>
            </w:pPr>
            <w:r>
              <w:rPr>
                <w:rFonts w:hint="eastAsia" w:ascii="宋体" w:hAnsi="宋体" w:cs="宋体"/>
                <w:color w:val="000000"/>
                <w:szCs w:val="21"/>
                <w:lang w:val="en-US" w:eastAsia="zh-CN"/>
              </w:rPr>
              <w:t>35</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270" w:type="pct"/>
            <w:vAlign w:val="center"/>
          </w:tcPr>
          <w:p>
            <w:pPr>
              <w:widowControl/>
              <w:adjustRightInd w:val="0"/>
              <w:snapToGrid w:val="0"/>
              <w:spacing w:line="0" w:lineRule="atLeast"/>
              <w:jc w:val="cente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6</w:t>
            </w:r>
          </w:p>
        </w:tc>
        <w:tc>
          <w:tcPr>
            <w:tcW w:w="407" w:type="pct"/>
            <w:vAlign w:val="center"/>
          </w:tcPr>
          <w:p>
            <w:pPr>
              <w:spacing w:line="0" w:lineRule="atLeast"/>
              <w:jc w:val="center"/>
              <w:rPr>
                <w:rFonts w:ascii="宋体" w:hAnsi="宋体" w:cs="宋体"/>
                <w:color w:val="000000"/>
                <w:szCs w:val="21"/>
              </w:rPr>
            </w:pPr>
            <w:r>
              <w:rPr>
                <w:rFonts w:hint="eastAsia" w:ascii="宋体" w:hAnsi="宋体" w:cs="宋体"/>
                <w:color w:val="000000"/>
                <w:szCs w:val="21"/>
              </w:rPr>
              <w:t>报价</w:t>
            </w:r>
          </w:p>
          <w:p>
            <w:pPr>
              <w:spacing w:line="0" w:lineRule="atLeast"/>
              <w:jc w:val="center"/>
              <w:rPr>
                <w:rFonts w:ascii="宋体" w:hAnsi="宋体" w:cs="宋体"/>
                <w:color w:val="000000"/>
                <w:szCs w:val="21"/>
              </w:rPr>
            </w:pPr>
            <w:r>
              <w:rPr>
                <w:rFonts w:hint="eastAsia" w:ascii="宋体" w:hAnsi="宋体" w:cs="宋体"/>
                <w:color w:val="000000"/>
                <w:szCs w:val="21"/>
              </w:rPr>
              <w:t>情况</w:t>
            </w:r>
          </w:p>
        </w:tc>
        <w:tc>
          <w:tcPr>
            <w:tcW w:w="2103" w:type="pct"/>
            <w:vAlign w:val="center"/>
          </w:tcPr>
          <w:p>
            <w:pPr>
              <w:spacing w:line="0" w:lineRule="atLeast"/>
              <w:jc w:val="left"/>
              <w:rPr>
                <w:rFonts w:ascii="宋体" w:hAnsi="宋体" w:cs="宋体"/>
                <w:szCs w:val="21"/>
              </w:rPr>
            </w:pPr>
            <w:r>
              <w:rPr>
                <w:rFonts w:hint="eastAsia" w:ascii="宋体" w:hAnsi="宋体" w:cs="宋体"/>
                <w:szCs w:val="21"/>
              </w:rPr>
              <w:t>采用低价优先法计算，</w:t>
            </w:r>
            <w:r>
              <w:rPr>
                <w:rFonts w:hint="default" w:ascii="宋体" w:hAnsi="宋体" w:cs="宋体"/>
                <w:szCs w:val="21"/>
              </w:rPr>
              <w:t>三项目</w:t>
            </w:r>
            <w:r>
              <w:rPr>
                <w:rFonts w:hint="eastAsia" w:ascii="宋体" w:hAnsi="宋体" w:cs="宋体"/>
                <w:szCs w:val="21"/>
              </w:rPr>
              <w:t>投标总价最低的投标报价为评标基准价，其价格分为满分。</w:t>
            </w:r>
          </w:p>
          <w:p>
            <w:pPr>
              <w:spacing w:line="0" w:lineRule="atLeast"/>
              <w:jc w:val="left"/>
              <w:rPr>
                <w:rFonts w:ascii="宋体" w:hAnsi="宋体" w:cs="宋体"/>
                <w:szCs w:val="21"/>
              </w:rPr>
            </w:pPr>
            <w:r>
              <w:rPr>
                <w:rFonts w:hint="eastAsia" w:ascii="宋体" w:hAnsi="宋体" w:cs="宋体"/>
                <w:szCs w:val="21"/>
              </w:rPr>
              <w:t>其他投标人的价格分统一按照下列公式计算：投标报价得分=(评标基准价／投标总价)×</w:t>
            </w:r>
            <w:r>
              <w:rPr>
                <w:rFonts w:hint="default" w:ascii="宋体" w:hAnsi="宋体" w:cs="宋体"/>
                <w:szCs w:val="21"/>
              </w:rPr>
              <w:t>2</w:t>
            </w:r>
            <w:r>
              <w:rPr>
                <w:rFonts w:hint="eastAsia" w:ascii="宋体" w:hAnsi="宋体" w:cs="宋体"/>
                <w:szCs w:val="21"/>
              </w:rPr>
              <w:t>0</w:t>
            </w:r>
            <w:bookmarkStart w:id="4" w:name="_GoBack"/>
            <w:bookmarkEnd w:id="4"/>
          </w:p>
          <w:p>
            <w:pPr>
              <w:spacing w:line="0" w:lineRule="atLeast"/>
              <w:rPr>
                <w:rFonts w:ascii="宋体" w:hAnsi="宋体" w:cs="宋体"/>
                <w:color w:val="000000"/>
                <w:szCs w:val="21"/>
              </w:rPr>
            </w:pPr>
            <w:r>
              <w:rPr>
                <w:rFonts w:hint="eastAsia" w:ascii="宋体" w:hAnsi="宋体" w:cs="宋体"/>
                <w:szCs w:val="21"/>
              </w:rPr>
              <w:t>评标过程中，不去掉报价中的最高报价和最低报价。</w:t>
            </w:r>
          </w:p>
        </w:tc>
        <w:tc>
          <w:tcPr>
            <w:tcW w:w="1659" w:type="pct"/>
            <w:vAlign w:val="center"/>
          </w:tcPr>
          <w:p>
            <w:pPr>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提供响应报价，并加盖公章</w:t>
            </w:r>
          </w:p>
        </w:tc>
        <w:tc>
          <w:tcPr>
            <w:tcW w:w="559" w:type="pct"/>
            <w:vAlign w:val="center"/>
          </w:tcPr>
          <w:p>
            <w:pPr>
              <w:spacing w:line="0" w:lineRule="atLeast"/>
              <w:jc w:val="center"/>
              <w:rPr>
                <w:rFonts w:ascii="宋体" w:hAnsi="宋体" w:cs="宋体"/>
                <w:color w:val="000000"/>
                <w:szCs w:val="21"/>
              </w:rPr>
            </w:pPr>
            <w:r>
              <w:rPr>
                <w:rFonts w:hint="eastAsia" w:ascii="宋体" w:hAnsi="宋体" w:cs="宋体"/>
                <w:color w:val="000000"/>
                <w:szCs w:val="21"/>
                <w:lang w:val="en-US" w:eastAsia="zh-CN"/>
              </w:rPr>
              <w:t>20</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4440" w:type="pct"/>
            <w:gridSpan w:val="4"/>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合计</w:t>
            </w:r>
          </w:p>
        </w:tc>
        <w:tc>
          <w:tcPr>
            <w:tcW w:w="559" w:type="pct"/>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color w:val="000000"/>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4440" w:type="pct"/>
            <w:gridSpan w:val="4"/>
            <w:vAlign w:val="center"/>
          </w:tcPr>
          <w:p>
            <w:pPr>
              <w:widowControl/>
              <w:adjustRightInd w:val="0"/>
              <w:snapToGrid w:val="0"/>
              <w:spacing w:line="0" w:lineRule="atLeast"/>
              <w:jc w:val="center"/>
              <w:rPr>
                <w:rFonts w:ascii="宋体" w:hAnsi="宋体" w:cs="宋体"/>
                <w:color w:val="000000"/>
                <w:szCs w:val="21"/>
              </w:rPr>
            </w:pPr>
            <w:r>
              <w:rPr>
                <w:rFonts w:hint="eastAsia" w:ascii="宋体" w:hAnsi="宋体" w:cs="宋体"/>
                <w:b/>
                <w:bCs/>
                <w:color w:val="000000"/>
                <w:szCs w:val="21"/>
              </w:rPr>
              <w:t>拟推荐成交候选供应商（原则推荐评审综合得分最高的单位）</w:t>
            </w:r>
          </w:p>
        </w:tc>
        <w:tc>
          <w:tcPr>
            <w:tcW w:w="559" w:type="pct"/>
            <w:vAlign w:val="center"/>
          </w:tcPr>
          <w:p>
            <w:pPr>
              <w:widowControl/>
              <w:adjustRightInd w:val="0"/>
              <w:snapToGrid w:val="0"/>
              <w:spacing w:line="0" w:lineRule="atLeast"/>
              <w:jc w:val="center"/>
              <w:rPr>
                <w:rFonts w:ascii="宋体" w:hAnsi="宋体" w:cs="宋体"/>
                <w:color w:val="000000"/>
                <w:szCs w:val="21"/>
              </w:rPr>
            </w:pPr>
          </w:p>
        </w:tc>
      </w:tr>
      <w:bookmarkEnd w:id="0"/>
    </w:tbl>
    <w:p>
      <w:pPr>
        <w:ind w:firstLine="420" w:firstLineChars="200"/>
        <w:rPr>
          <w:rFonts w:ascii="黑体" w:hAnsi="黑体" w:eastAsia="黑体"/>
          <w:color w:val="000000"/>
          <w:szCs w:val="21"/>
        </w:rPr>
      </w:pPr>
      <w:r>
        <w:rPr>
          <w:rFonts w:hint="eastAsia" w:ascii="黑体" w:hAnsi="黑体" w:eastAsia="黑体"/>
          <w:color w:val="000000"/>
          <w:szCs w:val="21"/>
        </w:rPr>
        <w:t>备注：1.各项评审打分按照四舍五入，小数点后保留2位进行计算；</w:t>
      </w:r>
    </w:p>
    <w:p>
      <w:r>
        <w:rPr>
          <w:rFonts w:hint="eastAsia" w:ascii="黑体" w:hAnsi="黑体" w:eastAsia="黑体"/>
          <w:color w:val="000000"/>
          <w:szCs w:val="21"/>
        </w:rPr>
        <w:t xml:space="preserve">          2.若出现拟推荐成交候选供应商票数相同的情况，以未推荐上述单位的评审专家对并列第一的候选供应商既定打分排序作为最终选定依据。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EEF26FA"/>
    <w:rsid w:val="7DFF8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陈明明</cp:lastModifiedBy>
  <dcterms:modified xsi:type="dcterms:W3CDTF">2026-04-22T17:25:24Z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