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龙岗区电动自行车智慧防控系统项目全过程咨询服务</w:t>
      </w:r>
    </w:p>
    <w:p>
      <w:pPr>
        <w:spacing w:line="560" w:lineRule="exact"/>
        <w:jc w:val="center"/>
        <w:rPr>
          <w:rFonts w:hint="eastAsia" w:ascii="仿宋_GB2312" w:hAnsi="仿宋_GB2312" w:eastAsia="仿宋_GB2312" w:cs="仿宋_GB2312"/>
          <w:b/>
          <w:color w:val="auto"/>
          <w:sz w:val="44"/>
          <w:szCs w:val="44"/>
          <w:u w:val="none"/>
        </w:rPr>
      </w:pPr>
      <w:r>
        <w:rPr>
          <w:rFonts w:hint="eastAsia" w:ascii="仿宋_GB2312" w:hAnsi="仿宋_GB2312" w:eastAsia="仿宋_GB2312" w:cs="仿宋_GB2312"/>
          <w:kern w:val="2"/>
          <w:sz w:val="32"/>
          <w:szCs w:val="36"/>
          <w:u w:val="none"/>
          <w:lang w:val="en-US" w:eastAsia="zh-CN" w:bidi="ar-SA"/>
        </w:rPr>
        <w:t>自行采购结果公告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19"/>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val="en-US" w:eastAsia="zh-CN" w:bidi="ar-SA"/>
              </w:rPr>
              <w:t>本单位</w:t>
            </w:r>
            <w:r>
              <w:rPr>
                <w:rFonts w:hint="eastAsia" w:ascii="仿宋_GB2312" w:hAnsi="仿宋_GB2312" w:eastAsia="仿宋_GB2312" w:cs="仿宋_GB2312"/>
                <w:kern w:val="2"/>
                <w:sz w:val="24"/>
                <w:szCs w:val="28"/>
                <w:u w:val="none"/>
                <w:lang w:val="en-US" w:eastAsia="zh-CN" w:bidi="ar-SA"/>
              </w:rPr>
              <w:t>“龙岗区电动自行车智慧防控系统项目全过程咨询服务”有关情况向社会公告: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采购项目名称：龙岗区电动自行车智慧防控系统项目全过程咨询服务</w:t>
            </w:r>
          </w:p>
          <w:p>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项目预算金额：18310</w:t>
            </w:r>
            <w:r>
              <w:rPr>
                <w:rFonts w:hint="default" w:ascii="仿宋_GB2312" w:hAnsi="仿宋_GB2312" w:eastAsia="仿宋_GB2312" w:cs="仿宋_GB2312"/>
                <w:kern w:val="2"/>
                <w:sz w:val="24"/>
                <w:szCs w:val="28"/>
                <w:u w:val="none"/>
                <w:lang w:val="en-US" w:eastAsia="zh-CN" w:bidi="ar-SA"/>
              </w:rPr>
              <w:t>0</w:t>
            </w:r>
            <w:r>
              <w:rPr>
                <w:rFonts w:hint="eastAsia" w:ascii="仿宋_GB2312" w:hAnsi="仿宋_GB2312" w:eastAsia="仿宋_GB2312" w:cs="仿宋_GB2312"/>
                <w:kern w:val="2"/>
                <w:sz w:val="24"/>
                <w:szCs w:val="28"/>
                <w:u w:val="none"/>
                <w:lang w:val="en-US" w:eastAsia="zh-CN" w:bidi="ar-SA"/>
              </w:rPr>
              <w:t>元（中标价为合同暂定价，实际支付金额以结算为准）。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w:t>
            </w:r>
            <w:r>
              <w:rPr>
                <w:rFonts w:hint="default" w:ascii="仿宋_GB2312" w:hAnsi="仿宋_GB2312" w:eastAsia="仿宋_GB2312" w:cs="仿宋_GB2312"/>
                <w:kern w:val="2"/>
                <w:sz w:val="24"/>
                <w:szCs w:val="28"/>
                <w:u w:val="none"/>
                <w:lang w:val="en-US" w:eastAsia="zh-CN" w:bidi="ar-SA"/>
              </w:rPr>
              <w:t>为龙岗区应急管理局电动自行车智慧</w:t>
            </w:r>
            <w:r>
              <w:rPr>
                <w:rFonts w:hint="eastAsia" w:ascii="仿宋_GB2312" w:hAnsi="仿宋_GB2312" w:eastAsia="仿宋_GB2312" w:cs="仿宋_GB2312"/>
                <w:kern w:val="2"/>
                <w:sz w:val="24"/>
                <w:szCs w:val="28"/>
                <w:u w:val="none"/>
                <w:lang w:val="en-US" w:eastAsia="zh-CN" w:bidi="ar-SA"/>
              </w:rPr>
              <w:t>防控系统项目采购全过程咨询服务，服务内容包括：工程监理、网络安全等级保护测评服务、商用密码应用评估服务、第三方验收测评服务。</w:t>
            </w:r>
          </w:p>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ascii="仿宋_GB2312" w:hAnsi="仿宋_GB2312" w:eastAsia="仿宋_GB2312" w:cs="仿宋_GB2312"/>
                <w:kern w:val="2"/>
                <w:sz w:val="24"/>
                <w:szCs w:val="28"/>
                <w:u w:val="none"/>
                <w:lang w:val="en-US" w:eastAsia="zh-CN" w:bidi="ar-SA"/>
              </w:rPr>
              <w:t>为保障龙岗区电动自行车智慧防控系统项目建设的合法合规、质量可控、投资合理、落地有效，规范项目建设全生命周期管理。服务方按照项目建设目标要求，遵循国家、省、市信息系统项目建设和监理的标准和规范，依据项目建设合同和建设需求，采用先进、科学、合理的适合本项目特点的项目管理技巧和手段，对项目实施全过程咨询服务。服务方通过整合项目监理、第三方测评等专业技术支撑，实现对项目的各个阶段及各个层面进行全方位管理与协调。对工程项目质量、进度和支付及变更等进行全面控制。对项目建设合同的执行、项目建设文件资料等进行管理，确保项目从立项到验收的全流程闭环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成交供应商名称：深圳市艾泰克工程咨询有限公司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项目成交金额：176,600元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highlight w:val="none"/>
                <w:u w:val="none"/>
                <w:lang w:val="en-US" w:eastAsia="zh-CN" w:bidi="ar-SA"/>
              </w:rPr>
            </w:pPr>
            <w:r>
              <w:rPr>
                <w:rFonts w:hint="eastAsia" w:ascii="仿宋_GB2312" w:hAnsi="仿宋_GB2312" w:eastAsia="仿宋_GB2312" w:cs="仿宋_GB2312"/>
                <w:kern w:val="2"/>
                <w:sz w:val="24"/>
                <w:szCs w:val="28"/>
                <w:highlight w:val="none"/>
                <w:u w:val="none"/>
                <w:lang w:val="en-US" w:eastAsia="zh-CN" w:bidi="ar-SA"/>
              </w:rPr>
              <w:t>中标产品（服务）说明：</w:t>
            </w:r>
          </w:p>
          <w:p>
            <w:pPr>
              <w:keepNext w:val="0"/>
              <w:keepLines w:val="0"/>
              <w:pageBreakBefore w:val="0"/>
              <w:widowControl w:val="0"/>
              <w:numPr>
                <w:ilvl w:val="0"/>
                <w:numId w:val="2"/>
              </w:numPr>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highlight w:val="none"/>
                <w:u w:val="none"/>
                <w:lang w:val="en-US" w:eastAsia="zh-CN" w:bidi="ar-SA"/>
              </w:rPr>
            </w:pPr>
            <w:r>
              <w:rPr>
                <w:rFonts w:hint="eastAsia" w:ascii="仿宋_GB2312" w:hAnsi="仿宋_GB2312" w:eastAsia="仿宋_GB2312" w:cs="仿宋_GB2312"/>
                <w:kern w:val="2"/>
                <w:sz w:val="24"/>
                <w:szCs w:val="28"/>
                <w:highlight w:val="none"/>
                <w:u w:val="none"/>
                <w:lang w:val="en-US" w:eastAsia="zh-CN" w:bidi="ar-SA"/>
              </w:rPr>
              <w:t>监理质量控制措施及方案：</w:t>
            </w:r>
          </w:p>
          <w:p>
            <w:pPr>
              <w:pStyle w:val="5"/>
              <w:numPr>
                <w:ilvl w:val="0"/>
                <w:numId w:val="3"/>
              </w:numPr>
              <w:ind w:leftChars="0"/>
              <w:rPr>
                <w:rFonts w:hint="eastAsia" w:ascii="仿宋_GB2312" w:hAnsi="仿宋_GB2312" w:eastAsia="仿宋_GB2312" w:cs="仿宋_GB2312"/>
                <w:bCs w:val="0"/>
                <w:kern w:val="2"/>
                <w:sz w:val="24"/>
                <w:szCs w:val="28"/>
                <w:highlight w:val="none"/>
                <w:u w:val="none"/>
                <w:lang w:val="en-US" w:eastAsia="zh-CN" w:bidi="ar-SA"/>
              </w:rPr>
            </w:pPr>
            <w:bookmarkStart w:id="0" w:name="_Toc29896"/>
            <w:bookmarkStart w:id="1" w:name="_Toc23504"/>
            <w:bookmarkStart w:id="2" w:name="_Toc31868"/>
            <w:bookmarkStart w:id="3" w:name="_Toc905"/>
            <w:r>
              <w:rPr>
                <w:rFonts w:hint="eastAsia" w:ascii="仿宋_GB2312" w:hAnsi="仿宋_GB2312" w:eastAsia="仿宋_GB2312" w:cs="仿宋_GB2312"/>
                <w:bCs w:val="0"/>
                <w:kern w:val="2"/>
                <w:sz w:val="24"/>
                <w:szCs w:val="28"/>
                <w:highlight w:val="none"/>
                <w:u w:val="none"/>
                <w:lang w:val="en-US" w:eastAsia="zh-CN" w:bidi="ar-SA"/>
              </w:rPr>
              <w:t>分项目阶段时间安排、工作进度与阶段性成果</w:t>
            </w:r>
            <w:bookmarkEnd w:id="0"/>
            <w:bookmarkEnd w:id="1"/>
            <w:bookmarkEnd w:id="2"/>
            <w:bookmarkEnd w:id="3"/>
          </w:p>
          <w:p>
            <w:pPr>
              <w:pStyle w:val="6"/>
              <w:numPr>
                <w:ilvl w:val="3"/>
                <w:numId w:val="0"/>
              </w:numPr>
              <w:ind w:leftChars="0"/>
              <w:rPr>
                <w:rFonts w:hint="eastAsia" w:ascii="仿宋_GB2312" w:hAnsi="仿宋_GB2312" w:eastAsia="仿宋_GB2312" w:cs="仿宋_GB2312"/>
                <w:bCs w:val="0"/>
                <w:kern w:val="2"/>
                <w:sz w:val="24"/>
                <w:szCs w:val="28"/>
                <w:highlight w:val="none"/>
                <w:u w:val="none"/>
                <w:lang w:val="en-US" w:eastAsia="zh-CN" w:bidi="ar-SA"/>
              </w:rPr>
            </w:pPr>
            <w:r>
              <w:rPr>
                <w:rFonts w:hint="eastAsia" w:ascii="仿宋_GB2312" w:hAnsi="仿宋_GB2312" w:eastAsia="仿宋_GB2312" w:cs="仿宋_GB2312"/>
                <w:bCs w:val="0"/>
                <w:kern w:val="2"/>
                <w:sz w:val="24"/>
                <w:szCs w:val="28"/>
                <w:highlight w:val="none"/>
                <w:u w:val="none"/>
                <w:lang w:val="en-US" w:eastAsia="zh-CN" w:bidi="ar-SA"/>
              </w:rPr>
              <w:t>（1）建立质量进度保障组</w:t>
            </w:r>
          </w:p>
          <w:p>
            <w:pPr>
              <w:pStyle w:val="6"/>
              <w:numPr>
                <w:ilvl w:val="3"/>
                <w:numId w:val="0"/>
              </w:numPr>
              <w:ind w:leftChars="0"/>
              <w:rPr>
                <w:rFonts w:hint="eastAsia" w:ascii="仿宋_GB2312" w:hAnsi="仿宋_GB2312" w:eastAsia="仿宋_GB2312" w:cs="仿宋_GB2312"/>
                <w:bCs w:val="0"/>
                <w:kern w:val="2"/>
                <w:sz w:val="24"/>
                <w:szCs w:val="28"/>
                <w:highlight w:val="none"/>
                <w:u w:val="none"/>
                <w:lang w:val="en-US" w:eastAsia="zh-CN" w:bidi="ar-SA"/>
              </w:rPr>
            </w:pPr>
            <w:bookmarkStart w:id="4" w:name="_Toc22702"/>
            <w:bookmarkStart w:id="5" w:name="_Toc31380"/>
            <w:bookmarkStart w:id="6" w:name="_Toc32397"/>
            <w:r>
              <w:rPr>
                <w:rFonts w:hint="eastAsia" w:ascii="仿宋_GB2312" w:hAnsi="仿宋_GB2312" w:eastAsia="仿宋_GB2312" w:cs="仿宋_GB2312"/>
                <w:bCs w:val="0"/>
                <w:kern w:val="2"/>
                <w:sz w:val="24"/>
                <w:szCs w:val="28"/>
                <w:highlight w:val="none"/>
                <w:u w:val="none"/>
                <w:lang w:val="en-US" w:eastAsia="zh-CN" w:bidi="ar-SA"/>
              </w:rPr>
              <w:t>（2）严格软件测试管理</w:t>
            </w:r>
            <w:bookmarkEnd w:id="4"/>
            <w:bookmarkEnd w:id="5"/>
            <w:bookmarkEnd w:id="6"/>
          </w:p>
          <w:p>
            <w:pPr>
              <w:pStyle w:val="6"/>
              <w:numPr>
                <w:ilvl w:val="3"/>
                <w:numId w:val="0"/>
              </w:numPr>
              <w:ind w:leftChars="0"/>
              <w:rPr>
                <w:rFonts w:hint="eastAsia" w:ascii="仿宋_GB2312" w:hAnsi="仿宋_GB2312" w:eastAsia="仿宋_GB2312" w:cs="仿宋_GB2312"/>
                <w:bCs w:val="0"/>
                <w:kern w:val="2"/>
                <w:sz w:val="24"/>
                <w:szCs w:val="28"/>
                <w:highlight w:val="none"/>
                <w:u w:val="none"/>
                <w:lang w:val="en-US" w:eastAsia="zh-CN" w:bidi="ar-SA"/>
              </w:rPr>
            </w:pPr>
            <w:r>
              <w:rPr>
                <w:rFonts w:hint="eastAsia" w:ascii="仿宋_GB2312" w:hAnsi="仿宋_GB2312" w:eastAsia="仿宋_GB2312" w:cs="仿宋_GB2312"/>
                <w:bCs w:val="0"/>
                <w:kern w:val="2"/>
                <w:sz w:val="24"/>
                <w:szCs w:val="28"/>
                <w:highlight w:val="none"/>
                <w:u w:val="none"/>
                <w:lang w:val="en-US" w:eastAsia="zh-CN" w:bidi="ar-SA"/>
              </w:rPr>
              <w:t>（3）建立项目评审制度</w:t>
            </w:r>
          </w:p>
          <w:p>
            <w:pPr>
              <w:pStyle w:val="6"/>
              <w:numPr>
                <w:ilvl w:val="3"/>
                <w:numId w:val="0"/>
              </w:numPr>
              <w:ind w:leftChars="0"/>
              <w:rPr>
                <w:rFonts w:hint="eastAsia" w:ascii="仿宋_GB2312" w:hAnsi="仿宋_GB2312" w:eastAsia="仿宋_GB2312" w:cs="仿宋_GB2312"/>
                <w:bCs w:val="0"/>
                <w:kern w:val="2"/>
                <w:sz w:val="24"/>
                <w:szCs w:val="28"/>
                <w:highlight w:val="none"/>
                <w:u w:val="none"/>
                <w:lang w:val="en-US" w:eastAsia="zh-CN" w:bidi="ar-SA"/>
              </w:rPr>
            </w:pPr>
            <w:r>
              <w:rPr>
                <w:rFonts w:hint="eastAsia" w:ascii="仿宋_GB2312" w:hAnsi="仿宋_GB2312" w:eastAsia="仿宋_GB2312" w:cs="仿宋_GB2312"/>
                <w:bCs w:val="0"/>
                <w:kern w:val="2"/>
                <w:sz w:val="24"/>
                <w:szCs w:val="28"/>
                <w:highlight w:val="none"/>
                <w:u w:val="none"/>
                <w:lang w:val="en-US" w:eastAsia="zh-CN" w:bidi="ar-SA"/>
              </w:rPr>
              <w:t>（4）定义项目文档模板</w:t>
            </w:r>
          </w:p>
          <w:p>
            <w:pPr>
              <w:pStyle w:val="6"/>
              <w:numPr>
                <w:ilvl w:val="3"/>
                <w:numId w:val="0"/>
              </w:numPr>
              <w:ind w:leftChars="0"/>
              <w:rPr>
                <w:rFonts w:hint="eastAsia" w:ascii="仿宋_GB2312" w:hAnsi="仿宋_GB2312" w:eastAsia="仿宋_GB2312" w:cs="仿宋_GB2312"/>
                <w:bCs w:val="0"/>
                <w:kern w:val="2"/>
                <w:sz w:val="24"/>
                <w:szCs w:val="28"/>
                <w:highlight w:val="none"/>
                <w:u w:val="none"/>
                <w:lang w:val="en-US" w:eastAsia="zh-CN" w:bidi="ar-SA"/>
              </w:rPr>
            </w:pPr>
            <w:r>
              <w:rPr>
                <w:rFonts w:hint="eastAsia" w:ascii="仿宋_GB2312" w:hAnsi="仿宋_GB2312" w:eastAsia="仿宋_GB2312" w:cs="仿宋_GB2312"/>
                <w:bCs w:val="0"/>
                <w:kern w:val="2"/>
                <w:sz w:val="24"/>
                <w:szCs w:val="28"/>
                <w:highlight w:val="none"/>
                <w:u w:val="none"/>
                <w:lang w:val="en-US" w:eastAsia="zh-CN" w:bidi="ar-SA"/>
              </w:rPr>
              <w:t>（5）文档配置管理</w:t>
            </w:r>
          </w:p>
          <w:p>
            <w:pPr>
              <w:pStyle w:val="6"/>
              <w:numPr>
                <w:ilvl w:val="3"/>
                <w:numId w:val="0"/>
              </w:numPr>
              <w:ind w:leftChars="0"/>
              <w:rPr>
                <w:rFonts w:hint="default" w:ascii="仿宋_GB2312" w:hAnsi="仿宋_GB2312" w:eastAsia="仿宋_GB2312" w:cs="仿宋_GB2312"/>
                <w:bCs w:val="0"/>
                <w:kern w:val="2"/>
                <w:sz w:val="24"/>
                <w:szCs w:val="28"/>
                <w:highlight w:val="none"/>
                <w:u w:val="none"/>
                <w:lang w:val="en-US" w:eastAsia="zh-CN" w:bidi="ar-SA"/>
              </w:rPr>
            </w:pPr>
            <w:r>
              <w:rPr>
                <w:rFonts w:hint="eastAsia" w:ascii="仿宋_GB2312" w:hAnsi="仿宋_GB2312" w:eastAsia="仿宋_GB2312" w:cs="仿宋_GB2312"/>
                <w:bCs w:val="0"/>
                <w:kern w:val="2"/>
                <w:sz w:val="24"/>
                <w:szCs w:val="28"/>
                <w:highlight w:val="none"/>
                <w:u w:val="none"/>
                <w:lang w:val="en-US" w:eastAsia="zh-CN" w:bidi="ar-SA"/>
              </w:rPr>
              <w:t>（6）强化质量进度管理制度</w:t>
            </w:r>
          </w:p>
          <w:p>
            <w:pPr>
              <w:pStyle w:val="5"/>
              <w:numPr>
                <w:ilvl w:val="2"/>
                <w:numId w:val="0"/>
              </w:numPr>
              <w:ind w:leftChars="0"/>
              <w:rPr>
                <w:rFonts w:hint="eastAsia" w:ascii="仿宋_GB2312" w:hAnsi="仿宋_GB2312" w:eastAsia="仿宋_GB2312" w:cs="仿宋_GB2312"/>
                <w:bCs w:val="0"/>
                <w:kern w:val="2"/>
                <w:sz w:val="24"/>
                <w:szCs w:val="28"/>
                <w:highlight w:val="none"/>
                <w:u w:val="none"/>
                <w:lang w:val="en-US" w:eastAsia="zh-CN" w:bidi="ar-SA"/>
              </w:rPr>
            </w:pPr>
            <w:bookmarkStart w:id="7" w:name="_Toc29334"/>
            <w:bookmarkStart w:id="8" w:name="_Toc14045"/>
            <w:r>
              <w:rPr>
                <w:rFonts w:hint="eastAsia" w:ascii="仿宋_GB2312" w:hAnsi="仿宋_GB2312" w:eastAsia="仿宋_GB2312" w:cs="仿宋_GB2312"/>
                <w:bCs w:val="0"/>
                <w:kern w:val="2"/>
                <w:sz w:val="24"/>
                <w:szCs w:val="28"/>
                <w:highlight w:val="none"/>
                <w:u w:val="none"/>
                <w:lang w:val="en-US" w:eastAsia="zh-CN" w:bidi="ar-SA"/>
              </w:rPr>
              <w:t>2.项目进度管理措施</w:t>
            </w:r>
            <w:bookmarkEnd w:id="7"/>
            <w:bookmarkEnd w:id="8"/>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bookmarkStart w:id="9" w:name="_Toc23506"/>
            <w:bookmarkStart w:id="10" w:name="_Toc3048"/>
            <w:r>
              <w:rPr>
                <w:rFonts w:hint="eastAsia" w:ascii="仿宋_GB2312" w:hAnsi="仿宋_GB2312" w:eastAsia="仿宋_GB2312" w:cs="仿宋_GB2312"/>
                <w:kern w:val="2"/>
                <w:sz w:val="24"/>
                <w:szCs w:val="28"/>
                <w:u w:val="none"/>
                <w:lang w:val="en-US" w:eastAsia="zh-CN" w:bidi="ar-SA"/>
              </w:rPr>
              <w:t>（1）有处理项目进度延期的能力和策略，避免因局部延期影响整体项目进度；</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（2）有控制项目进度的具体措施及操作细则；</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（3）有检查项目进度的机制，应有进度延期的预警机制，应能准确评估局部进度出现偏差对整体项目的影响；</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（4）有项目进度动态管理方法，应有项目进度可视化的方法或措施；</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（5）有分析进度延期原因的能力，应有跟踪解决导致进度延期原因的措施或方法；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（6）建立项目进度协调与控制机制。</w:t>
            </w:r>
          </w:p>
          <w:bookmarkEnd w:id="9"/>
          <w:bookmarkEnd w:id="10"/>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3.项目投资控制措施要求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（1）根据建设项目预算，制订该项目投资成本控制的管理办法；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（2）依据招投标文件、承建合同，审核工程计划、设计方案中所说明的工程目标、范围、内容、产品和服务，对可能的投资变化，向采购单位提出监理意见；</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（3）控制变更情况，变更应由各方达成共识，并通过签署变更单予以明确；</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（4）有计量工程量与投资的能力，有控制投资的具体措施或方法；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（5）有工程竣工结算的管理与控制能力；</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（6）有确保独立、公平、公正的竣工结算流程。</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4.项目安全管理措施要求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（1）有安全管理的经验，具有防止发生人员安全事故的安全管理办法或安全条款；</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（2）检查督促承建单位建立、完善安全生产制度；</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（3）组织工程安全事故的调查与处理；</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（4）确立本项目安全监督的工作目标。</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5.项目合同管理措施要求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（1）有一套成熟有效的合同管理的方法；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（2）监督合同执行情况，定期向采购单位提交监理报告；</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（3）协助采购单位与承建单位签署其他补充协议；</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（4）有控制合同变更的流程和方法，确保不出现随意变更现象。</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6.项目信息管理措施要求</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（1）与采购单位、承建单位建立信息沟通机制，并要求各方在项目工作中贯彻执行；</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（2）及时向采购单位提交反映项目动态和监理工作情况的项目文档；</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（3）建立全面、准确反映项目各阶段工程状况的图表、文档，收集、管理项目各类文档和资料；</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（4）督促、检查承建单位及时完成各阶段工程技术资料的整理和归档工作；</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（5）转发采购单位发出与项目相关的一切指示、通知和业务联系单；</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（6）就项目中存在或出现的问题向采购单位、承建单位、设计单位提出独立、公正、公平的意见建议或解决方案；</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（7）项目实施出现质量问题或严重偏离计划时，应及时向采购单位报告，并提出对策建议，同时督促承建单位采取措施解决。</w:t>
            </w:r>
          </w:p>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highlight w:val="none"/>
                <w:u w:val="none"/>
                <w:lang w:val="en-US" w:eastAsia="zh-CN" w:bidi="ar-SA"/>
              </w:rPr>
            </w:pPr>
            <w:r>
              <w:rPr>
                <w:rFonts w:hint="eastAsia" w:ascii="仿宋_GB2312" w:hAnsi="仿宋_GB2312" w:eastAsia="仿宋_GB2312" w:cs="仿宋_GB2312"/>
                <w:kern w:val="2"/>
                <w:sz w:val="24"/>
                <w:szCs w:val="28"/>
                <w:highlight w:val="none"/>
                <w:u w:val="none"/>
                <w:lang w:val="en-US" w:eastAsia="zh-CN" w:bidi="ar-SA"/>
              </w:rPr>
              <w:t>二、测评质量保障措施及方案：</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1.建立工程质量测评制度：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测评工程师对承建单位的施工质量有监督管理责任。测评工程师在检查工作中发现的工程质量缺陷，应及时记入测评日记，指明质量部位、问题及整改意见，限期纠正复验。对较严重的质量问题或已形成隐患的问题，应由测评工程师正式填写《测评工程师问题单》，通知承建单位，同时抄报第三方测评项目总测评工程师，承建单位应按要求及时做出整改，克服缺陷后通知测评工程师复验签认。如所发现工程质量问题已构成工程严重质量问题时，应按合同规定条款办理。</w:t>
            </w:r>
          </w:p>
          <w:p>
            <w:pPr>
              <w:keepNext w:val="0"/>
              <w:keepLines w:val="0"/>
              <w:pageBreakBefore w:val="0"/>
              <w:widowControl w:val="0"/>
              <w:kinsoku/>
              <w:wordWrap/>
              <w:overflowPunct/>
              <w:topLinePunct w:val="0"/>
              <w:autoSpaceDE/>
              <w:autoSpaceDN/>
              <w:bidi w:val="0"/>
              <w:spacing w:line="460" w:lineRule="exact"/>
              <w:textAlignment w:val="auto"/>
              <w:rPr>
                <w:rFonts w:hint="eastAsia" w:ascii="仿宋_GB2312" w:hAnsi="仿宋_GB2312" w:eastAsia="仿宋_GB2312" w:cs="仿宋_GB2312"/>
                <w:kern w:val="2"/>
                <w:sz w:val="24"/>
                <w:szCs w:val="28"/>
                <w:highlight w:val="none"/>
                <w:u w:val="none"/>
                <w:lang w:val="en-US" w:eastAsia="zh-CN" w:bidi="ar-SA"/>
              </w:rPr>
            </w:pPr>
            <w:r>
              <w:rPr>
                <w:rFonts w:hint="eastAsia" w:ascii="仿宋_GB2312" w:hAnsi="仿宋_GB2312" w:eastAsia="仿宋_GB2312" w:cs="仿宋_GB2312"/>
                <w:kern w:val="2"/>
                <w:sz w:val="24"/>
                <w:szCs w:val="28"/>
                <w:highlight w:val="none"/>
                <w:u w:val="none"/>
                <w:lang w:val="en-US" w:eastAsia="zh-CN" w:bidi="ar-SA"/>
              </w:rPr>
              <w:t>2.建立工程质量检验制度</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（1）测评工程师在检查工程中发现一般的质量问题，应随时通知承建单位及时改正，并做好记录。测试不合格时可发出《测评工程师问题单》，限期改正。</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如承建单位不及时改正，情节较严重的，测评工程师可在报请第三方测评项目总测评工程师批准后，报送监理单位，由总监理工程师发出《工程暂停令》，指令部分工程、单项工程或全部工程暂停施工。待承建单位改正后，报项目测评部进行复验合格后，报送监理单位，由总监理工程师发出《复工令》。</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（3）测评单位每周填写《测评周报》。</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default"/>
                <w:lang w:val="en-US" w:eastAsia="zh-CN"/>
              </w:rPr>
            </w:pPr>
            <w:r>
              <w:rPr>
                <w:rFonts w:hint="eastAsia" w:ascii="仿宋_GB2312" w:hAnsi="仿宋_GB2312" w:eastAsia="仿宋_GB2312" w:cs="仿宋_GB2312"/>
                <w:kern w:val="2"/>
                <w:sz w:val="24"/>
                <w:szCs w:val="28"/>
                <w:u w:val="none"/>
                <w:lang w:val="en-US" w:eastAsia="zh-CN" w:bidi="ar-SA"/>
              </w:rPr>
              <w:t>（4）测评工程师需要承建单位执行的事项，除口头通知外，可使用《测评工程师通知单》，催促承建单位执行。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根据《龙岗区电动自行车智慧防控系统项目全过程咨询服务项目采购公告》，对符合资质的供应商以综合评分法评审选定一家供</w:t>
            </w:r>
            <w:bookmarkStart w:id="11" w:name="_GoBack"/>
            <w:bookmarkEnd w:id="11"/>
            <w:r>
              <w:rPr>
                <w:rFonts w:hint="eastAsia" w:ascii="仿宋_GB2312" w:hAnsi="仿宋_GB2312" w:eastAsia="仿宋_GB2312" w:cs="仿宋_GB2312"/>
                <w:kern w:val="2"/>
                <w:sz w:val="24"/>
                <w:szCs w:val="28"/>
                <w:u w:val="none"/>
                <w:lang w:val="en-US" w:eastAsia="zh-CN" w:bidi="ar-SA"/>
              </w:rPr>
              <w:t>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公示时间：2026年4月22日至2026年4月24日（共3个工作日）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项目期限：</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监理工作期限自签订合同之日起至龙岗区电动自行车智慧防控系统项目通过最终验收结束，预计工期12月31日内完成。</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测评工作期限自合同签订之日起至龙岗区电动自行车智慧防控系统项目第三方检测报告签收止。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采购科室：信息保障科</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w:t>
            </w:r>
            <w:r>
              <w:rPr>
                <w:rFonts w:hint="eastAsia" w:ascii="仿宋_GB2312" w:hAnsi="仿宋_GB2312" w:eastAsia="仿宋_GB2312" w:cs="仿宋_GB2312"/>
                <w:kern w:val="2"/>
                <w:sz w:val="24"/>
                <w:szCs w:val="28"/>
                <w:highlight w:val="none"/>
                <w:u w:val="none"/>
                <w:lang w:eastAsia="zh-CN" w:bidi="ar-SA"/>
              </w:rPr>
              <w:t>-84872614</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32"/>
          <w:szCs w:val="36"/>
          <w:u w:val="none"/>
        </w:rPr>
      </w:pPr>
    </w:p>
    <w:sectPr>
      <w:headerReference r:id="rId3" w:type="default"/>
      <w:footerReference r:id="rId4" w:type="default"/>
      <w:pgSz w:w="11906" w:h="16838"/>
      <w:pgMar w:top="2098" w:right="1474" w:bottom="1984" w:left="1587" w:header="851" w:footer="992"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VMdIzJAQAAmQ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UuK4xYGff/44/3o8P3wnb7I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9Ux0jMkBAACZAwAADgAAAAAA&#10;AAABACAAAAA0AQAAZHJzL2Uyb0RvYy54bWxQSwUGAAAAAAYABgBZAQAAb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2A542"/>
    <w:multiLevelType w:val="singleLevel"/>
    <w:tmpl w:val="94F2A542"/>
    <w:lvl w:ilvl="0" w:tentative="0">
      <w:start w:val="1"/>
      <w:numFmt w:val="chineseCounting"/>
      <w:suff w:val="nothing"/>
      <w:lvlText w:val="%1、"/>
      <w:lvlJc w:val="left"/>
      <w:rPr>
        <w:rFonts w:hint="eastAsia"/>
      </w:rPr>
    </w:lvl>
  </w:abstractNum>
  <w:abstractNum w:abstractNumId="1">
    <w:nsid w:val="B169752F"/>
    <w:multiLevelType w:val="multilevel"/>
    <w:tmpl w:val="B169752F"/>
    <w:lvl w:ilvl="0" w:tentative="0">
      <w:start w:val="1"/>
      <w:numFmt w:val="decimal"/>
      <w:suff w:val="space"/>
      <w:lvlText w:val="第%1章"/>
      <w:lvlJc w:val="left"/>
      <w:pPr>
        <w:ind w:left="432" w:hanging="432"/>
      </w:pPr>
      <w:rPr>
        <w:rFonts w:hint="default"/>
      </w:rPr>
    </w:lvl>
    <w:lvl w:ilvl="1" w:tentative="0">
      <w:start w:val="1"/>
      <w:numFmt w:val="decimal"/>
      <w:lvlText w:val="%1.%2"/>
      <w:lvlJc w:val="left"/>
      <w:pPr>
        <w:ind w:left="576" w:hanging="576"/>
      </w:pPr>
      <w:rPr>
        <w:rFonts w:hint="default"/>
      </w:rPr>
    </w:lvl>
    <w:lvl w:ilvl="2" w:tentative="0">
      <w:start w:val="1"/>
      <w:numFmt w:val="decimal"/>
      <w:pStyle w:val="5"/>
      <w:suff w:val="space"/>
      <w:lvlText w:val="%1.%2.%3"/>
      <w:lvlJc w:val="left"/>
      <w:pPr>
        <w:ind w:left="720" w:hanging="720"/>
      </w:pPr>
      <w:rPr>
        <w:rFonts w:hint="eastAsia"/>
      </w:rPr>
    </w:lvl>
    <w:lvl w:ilvl="3" w:tentative="0">
      <w:start w:val="1"/>
      <w:numFmt w:val="decimal"/>
      <w:pStyle w:val="6"/>
      <w:suff w:val="space"/>
      <w:lvlText w:val="%1.%2.%3.%4"/>
      <w:lvlJc w:val="left"/>
      <w:pPr>
        <w:ind w:left="864" w:hanging="864"/>
      </w:pPr>
      <w:rPr>
        <w:rFonts w:hint="eastAsia" w:ascii="黑体" w:hAnsi="黑体" w:eastAsia="黑体"/>
        <w:b/>
        <w:i w:val="0"/>
      </w:rPr>
    </w:lvl>
    <w:lvl w:ilvl="4" w:tentative="0">
      <w:start w:val="1"/>
      <w:numFmt w:val="decimal"/>
      <w:suff w:val="space"/>
      <w:lvlText w:val="%1.%2.%3.%4.%5"/>
      <w:lvlJc w:val="left"/>
      <w:pPr>
        <w:ind w:left="2993" w:hanging="1008"/>
      </w:pPr>
      <w:rPr>
        <w:rFonts w:hint="eastAsia"/>
      </w:rPr>
    </w:lvl>
    <w:lvl w:ilvl="5" w:tentative="0">
      <w:start w:val="1"/>
      <w:numFmt w:val="decimal"/>
      <w:suff w:val="space"/>
      <w:lvlText w:val="%1.%2.%3.%4.%5.%6"/>
      <w:lvlJc w:val="left"/>
      <w:pPr>
        <w:ind w:left="1152" w:hanging="1152"/>
      </w:pPr>
      <w:rPr>
        <w:rFonts w:hint="default" w:ascii="宋体" w:hAnsi="宋体" w:eastAsia="宋体" w:cs="宋体"/>
        <w:b/>
        <w:bCs/>
        <w:sz w:val="24"/>
        <w:szCs w:val="24"/>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368DF4F6"/>
    <w:multiLevelType w:val="singleLevel"/>
    <w:tmpl w:val="368DF4F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36"/>
    <w:rsid w:val="00093A36"/>
    <w:rsid w:val="004878BE"/>
    <w:rsid w:val="0056056E"/>
    <w:rsid w:val="00594870"/>
    <w:rsid w:val="006555B5"/>
    <w:rsid w:val="006E30D0"/>
    <w:rsid w:val="00752CFE"/>
    <w:rsid w:val="00A269B3"/>
    <w:rsid w:val="00AE11A5"/>
    <w:rsid w:val="00CE7665"/>
    <w:rsid w:val="00D700DB"/>
    <w:rsid w:val="00E853BF"/>
    <w:rsid w:val="013E7239"/>
    <w:rsid w:val="029F7F5E"/>
    <w:rsid w:val="054D49A1"/>
    <w:rsid w:val="05912402"/>
    <w:rsid w:val="061D0E28"/>
    <w:rsid w:val="07064476"/>
    <w:rsid w:val="073D42A3"/>
    <w:rsid w:val="092913CC"/>
    <w:rsid w:val="093F0BD2"/>
    <w:rsid w:val="096E6B99"/>
    <w:rsid w:val="09FB51E7"/>
    <w:rsid w:val="0AB23B19"/>
    <w:rsid w:val="0BE17668"/>
    <w:rsid w:val="0C1F554C"/>
    <w:rsid w:val="0C456E93"/>
    <w:rsid w:val="0CC51F8D"/>
    <w:rsid w:val="0D0E79F8"/>
    <w:rsid w:val="0DCF36A4"/>
    <w:rsid w:val="0DFF1C90"/>
    <w:rsid w:val="0F66665D"/>
    <w:rsid w:val="0F7F89CD"/>
    <w:rsid w:val="0FF90AFB"/>
    <w:rsid w:val="102B152F"/>
    <w:rsid w:val="10826F5A"/>
    <w:rsid w:val="11B20B83"/>
    <w:rsid w:val="11C53740"/>
    <w:rsid w:val="127B4B2F"/>
    <w:rsid w:val="12851291"/>
    <w:rsid w:val="12AC3E32"/>
    <w:rsid w:val="12E05A6C"/>
    <w:rsid w:val="14C5310F"/>
    <w:rsid w:val="14FFAE5D"/>
    <w:rsid w:val="15413571"/>
    <w:rsid w:val="17647DF5"/>
    <w:rsid w:val="177EA56E"/>
    <w:rsid w:val="17FFB440"/>
    <w:rsid w:val="189C17C3"/>
    <w:rsid w:val="18AD5742"/>
    <w:rsid w:val="193F7C32"/>
    <w:rsid w:val="1AB4151F"/>
    <w:rsid w:val="1B015BF4"/>
    <w:rsid w:val="1B29336F"/>
    <w:rsid w:val="1B891ED6"/>
    <w:rsid w:val="1BE456D5"/>
    <w:rsid w:val="1C5C0E4D"/>
    <w:rsid w:val="1C874A22"/>
    <w:rsid w:val="1D1021F0"/>
    <w:rsid w:val="1DCB84FA"/>
    <w:rsid w:val="1DD38D51"/>
    <w:rsid w:val="1E926DAA"/>
    <w:rsid w:val="1F3B6046"/>
    <w:rsid w:val="1FEFA7CE"/>
    <w:rsid w:val="1FFE1367"/>
    <w:rsid w:val="204B510C"/>
    <w:rsid w:val="209440AC"/>
    <w:rsid w:val="20EF5DC8"/>
    <w:rsid w:val="212A4F96"/>
    <w:rsid w:val="21A01754"/>
    <w:rsid w:val="23CA0DA0"/>
    <w:rsid w:val="24320F90"/>
    <w:rsid w:val="24BEF34C"/>
    <w:rsid w:val="26046F9C"/>
    <w:rsid w:val="26234D4B"/>
    <w:rsid w:val="265F4438"/>
    <w:rsid w:val="277C5331"/>
    <w:rsid w:val="27F70585"/>
    <w:rsid w:val="281D5AEE"/>
    <w:rsid w:val="28701AB4"/>
    <w:rsid w:val="28A4059B"/>
    <w:rsid w:val="29FB375A"/>
    <w:rsid w:val="29FD3D0A"/>
    <w:rsid w:val="2C60343E"/>
    <w:rsid w:val="2CF00A70"/>
    <w:rsid w:val="2D714CEA"/>
    <w:rsid w:val="2DDD2CA5"/>
    <w:rsid w:val="2E227B04"/>
    <w:rsid w:val="2E642E91"/>
    <w:rsid w:val="2E937659"/>
    <w:rsid w:val="2E9F0A42"/>
    <w:rsid w:val="2EB975CA"/>
    <w:rsid w:val="2EEB4668"/>
    <w:rsid w:val="2F156829"/>
    <w:rsid w:val="2F69D776"/>
    <w:rsid w:val="2FDD456F"/>
    <w:rsid w:val="2FDE4A0F"/>
    <w:rsid w:val="2FF79FA8"/>
    <w:rsid w:val="2FFA536E"/>
    <w:rsid w:val="2FFA74BE"/>
    <w:rsid w:val="2FFF4BDB"/>
    <w:rsid w:val="30560410"/>
    <w:rsid w:val="319911AA"/>
    <w:rsid w:val="31D008D1"/>
    <w:rsid w:val="325F78EA"/>
    <w:rsid w:val="328516F7"/>
    <w:rsid w:val="32DD4F04"/>
    <w:rsid w:val="332D1ED4"/>
    <w:rsid w:val="3381503E"/>
    <w:rsid w:val="33F46502"/>
    <w:rsid w:val="3537721B"/>
    <w:rsid w:val="358C5762"/>
    <w:rsid w:val="35A90BA7"/>
    <w:rsid w:val="35AC3AF6"/>
    <w:rsid w:val="369C5415"/>
    <w:rsid w:val="36BE4F55"/>
    <w:rsid w:val="36C86BB6"/>
    <w:rsid w:val="370E4F26"/>
    <w:rsid w:val="37FF2B32"/>
    <w:rsid w:val="37FF5E6D"/>
    <w:rsid w:val="384D0565"/>
    <w:rsid w:val="393B0BCC"/>
    <w:rsid w:val="39564878"/>
    <w:rsid w:val="395B5B0C"/>
    <w:rsid w:val="39F6D9CB"/>
    <w:rsid w:val="3AEF448A"/>
    <w:rsid w:val="3AFDC7D3"/>
    <w:rsid w:val="3B7C32E1"/>
    <w:rsid w:val="3B957C4F"/>
    <w:rsid w:val="3BFDE64A"/>
    <w:rsid w:val="3C7A4524"/>
    <w:rsid w:val="3CBB7A8F"/>
    <w:rsid w:val="3CC278EC"/>
    <w:rsid w:val="3D7E178F"/>
    <w:rsid w:val="3D8C361C"/>
    <w:rsid w:val="3D9B88D4"/>
    <w:rsid w:val="3DDD3701"/>
    <w:rsid w:val="3DFEB99D"/>
    <w:rsid w:val="3EB8B3A9"/>
    <w:rsid w:val="3EBB69AB"/>
    <w:rsid w:val="3EE23192"/>
    <w:rsid w:val="3EFE125F"/>
    <w:rsid w:val="3F9630BE"/>
    <w:rsid w:val="3FB523CB"/>
    <w:rsid w:val="3FBF2379"/>
    <w:rsid w:val="3FBFB59C"/>
    <w:rsid w:val="3FF385EA"/>
    <w:rsid w:val="3FF71217"/>
    <w:rsid w:val="3FFCAA9B"/>
    <w:rsid w:val="3FFECFCB"/>
    <w:rsid w:val="3FFF30EB"/>
    <w:rsid w:val="3FFFBD26"/>
    <w:rsid w:val="41923A59"/>
    <w:rsid w:val="421F396B"/>
    <w:rsid w:val="44591079"/>
    <w:rsid w:val="45F1249B"/>
    <w:rsid w:val="470C3E85"/>
    <w:rsid w:val="47A8272F"/>
    <w:rsid w:val="47BD3FF1"/>
    <w:rsid w:val="47F947EA"/>
    <w:rsid w:val="49F61723"/>
    <w:rsid w:val="4A1B15C9"/>
    <w:rsid w:val="4AD2618E"/>
    <w:rsid w:val="4B015C73"/>
    <w:rsid w:val="4C032C62"/>
    <w:rsid w:val="4D7BC855"/>
    <w:rsid w:val="4DDF3394"/>
    <w:rsid w:val="4DEE16A9"/>
    <w:rsid w:val="4E1360B7"/>
    <w:rsid w:val="4E8C03BB"/>
    <w:rsid w:val="4EEB69D8"/>
    <w:rsid w:val="4F9618F4"/>
    <w:rsid w:val="4FB7FE89"/>
    <w:rsid w:val="4FE146A9"/>
    <w:rsid w:val="501A6931"/>
    <w:rsid w:val="50524983"/>
    <w:rsid w:val="5088792F"/>
    <w:rsid w:val="512D1D66"/>
    <w:rsid w:val="514E78EF"/>
    <w:rsid w:val="51BB2FD8"/>
    <w:rsid w:val="51FC7A73"/>
    <w:rsid w:val="52433A9E"/>
    <w:rsid w:val="526B245E"/>
    <w:rsid w:val="526D5536"/>
    <w:rsid w:val="529706E5"/>
    <w:rsid w:val="53C52262"/>
    <w:rsid w:val="53EF6516"/>
    <w:rsid w:val="545BF057"/>
    <w:rsid w:val="547FC042"/>
    <w:rsid w:val="54A93ED8"/>
    <w:rsid w:val="56B7FF6B"/>
    <w:rsid w:val="56EE6AE6"/>
    <w:rsid w:val="56FFEA45"/>
    <w:rsid w:val="576FF20C"/>
    <w:rsid w:val="57730B99"/>
    <w:rsid w:val="577E70C0"/>
    <w:rsid w:val="57BFD8F2"/>
    <w:rsid w:val="57D8157E"/>
    <w:rsid w:val="57FF738C"/>
    <w:rsid w:val="588C01BF"/>
    <w:rsid w:val="598D0769"/>
    <w:rsid w:val="5A5739D6"/>
    <w:rsid w:val="5A6F1F58"/>
    <w:rsid w:val="5A8C41E4"/>
    <w:rsid w:val="5AF6CC51"/>
    <w:rsid w:val="5B9B26DD"/>
    <w:rsid w:val="5BA7CD7C"/>
    <w:rsid w:val="5BBD7E66"/>
    <w:rsid w:val="5BED5C6A"/>
    <w:rsid w:val="5C5F3B47"/>
    <w:rsid w:val="5C6931D3"/>
    <w:rsid w:val="5CC91F05"/>
    <w:rsid w:val="5CF3DF16"/>
    <w:rsid w:val="5D6D85A7"/>
    <w:rsid w:val="5D7C6C33"/>
    <w:rsid w:val="5D940884"/>
    <w:rsid w:val="5DB17B2A"/>
    <w:rsid w:val="5DCF585A"/>
    <w:rsid w:val="5DFBBBD7"/>
    <w:rsid w:val="5DFBE0EA"/>
    <w:rsid w:val="5DFBEBA8"/>
    <w:rsid w:val="5E204D1F"/>
    <w:rsid w:val="5EA70E3E"/>
    <w:rsid w:val="5EFF2454"/>
    <w:rsid w:val="5F38C93F"/>
    <w:rsid w:val="5F76D357"/>
    <w:rsid w:val="5FADF2FF"/>
    <w:rsid w:val="5FAF3E8F"/>
    <w:rsid w:val="5FBF75B5"/>
    <w:rsid w:val="5FDB3EAE"/>
    <w:rsid w:val="5FDD9D23"/>
    <w:rsid w:val="5FDDDD4A"/>
    <w:rsid w:val="5FFE6052"/>
    <w:rsid w:val="5FFF8046"/>
    <w:rsid w:val="5FFFD9BC"/>
    <w:rsid w:val="5FFFE11B"/>
    <w:rsid w:val="60574E21"/>
    <w:rsid w:val="60B576E0"/>
    <w:rsid w:val="60BE209B"/>
    <w:rsid w:val="61F7BDE1"/>
    <w:rsid w:val="633A59E0"/>
    <w:rsid w:val="636D325C"/>
    <w:rsid w:val="63BC5100"/>
    <w:rsid w:val="63FFF183"/>
    <w:rsid w:val="646A6790"/>
    <w:rsid w:val="64802B40"/>
    <w:rsid w:val="64B9489A"/>
    <w:rsid w:val="657D9C11"/>
    <w:rsid w:val="666C03F3"/>
    <w:rsid w:val="66FD7F3A"/>
    <w:rsid w:val="67EFC73B"/>
    <w:rsid w:val="67F33B02"/>
    <w:rsid w:val="68055458"/>
    <w:rsid w:val="68594D08"/>
    <w:rsid w:val="68970FDB"/>
    <w:rsid w:val="68BB509F"/>
    <w:rsid w:val="695B9E21"/>
    <w:rsid w:val="6BBB0233"/>
    <w:rsid w:val="6BC27DBB"/>
    <w:rsid w:val="6BDF6247"/>
    <w:rsid w:val="6CBF09AE"/>
    <w:rsid w:val="6CFF48A0"/>
    <w:rsid w:val="6D100C16"/>
    <w:rsid w:val="6D6FC513"/>
    <w:rsid w:val="6DD74A08"/>
    <w:rsid w:val="6DDEFF06"/>
    <w:rsid w:val="6DDF8E10"/>
    <w:rsid w:val="6E573C4B"/>
    <w:rsid w:val="6E7F064E"/>
    <w:rsid w:val="6EFB178B"/>
    <w:rsid w:val="6F3C5E24"/>
    <w:rsid w:val="6F774440"/>
    <w:rsid w:val="6FBF592D"/>
    <w:rsid w:val="6FC76883"/>
    <w:rsid w:val="6FD5AA29"/>
    <w:rsid w:val="6FD734D6"/>
    <w:rsid w:val="6FDF25DF"/>
    <w:rsid w:val="6FF41406"/>
    <w:rsid w:val="6FF64AA2"/>
    <w:rsid w:val="6FFF96B8"/>
    <w:rsid w:val="71C67F0E"/>
    <w:rsid w:val="72D27328"/>
    <w:rsid w:val="72E703D0"/>
    <w:rsid w:val="73C60864"/>
    <w:rsid w:val="73F31626"/>
    <w:rsid w:val="73FDC18B"/>
    <w:rsid w:val="73FF29BA"/>
    <w:rsid w:val="74DF905C"/>
    <w:rsid w:val="74FFBCFB"/>
    <w:rsid w:val="757F796E"/>
    <w:rsid w:val="757FFD96"/>
    <w:rsid w:val="759FB541"/>
    <w:rsid w:val="75E47B67"/>
    <w:rsid w:val="7634705E"/>
    <w:rsid w:val="76553330"/>
    <w:rsid w:val="76DD2707"/>
    <w:rsid w:val="76F7FCB5"/>
    <w:rsid w:val="76FF2653"/>
    <w:rsid w:val="77252737"/>
    <w:rsid w:val="7736DB6C"/>
    <w:rsid w:val="774F8902"/>
    <w:rsid w:val="77638204"/>
    <w:rsid w:val="777C0CEE"/>
    <w:rsid w:val="77A96609"/>
    <w:rsid w:val="77BB78AC"/>
    <w:rsid w:val="77C87A70"/>
    <w:rsid w:val="77D75117"/>
    <w:rsid w:val="77DDEEA9"/>
    <w:rsid w:val="77F70E6D"/>
    <w:rsid w:val="77FB5726"/>
    <w:rsid w:val="77FFA567"/>
    <w:rsid w:val="77FFD04F"/>
    <w:rsid w:val="77FFF6C8"/>
    <w:rsid w:val="77FFF872"/>
    <w:rsid w:val="78F5D540"/>
    <w:rsid w:val="78FCC447"/>
    <w:rsid w:val="79460941"/>
    <w:rsid w:val="797604F9"/>
    <w:rsid w:val="79EB3199"/>
    <w:rsid w:val="79F58746"/>
    <w:rsid w:val="79F724F5"/>
    <w:rsid w:val="79FB002E"/>
    <w:rsid w:val="7A0B5D56"/>
    <w:rsid w:val="7A1FD90C"/>
    <w:rsid w:val="7A425AE6"/>
    <w:rsid w:val="7A5BB19C"/>
    <w:rsid w:val="7AB555C7"/>
    <w:rsid w:val="7AC3BBF9"/>
    <w:rsid w:val="7ADF92E4"/>
    <w:rsid w:val="7AE547FA"/>
    <w:rsid w:val="7AF60AB2"/>
    <w:rsid w:val="7B6959EB"/>
    <w:rsid w:val="7B6FB8CA"/>
    <w:rsid w:val="7B7FA965"/>
    <w:rsid w:val="7BB573BA"/>
    <w:rsid w:val="7BEDAB48"/>
    <w:rsid w:val="7BEDBD9B"/>
    <w:rsid w:val="7BEEA687"/>
    <w:rsid w:val="7BEFF0EB"/>
    <w:rsid w:val="7BF14798"/>
    <w:rsid w:val="7BF30284"/>
    <w:rsid w:val="7BFB63CB"/>
    <w:rsid w:val="7BFED8C2"/>
    <w:rsid w:val="7BFF536A"/>
    <w:rsid w:val="7BFF78EB"/>
    <w:rsid w:val="7BFFA063"/>
    <w:rsid w:val="7BFFAFA6"/>
    <w:rsid w:val="7C42526D"/>
    <w:rsid w:val="7CBE59F7"/>
    <w:rsid w:val="7CFE0762"/>
    <w:rsid w:val="7CFE58C9"/>
    <w:rsid w:val="7D731971"/>
    <w:rsid w:val="7D7F1893"/>
    <w:rsid w:val="7D7FA33C"/>
    <w:rsid w:val="7D9B6A9C"/>
    <w:rsid w:val="7DA73F95"/>
    <w:rsid w:val="7DBC4C4C"/>
    <w:rsid w:val="7DD14922"/>
    <w:rsid w:val="7DFF2050"/>
    <w:rsid w:val="7DFF47DA"/>
    <w:rsid w:val="7E1F6361"/>
    <w:rsid w:val="7E5F5F54"/>
    <w:rsid w:val="7E9D4BEE"/>
    <w:rsid w:val="7EB70FBB"/>
    <w:rsid w:val="7EB73620"/>
    <w:rsid w:val="7EBB85B0"/>
    <w:rsid w:val="7EBF0E96"/>
    <w:rsid w:val="7EED8F0B"/>
    <w:rsid w:val="7EF731C4"/>
    <w:rsid w:val="7EF7BEEE"/>
    <w:rsid w:val="7EFA7A93"/>
    <w:rsid w:val="7EFBB346"/>
    <w:rsid w:val="7EFE4335"/>
    <w:rsid w:val="7EFF8335"/>
    <w:rsid w:val="7F01E1DE"/>
    <w:rsid w:val="7F23F11D"/>
    <w:rsid w:val="7F390B37"/>
    <w:rsid w:val="7F399AF8"/>
    <w:rsid w:val="7F3D5749"/>
    <w:rsid w:val="7F3E4909"/>
    <w:rsid w:val="7F4F307A"/>
    <w:rsid w:val="7F57DD43"/>
    <w:rsid w:val="7F5F33B9"/>
    <w:rsid w:val="7F674165"/>
    <w:rsid w:val="7F6A1E0C"/>
    <w:rsid w:val="7F6F6BCA"/>
    <w:rsid w:val="7F6F95C0"/>
    <w:rsid w:val="7F7F5FE5"/>
    <w:rsid w:val="7F7F860F"/>
    <w:rsid w:val="7F7FB7AD"/>
    <w:rsid w:val="7F946F34"/>
    <w:rsid w:val="7F9F7655"/>
    <w:rsid w:val="7FB5AE43"/>
    <w:rsid w:val="7FB742C1"/>
    <w:rsid w:val="7FBD3406"/>
    <w:rsid w:val="7FDB7183"/>
    <w:rsid w:val="7FDBEAF4"/>
    <w:rsid w:val="7FDEA88B"/>
    <w:rsid w:val="7FDF0C66"/>
    <w:rsid w:val="7FDF3EA3"/>
    <w:rsid w:val="7FE60B51"/>
    <w:rsid w:val="7FE986B2"/>
    <w:rsid w:val="7FEF3573"/>
    <w:rsid w:val="7FF3A885"/>
    <w:rsid w:val="7FFAFD89"/>
    <w:rsid w:val="7FFBC7FA"/>
    <w:rsid w:val="7FFBF563"/>
    <w:rsid w:val="7FFD6350"/>
    <w:rsid w:val="7FFDE719"/>
    <w:rsid w:val="7FFE971A"/>
    <w:rsid w:val="7FFFA908"/>
    <w:rsid w:val="87FE9E0C"/>
    <w:rsid w:val="8F872EE0"/>
    <w:rsid w:val="8FAFEB8F"/>
    <w:rsid w:val="8FBF9148"/>
    <w:rsid w:val="9579CC22"/>
    <w:rsid w:val="965B755D"/>
    <w:rsid w:val="97F222E9"/>
    <w:rsid w:val="97FBC6AC"/>
    <w:rsid w:val="97FFCA65"/>
    <w:rsid w:val="99BDC4CF"/>
    <w:rsid w:val="9BFF32D1"/>
    <w:rsid w:val="9DDFCA0E"/>
    <w:rsid w:val="9DF58AD3"/>
    <w:rsid w:val="9EDD3C41"/>
    <w:rsid w:val="9F387565"/>
    <w:rsid w:val="9FDFC1CF"/>
    <w:rsid w:val="9FEF65C7"/>
    <w:rsid w:val="9FFB4B19"/>
    <w:rsid w:val="9FFF031D"/>
    <w:rsid w:val="A69F35EC"/>
    <w:rsid w:val="A6FF15DE"/>
    <w:rsid w:val="A7FF60EB"/>
    <w:rsid w:val="A7FF8724"/>
    <w:rsid w:val="AA3F8E1F"/>
    <w:rsid w:val="AC3FF1F2"/>
    <w:rsid w:val="B1EEE691"/>
    <w:rsid w:val="B37DBD0A"/>
    <w:rsid w:val="B37DF11D"/>
    <w:rsid w:val="B47549D7"/>
    <w:rsid w:val="B5AE36FF"/>
    <w:rsid w:val="B6CFA3EF"/>
    <w:rsid w:val="B776B085"/>
    <w:rsid w:val="B7FFBCD7"/>
    <w:rsid w:val="BABF284E"/>
    <w:rsid w:val="BB1F2B89"/>
    <w:rsid w:val="BBFEFBF8"/>
    <w:rsid w:val="BD7E468A"/>
    <w:rsid w:val="BD7F0A18"/>
    <w:rsid w:val="BDC96632"/>
    <w:rsid w:val="BDDDD0DE"/>
    <w:rsid w:val="BDFBEA1F"/>
    <w:rsid w:val="BE9EF447"/>
    <w:rsid w:val="BEAB2B86"/>
    <w:rsid w:val="BEECA0CD"/>
    <w:rsid w:val="BF3E0C66"/>
    <w:rsid w:val="BF97C0C0"/>
    <w:rsid w:val="BFB7C2D1"/>
    <w:rsid w:val="BFBFED01"/>
    <w:rsid w:val="BFCD38BC"/>
    <w:rsid w:val="BFD99150"/>
    <w:rsid w:val="BFDE295A"/>
    <w:rsid w:val="BFFB6109"/>
    <w:rsid w:val="BFFC3654"/>
    <w:rsid w:val="BFFD7F52"/>
    <w:rsid w:val="BFFDA080"/>
    <w:rsid w:val="BFFFA1C7"/>
    <w:rsid w:val="CDFC4175"/>
    <w:rsid w:val="CE12353B"/>
    <w:rsid w:val="CF55FB67"/>
    <w:rsid w:val="CF7B732E"/>
    <w:rsid w:val="CFABA175"/>
    <w:rsid w:val="CFF63D96"/>
    <w:rsid w:val="CFF78115"/>
    <w:rsid w:val="D1D5625A"/>
    <w:rsid w:val="D21F5689"/>
    <w:rsid w:val="D37D65F1"/>
    <w:rsid w:val="D3E3C7E9"/>
    <w:rsid w:val="D3FD3D1E"/>
    <w:rsid w:val="D57B6118"/>
    <w:rsid w:val="D6F03B7C"/>
    <w:rsid w:val="D76765C1"/>
    <w:rsid w:val="D77BE219"/>
    <w:rsid w:val="D79FED62"/>
    <w:rsid w:val="D8CFC8EB"/>
    <w:rsid w:val="DA7F6614"/>
    <w:rsid w:val="DAFDFA17"/>
    <w:rsid w:val="DB12A451"/>
    <w:rsid w:val="DBBB6B81"/>
    <w:rsid w:val="DBDF2507"/>
    <w:rsid w:val="DBFB9161"/>
    <w:rsid w:val="DD9FEF74"/>
    <w:rsid w:val="DDAFE4D9"/>
    <w:rsid w:val="DDFDF1F5"/>
    <w:rsid w:val="DDFFDC43"/>
    <w:rsid w:val="DE7F52D3"/>
    <w:rsid w:val="DE8F8346"/>
    <w:rsid w:val="DEEF46AF"/>
    <w:rsid w:val="DEF7C988"/>
    <w:rsid w:val="DEFCE023"/>
    <w:rsid w:val="DF359897"/>
    <w:rsid w:val="DFBD0BB9"/>
    <w:rsid w:val="DFBEADF7"/>
    <w:rsid w:val="DFBFC14A"/>
    <w:rsid w:val="DFC6AB4A"/>
    <w:rsid w:val="DFCBA508"/>
    <w:rsid w:val="DFD7B0C4"/>
    <w:rsid w:val="DFF78AFD"/>
    <w:rsid w:val="DFFAE852"/>
    <w:rsid w:val="DFFB4D75"/>
    <w:rsid w:val="DFFE452A"/>
    <w:rsid w:val="DFFF1A46"/>
    <w:rsid w:val="E4FF8637"/>
    <w:rsid w:val="E5E9645D"/>
    <w:rsid w:val="E73E9D31"/>
    <w:rsid w:val="E7730B75"/>
    <w:rsid w:val="E7FD012D"/>
    <w:rsid w:val="EB5B06F9"/>
    <w:rsid w:val="EBEFC747"/>
    <w:rsid w:val="ECFF487A"/>
    <w:rsid w:val="EDFFA23C"/>
    <w:rsid w:val="EEFBCCCD"/>
    <w:rsid w:val="EEFF4FCB"/>
    <w:rsid w:val="EEFF5AA8"/>
    <w:rsid w:val="EF45D63E"/>
    <w:rsid w:val="EF6525BA"/>
    <w:rsid w:val="EF7B4754"/>
    <w:rsid w:val="EF7C1A1D"/>
    <w:rsid w:val="EF874216"/>
    <w:rsid w:val="EFCF0D8C"/>
    <w:rsid w:val="EFDF5E0A"/>
    <w:rsid w:val="EFDFC617"/>
    <w:rsid w:val="EFE74EFA"/>
    <w:rsid w:val="EFF6ABC0"/>
    <w:rsid w:val="F1FFE84A"/>
    <w:rsid w:val="F2FB8406"/>
    <w:rsid w:val="F3C70C2E"/>
    <w:rsid w:val="F4FFABF5"/>
    <w:rsid w:val="F53F2524"/>
    <w:rsid w:val="F57E3356"/>
    <w:rsid w:val="F5F7EB80"/>
    <w:rsid w:val="F5FD3E3C"/>
    <w:rsid w:val="F6ADA918"/>
    <w:rsid w:val="F6AE0312"/>
    <w:rsid w:val="F6EFF73C"/>
    <w:rsid w:val="F6FD7AFD"/>
    <w:rsid w:val="F767DFB6"/>
    <w:rsid w:val="F7973F33"/>
    <w:rsid w:val="F7B33113"/>
    <w:rsid w:val="F7B75663"/>
    <w:rsid w:val="F7DF8536"/>
    <w:rsid w:val="F7FAAA95"/>
    <w:rsid w:val="F7FF763A"/>
    <w:rsid w:val="F7FF8BD6"/>
    <w:rsid w:val="F99B9654"/>
    <w:rsid w:val="FABF0FEB"/>
    <w:rsid w:val="FAFF7CFB"/>
    <w:rsid w:val="FB1F0515"/>
    <w:rsid w:val="FB3B4160"/>
    <w:rsid w:val="FB3D879C"/>
    <w:rsid w:val="FB5B1B09"/>
    <w:rsid w:val="FB7CA9DB"/>
    <w:rsid w:val="FBBBB709"/>
    <w:rsid w:val="FBC65E5B"/>
    <w:rsid w:val="FBEAA49B"/>
    <w:rsid w:val="FBEB3B6C"/>
    <w:rsid w:val="FBEBE846"/>
    <w:rsid w:val="FBEFBB2F"/>
    <w:rsid w:val="FBF70F62"/>
    <w:rsid w:val="FBFE1300"/>
    <w:rsid w:val="FBFF62B4"/>
    <w:rsid w:val="FC7F5657"/>
    <w:rsid w:val="FCFE7555"/>
    <w:rsid w:val="FCFF89DA"/>
    <w:rsid w:val="FD1E1620"/>
    <w:rsid w:val="FD57BCBC"/>
    <w:rsid w:val="FD57E888"/>
    <w:rsid w:val="FD7BBEA1"/>
    <w:rsid w:val="FD7D8439"/>
    <w:rsid w:val="FD9E58EC"/>
    <w:rsid w:val="FDAF049E"/>
    <w:rsid w:val="FDBF5532"/>
    <w:rsid w:val="FDDC3D6B"/>
    <w:rsid w:val="FDEB1ABD"/>
    <w:rsid w:val="FDF6B682"/>
    <w:rsid w:val="FDF6E9B8"/>
    <w:rsid w:val="FDFF3E4C"/>
    <w:rsid w:val="FDFF59F7"/>
    <w:rsid w:val="FDFF6D4B"/>
    <w:rsid w:val="FDFFBB53"/>
    <w:rsid w:val="FE0F0E4A"/>
    <w:rsid w:val="FE9514A7"/>
    <w:rsid w:val="FECEF216"/>
    <w:rsid w:val="FEFF553F"/>
    <w:rsid w:val="FF3FF2B8"/>
    <w:rsid w:val="FF65EF6C"/>
    <w:rsid w:val="FF6F793E"/>
    <w:rsid w:val="FF77312F"/>
    <w:rsid w:val="FF77C9A3"/>
    <w:rsid w:val="FF7B4309"/>
    <w:rsid w:val="FF87769C"/>
    <w:rsid w:val="FFAE4DD5"/>
    <w:rsid w:val="FFAF3C8E"/>
    <w:rsid w:val="FFB655D2"/>
    <w:rsid w:val="FFB7BB0E"/>
    <w:rsid w:val="FFBEDD0E"/>
    <w:rsid w:val="FFBEF708"/>
    <w:rsid w:val="FFC93342"/>
    <w:rsid w:val="FFCF46DB"/>
    <w:rsid w:val="FFD03AAA"/>
    <w:rsid w:val="FFDB012D"/>
    <w:rsid w:val="FFDE5259"/>
    <w:rsid w:val="FFE602A8"/>
    <w:rsid w:val="FFE701FD"/>
    <w:rsid w:val="FFE938F0"/>
    <w:rsid w:val="FFEAC492"/>
    <w:rsid w:val="FFEE3B8C"/>
    <w:rsid w:val="FFEF9CA7"/>
    <w:rsid w:val="FFEFD56B"/>
    <w:rsid w:val="FFF973AA"/>
    <w:rsid w:val="FFFB453E"/>
    <w:rsid w:val="FFFC749A"/>
    <w:rsid w:val="FFFCB21E"/>
    <w:rsid w:val="FFFD2E45"/>
    <w:rsid w:val="FFFDBB6A"/>
    <w:rsid w:val="FFFEFFFA"/>
    <w:rsid w:val="FFFFB905"/>
    <w:rsid w:val="FFFFBD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99"/>
    <w:pPr>
      <w:keepNext/>
      <w:keepLines/>
      <w:numPr>
        <w:ilvl w:val="2"/>
        <w:numId w:val="1"/>
      </w:numPr>
      <w:spacing w:before="120" w:after="120" w:line="360" w:lineRule="auto"/>
      <w:outlineLvl w:val="2"/>
    </w:pPr>
    <w:rPr>
      <w:bCs/>
      <w:sz w:val="32"/>
      <w:szCs w:val="32"/>
    </w:rPr>
  </w:style>
  <w:style w:type="paragraph" w:styleId="6">
    <w:name w:val="heading 4"/>
    <w:basedOn w:val="1"/>
    <w:next w:val="1"/>
    <w:unhideWhenUsed/>
    <w:qFormat/>
    <w:uiPriority w:val="99"/>
    <w:pPr>
      <w:keepNext/>
      <w:keepLines/>
      <w:numPr>
        <w:ilvl w:val="3"/>
        <w:numId w:val="1"/>
      </w:numPr>
      <w:spacing w:line="360" w:lineRule="auto"/>
      <w:outlineLvl w:val="3"/>
    </w:pPr>
    <w:rPr>
      <w:rFonts w:asciiTheme="majorHAnsi" w:hAnsiTheme="majorHAnsi" w:eastAsiaTheme="majorEastAsia" w:cstheme="majorBidi"/>
      <w:bCs/>
      <w:sz w:val="30"/>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beforeLines="0" w:after="120" w:afterLines="0"/>
    </w:pPr>
    <w:rPr>
      <w:rFonts w:hint="default"/>
      <w:sz w:val="21"/>
      <w:szCs w:val="24"/>
    </w:rPr>
  </w:style>
  <w:style w:type="paragraph" w:styleId="7">
    <w:name w:val="Normal Indent"/>
    <w:basedOn w:val="1"/>
    <w:next w:val="8"/>
    <w:unhideWhenUsed/>
    <w:qFormat/>
    <w:uiPriority w:val="99"/>
    <w:pPr>
      <w:ind w:firstLine="420"/>
    </w:pPr>
  </w:style>
  <w:style w:type="paragraph" w:customStyle="1" w:styleId="8">
    <w:name w:val="正文内容格式"/>
    <w:basedOn w:val="1"/>
    <w:qFormat/>
    <w:uiPriority w:val="0"/>
    <w:pPr>
      <w:adjustRightInd w:val="0"/>
      <w:snapToGrid w:val="0"/>
      <w:spacing w:line="300" w:lineRule="auto"/>
      <w:textAlignment w:val="baseline"/>
    </w:pPr>
    <w:rPr>
      <w:rFonts w:ascii="宋体" w:hAnsi="宋体"/>
      <w:sz w:val="28"/>
    </w:rPr>
  </w:style>
  <w:style w:type="paragraph" w:styleId="9">
    <w:name w:val="annotation text"/>
    <w:basedOn w:val="1"/>
    <w:semiHidden/>
    <w:unhideWhenUsed/>
    <w:qFormat/>
    <w:uiPriority w:val="99"/>
    <w:pPr>
      <w:jc w:val="left"/>
    </w:pPr>
  </w:style>
  <w:style w:type="paragraph" w:styleId="10">
    <w:name w:val="Body Text Indent"/>
    <w:basedOn w:val="1"/>
    <w:next w:val="11"/>
    <w:qFormat/>
    <w:uiPriority w:val="0"/>
    <w:pPr>
      <w:widowControl w:val="0"/>
      <w:spacing w:line="548" w:lineRule="atLeast"/>
      <w:ind w:firstLine="640"/>
    </w:pPr>
    <w:rPr>
      <w:rFonts w:ascii="楷体_GB2312"/>
      <w:kern w:val="24"/>
    </w:rPr>
  </w:style>
  <w:style w:type="paragraph" w:styleId="11">
    <w:name w:val="envelope return"/>
    <w:basedOn w:val="1"/>
    <w:unhideWhenUsed/>
    <w:qFormat/>
    <w:uiPriority w:val="99"/>
    <w:pPr>
      <w:snapToGrid w:val="0"/>
    </w:pPr>
    <w:rPr>
      <w:rFonts w:ascii="Arial" w:hAnsi="Arial"/>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List"/>
    <w:basedOn w:val="1"/>
    <w:qFormat/>
    <w:uiPriority w:val="0"/>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8">
    <w:name w:val="Body Text First Indent 2"/>
    <w:basedOn w:val="10"/>
    <w:next w:val="15"/>
    <w:qFormat/>
    <w:uiPriority w:val="0"/>
    <w:pPr>
      <w:ind w:firstLine="42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Emphasis"/>
    <w:basedOn w:val="21"/>
    <w:qFormat/>
    <w:uiPriority w:val="20"/>
    <w:rPr>
      <w:i/>
    </w:rPr>
  </w:style>
  <w:style w:type="paragraph" w:customStyle="1" w:styleId="25">
    <w:name w:val="Plain Text1"/>
    <w:basedOn w:val="1"/>
    <w:qFormat/>
    <w:uiPriority w:val="0"/>
    <w:pPr>
      <w:widowControl/>
    </w:pPr>
    <w:rPr>
      <w:rFonts w:ascii="宋体" w:hAnsi="Courier New" w:cs="宋体"/>
      <w:szCs w:val="21"/>
    </w:rPr>
  </w:style>
  <w:style w:type="paragraph" w:customStyle="1" w:styleId="26">
    <w:name w:val="_Style 3"/>
    <w:basedOn w:val="1"/>
    <w:qFormat/>
    <w:uiPriority w:val="34"/>
    <w:pPr>
      <w:ind w:firstLine="420" w:firstLineChars="200"/>
    </w:pPr>
  </w:style>
  <w:style w:type="paragraph" w:customStyle="1" w:styleId="27">
    <w:name w:val="Body text|1"/>
    <w:basedOn w:val="1"/>
    <w:qFormat/>
    <w:uiPriority w:val="0"/>
    <w:pPr>
      <w:spacing w:line="396" w:lineRule="auto"/>
      <w:ind w:firstLine="400"/>
    </w:pPr>
    <w:rPr>
      <w:rFonts w:ascii="宋体" w:hAnsi="宋体" w:eastAsia="宋体" w:cs="宋体"/>
      <w:sz w:val="20"/>
      <w:szCs w:val="20"/>
      <w:lang w:val="zh-CN" w:eastAsia="zh-CN" w:bidi="zh-CN"/>
    </w:rPr>
  </w:style>
  <w:style w:type="character" w:customStyle="1" w:styleId="28">
    <w:name w:val="页眉 Char"/>
    <w:link w:val="13"/>
    <w:qFormat/>
    <w:uiPriority w:val="99"/>
    <w:rPr>
      <w:sz w:val="18"/>
      <w:szCs w:val="18"/>
    </w:rPr>
  </w:style>
  <w:style w:type="character" w:customStyle="1" w:styleId="29">
    <w:name w:val="页脚 Char"/>
    <w:link w:val="12"/>
    <w:qFormat/>
    <w:uiPriority w:val="99"/>
    <w:rPr>
      <w:sz w:val="18"/>
      <w:szCs w:val="18"/>
    </w:rPr>
  </w:style>
  <w:style w:type="paragraph" w:customStyle="1" w:styleId="30">
    <w:name w:val=" Char"/>
    <w:basedOn w:val="1"/>
    <w:qFormat/>
    <w:uiPriority w:val="0"/>
    <w:rPr>
      <w:rFonts w:ascii="Times New Roman" w:hAnsi="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2040</Words>
  <Characters>2080</Characters>
  <Lines>0</Lines>
  <Paragraphs>0</Paragraphs>
  <TotalTime>2</TotalTime>
  <ScaleCrop>false</ScaleCrop>
  <LinksUpToDate>false</LinksUpToDate>
  <CharactersWithSpaces>2080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2012-11-08T19:30:00Z</dcterms:created>
  <dc:creator>袁小欢</dc:creator>
  <cp:lastModifiedBy>魏伟洪</cp:lastModifiedBy>
  <cp:lastPrinted>2025-05-13T06:41:00Z</cp:lastPrinted>
  <dcterms:modified xsi:type="dcterms:W3CDTF">2026-04-22T16:00:49Z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243B91D4E35D4D488C2FCF3EC06A3E32_13</vt:lpwstr>
  </property>
  <property fmtid="{D5CDD505-2E9C-101B-9397-08002B2CF9AE}" pid="4" name="KSOTemplateDocerSaveRecord">
    <vt:lpwstr>eyJoZGlkIjoiMDQ0ZjY5MTI4ZDQ1ZGM2MWVjZWVkYmE3NTNhNWExM2UiLCJ1c2VySWQiOiIyNTE4MDQ5MzcifQ==</vt:lpwstr>
  </property>
</Properties>
</file>