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80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</w:p>
    <w:p w14:paraId="3E8F4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《深圳市龙岗区卫生健康事业发展</w:t>
      </w:r>
    </w:p>
    <w:p w14:paraId="74512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“十五五”规划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》编制说明</w:t>
      </w:r>
    </w:p>
    <w:p w14:paraId="0FC59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textAlignment w:val="auto"/>
        <w:rPr>
          <w:rFonts w:ascii="宋体" w:hAnsi="宋体" w:eastAsia="宋体" w:cs="宋体"/>
          <w:b/>
          <w:bCs/>
          <w:kern w:val="0"/>
          <w:sz w:val="44"/>
          <w:szCs w:val="44"/>
        </w:rPr>
      </w:pPr>
    </w:p>
    <w:p w14:paraId="4F312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《深圳市龙岗区卫生健康事业发展“十五五”规划》起草主要依据《“健康中国</w:t>
      </w:r>
      <w:r>
        <w:rPr>
          <w:rFonts w:ascii="仿宋_GB2312" w:hAnsi="仿宋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2030”规划纲要》</w:t>
      </w:r>
      <w:r>
        <w:rPr>
          <w:rFonts w:hint="eastAsia" w:ascii="仿宋_GB2312" w:hAnsi="仿宋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《“健康广东</w:t>
      </w:r>
      <w:r>
        <w:rPr>
          <w:rFonts w:ascii="仿宋_GB2312" w:hAnsi="仿宋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2030”规划》《</w:t>
      </w:r>
      <w:r>
        <w:rPr>
          <w:rFonts w:hint="eastAsia" w:ascii="仿宋_GB2312" w:hAnsi="仿宋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健康深圳行动（</w:t>
      </w:r>
      <w:r>
        <w:rPr>
          <w:rFonts w:ascii="仿宋_GB2312" w:hAnsi="仿宋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2021-2030 年）》《</w:t>
      </w:r>
      <w:r>
        <w:rPr>
          <w:rFonts w:hint="eastAsia" w:ascii="仿宋_GB2312" w:hAnsi="仿宋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深圳市卫生健康事业发展“十五五”规划</w:t>
      </w:r>
      <w:r>
        <w:rPr>
          <w:rFonts w:ascii="仿宋_GB2312" w:hAnsi="仿宋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》以及《</w:t>
      </w:r>
      <w:r>
        <w:rPr>
          <w:rFonts w:hint="eastAsia" w:ascii="仿宋_GB2312" w:hAnsi="仿宋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健康龙岗行动（2021-2030 年）</w:t>
      </w:r>
      <w:r>
        <w:rPr>
          <w:rFonts w:ascii="仿宋_GB2312" w:hAnsi="仿宋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" w:eastAsia="仿宋_GB2312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《龙岗区卫生健康事业三年提升行动计划（2025年-2027年）》</w:t>
      </w:r>
      <w:r>
        <w:rPr>
          <w:rFonts w:ascii="仿宋_GB2312" w:hAnsi="仿宋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等政策文件。现将</w:t>
      </w:r>
      <w:r>
        <w:rPr>
          <w:rFonts w:hint="eastAsia" w:ascii="仿宋_GB2312" w:hAnsi="仿宋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《深圳市龙岗区卫生健康事业发展“十五五”规划（征求意见稿）》</w:t>
      </w:r>
      <w:r>
        <w:rPr>
          <w:rFonts w:ascii="仿宋_GB2312" w:hAnsi="仿宋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起草情况汇报如下:</w:t>
      </w:r>
    </w:p>
    <w:p w14:paraId="6EEC9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一、编制背景 </w:t>
      </w:r>
    </w:p>
    <w:p w14:paraId="5DF70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十五五”时期是我国开启现代化建设新征程，基本实现社会主义现代化承上启下的关键时期，是全面实施“健康中国2030”规划关键的五年，也是深圳市打造粤港澳大湾区医疗高地，卫生健康事业从“打基础”迈上“建高地”发展新阶段的重要时期。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站在新的历史起点上，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龙岗区肩负着全新的健康使命，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作为深圳市工业大区、创新强区、人口大区，立志推动健康龙岗建设，为建设现代化国际化创新型深圳东部中心筑牢健康根基。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然而目前龙岗区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在优质医疗资源均衡布局、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健康服务能力全方位提升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、智慧医疗深度应用、健康产业发展能级提升等领域，仍有巨大的发展潜力亟待释放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亟需抓住新的发展机遇，实现卫生健康事业发展能级的进一步跃迁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。</w:t>
      </w:r>
    </w:p>
    <w:p w14:paraId="1A914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基于此，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龙岗区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根据国家、省、市关于卫生健康事业发展的最新部署和要求，紧密结合辖区人口结构、健康需求、资源禀赋等实际情况，通过全面、深入的调查研究，广泛汇聚政府部门、医疗机构、专家学者及社会公众等多方智慧，科学研判“十五五”时期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龙岗区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卫生健康事业发展的时代方位、战略定位、目标愿景、实施路径和重点任务，深入谋划重大政策、关键改革和重点项目，制定《深圳市龙岗区卫生健康事业发展“十五五”规划（征求意见稿）》（以下简称《规划（征求意见稿）》），旨在为“健康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龙岗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”建设提供系统、科学的行动纲领，充分发挥规划对全区卫生健康事业高质量发展的战略引领作用，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构建更加优质高效的医疗卫生服务体系，以科技智慧赋能打造龙岗医疗核心竞争力，奋力推动龙岗区卫生健康事业高质量发展。</w:t>
      </w:r>
    </w:p>
    <w:p w14:paraId="062D4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二、编制过程</w:t>
      </w:r>
    </w:p>
    <w:p w14:paraId="76745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照区委区政府的部署，印发《深圳市龙岗区卫生健康事业发展“十五五”规划编制工作方案》，成立深圳市龙岗区卫生健康事业发展“十五五”规划编制工作领导小组、工作小组及写作专班，建立规划编制专职联系人制度。由局主要领导担任领导小组组长，局机关各科室负责人、各医疗集团分管负责人、各区属各卫生健康单位分管负责人担任小组成员，明确编制主要任务、程序、分工和时间安排，提出“深化前期研究、突出发展重点、加强项目谋划、坚持改革创新、规范编制程序、加强规划衔接、加强工作保障”七项工作要求，全力推进</w:t>
      </w:r>
      <w:r>
        <w:rPr>
          <w:rFonts w:hint="eastAsia" w:ascii="仿宋_GB2312" w:hAnsi="仿宋" w:eastAsia="仿宋_GB2312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" w:eastAsia="仿宋_GB2312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十五五</w:t>
      </w:r>
      <w:r>
        <w:rPr>
          <w:rFonts w:hint="eastAsia" w:ascii="仿宋_GB2312" w:hAnsi="仿宋" w:eastAsia="仿宋_GB2312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" w:eastAsia="仿宋_GB2312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规划</w:t>
      </w:r>
      <w:r>
        <w:rPr>
          <w:rFonts w:hint="eastAsia" w:ascii="仿宋_GB2312" w:hAnsi="仿宋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科学编制。</w:t>
      </w:r>
    </w:p>
    <w:p w14:paraId="16923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仿宋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" w:eastAsia="仿宋_GB2312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起，区卫健局组织局各业务分管领导和科室、各医疗集团、区社管中心</w:t>
      </w:r>
      <w:r>
        <w:rPr>
          <w:rFonts w:hint="eastAsia" w:ascii="仿宋_GB2312" w:hAnsi="仿宋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开展10余次专项访谈，3次专项工作推进会，就编制工作方案、基本思路先后6次征求各卫生健康单位意</w:t>
      </w:r>
      <w:r>
        <w:rPr>
          <w:rFonts w:hint="eastAsia" w:ascii="仿宋_GB2312" w:hAnsi="仿宋" w:eastAsia="仿宋_GB2312" w:cs="黑体"/>
          <w:color w:val="auto"/>
          <w:kern w:val="0"/>
          <w:sz w:val="32"/>
          <w:szCs w:val="32"/>
          <w:highlight w:val="none"/>
        </w:rPr>
        <w:t>见</w:t>
      </w:r>
      <w:r>
        <w:rPr>
          <w:rFonts w:hint="eastAsia" w:ascii="仿宋_GB2312" w:hAnsi="仿宋" w:eastAsia="仿宋_GB2312" w:cs="黑体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黑体"/>
          <w:color w:val="auto"/>
          <w:kern w:val="0"/>
          <w:sz w:val="32"/>
          <w:szCs w:val="32"/>
          <w:highlight w:val="none"/>
          <w:shd w:val="clear"/>
          <w:lang w:val="en-US" w:eastAsia="zh-CN"/>
        </w:rPr>
        <w:t>于2024</w:t>
      </w:r>
      <w:r>
        <w:rPr>
          <w:rFonts w:hint="eastAsia" w:ascii="仿宋_GB2312" w:hAnsi="仿宋" w:eastAsia="仿宋_GB2312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年11月形成《龙岗区卫生与健康事业发展“十五五”规划基本思路》，经分管区领导审批后报送区发改局备案</w:t>
      </w:r>
      <w:r>
        <w:rPr>
          <w:rFonts w:hint="eastAsia" w:ascii="仿宋_GB2312" w:hAnsi="仿宋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" w:eastAsia="仿宋_GB2312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2025年3月起，区卫健局组织</w:t>
      </w:r>
      <w:r>
        <w:rPr>
          <w:rFonts w:hint="eastAsia" w:ascii="仿宋_GB2312" w:hAnsi="仿宋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局机关各科室</w:t>
      </w:r>
      <w:r>
        <w:rPr>
          <w:rFonts w:hint="eastAsia" w:ascii="仿宋_GB2312" w:hAnsi="仿宋" w:eastAsia="仿宋_GB2312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ascii="仿宋_GB2312" w:hAnsi="仿宋" w:eastAsia="仿宋_GB2312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区属医疗卫生机构</w:t>
      </w:r>
      <w:r>
        <w:rPr>
          <w:rFonts w:hint="eastAsia" w:ascii="仿宋_GB2312" w:hAnsi="仿宋" w:eastAsia="仿宋_GB2312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就《规划（征求意见稿）》编制开展进一步调研，明确了规划研究思路、各科室重点工作要求等内容，于2025年7月形成“十五五”规划初稿并征求各业务科室意见。2025年9月，区卫健局就《规划（征求意见稿）》编制内容向局各业务分管领导作专项汇报，持续完善《规划（征求意见稿）》内容。2026年1月，《规划（征求意见稿）》定稿，经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分管局领导审批后向区各单位正式征求意见。</w:t>
      </w:r>
    </w:p>
    <w:p w14:paraId="66929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三、主要</w:t>
      </w:r>
      <w:r>
        <w:rPr>
          <w:rFonts w:ascii="黑体" w:hAnsi="黑体" w:eastAsia="黑体" w:cs="黑体"/>
          <w:kern w:val="0"/>
          <w:sz w:val="32"/>
          <w:szCs w:val="32"/>
        </w:rPr>
        <w:t>内容</w:t>
      </w:r>
    </w:p>
    <w:p w14:paraId="346D3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28"/>
        </w:rPr>
      </w:pPr>
      <w:r>
        <w:rPr>
          <w:rFonts w:hint="eastAsia" w:ascii="仿宋_GB2312" w:hAnsi="仿宋" w:eastAsia="仿宋_GB2312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《规划（征求意见稿）》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共分</w:t>
      </w:r>
      <w:r>
        <w:rPr>
          <w:rFonts w:hint="eastAsia" w:ascii="仿宋_GB2312" w:hAnsi="仿宋_GB2312" w:eastAsia="仿宋_GB2312" w:cs="仿宋_GB2312"/>
          <w:strike w:val="0"/>
          <w:dstrike w:val="0"/>
          <w:kern w:val="0"/>
          <w:sz w:val="32"/>
          <w:szCs w:val="28"/>
          <w:highlight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大部分。一是发展基础</w:t>
      </w:r>
      <w:r>
        <w:rPr>
          <w:rFonts w:ascii="仿宋_GB2312" w:hAnsi="仿宋_GB2312" w:eastAsia="仿宋_GB2312" w:cs="仿宋_GB2312"/>
          <w:kern w:val="0"/>
          <w:sz w:val="32"/>
          <w:szCs w:val="28"/>
        </w:rPr>
        <w:t>;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二是面临形势及挑战；三</w:t>
      </w:r>
      <w:r>
        <w:rPr>
          <w:rFonts w:ascii="仿宋_GB2312" w:hAnsi="仿宋_GB2312" w:eastAsia="仿宋_GB2312" w:cs="仿宋_GB2312"/>
          <w:kern w:val="0"/>
          <w:sz w:val="32"/>
          <w:szCs w:val="28"/>
        </w:rPr>
        <w:t>是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指导思想、基本原则与发展目标</w:t>
      </w:r>
      <w:r>
        <w:rPr>
          <w:rFonts w:ascii="仿宋_GB2312" w:hAnsi="仿宋_GB2312" w:eastAsia="仿宋_GB2312" w:cs="仿宋_GB2312"/>
          <w:kern w:val="0"/>
          <w:sz w:val="32"/>
          <w:szCs w:val="28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四</w:t>
      </w:r>
      <w:r>
        <w:rPr>
          <w:rFonts w:ascii="仿宋_GB2312" w:hAnsi="仿宋_GB2312" w:eastAsia="仿宋_GB2312" w:cs="仿宋_GB2312"/>
          <w:kern w:val="0"/>
          <w:sz w:val="32"/>
          <w:szCs w:val="28"/>
        </w:rPr>
        <w:t>是主要任务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五</w:t>
      </w:r>
      <w:r>
        <w:rPr>
          <w:rFonts w:ascii="仿宋_GB2312" w:hAnsi="仿宋_GB2312" w:eastAsia="仿宋_GB2312" w:cs="仿宋_GB2312"/>
          <w:kern w:val="0"/>
          <w:sz w:val="32"/>
          <w:szCs w:val="28"/>
        </w:rPr>
        <w:t>是保障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措施</w:t>
      </w:r>
      <w:r>
        <w:rPr>
          <w:rFonts w:ascii="仿宋_GB2312" w:hAnsi="仿宋_GB2312" w:eastAsia="仿宋_GB2312" w:cs="仿宋_GB2312"/>
          <w:kern w:val="0"/>
          <w:sz w:val="32"/>
          <w:szCs w:val="28"/>
        </w:rPr>
        <w:t>。</w:t>
      </w:r>
    </w:p>
    <w:p w14:paraId="395CE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0"/>
        <w:rPr>
          <w:rFonts w:ascii="楷体_GB2312" w:hAnsi="楷体_GB2312" w:eastAsia="楷体_GB2312" w:cs="楷体_GB2312"/>
          <w:b/>
          <w:bCs/>
          <w:kern w:val="0"/>
          <w:sz w:val="32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28"/>
        </w:rPr>
        <w:t>（一）发展基础</w:t>
      </w:r>
    </w:p>
    <w:p w14:paraId="3C69F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“十四五”时期，健康龙岗建设初具成效，居民全生命周期服务体系初步形成，高质量公共卫生安全防控体系与应急防控救治体系不断健全，卫生资源配置结构持续优化，多样化医疗服务供给能力稳步提升，整合协同的医疗服务体系基本建立，全区高水平医疗项目、学科建设与人才引育工作进展顺利，</w:t>
      </w:r>
      <w:r>
        <w:rPr>
          <w:rFonts w:hint="eastAsia" w:ascii="仿宋_GB2312" w:hAnsi="黑体" w:eastAsia="仿宋_GB2312" w:cs="Times New Roman"/>
          <w:b w:val="0"/>
          <w:bCs/>
          <w:kern w:val="44"/>
          <w:sz w:val="32"/>
          <w:szCs w:val="44"/>
          <w:lang w:val="en-US" w:eastAsia="zh-CN"/>
        </w:rPr>
        <w:t>生命健康产业发展进一步加速，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卫健系统智慧化、信息化水平不断提升，卫生健康法治建设持续深入，卫生健康事业发展“十四五”规划确定的规划指标、重点任务与重大项目建设基本完成。</w:t>
      </w:r>
    </w:p>
    <w:p w14:paraId="2D734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0"/>
        <w:rPr>
          <w:rFonts w:ascii="楷体_GB2312" w:hAnsi="楷体_GB2312" w:eastAsia="楷体_GB2312" w:cs="楷体_GB2312"/>
          <w:b/>
          <w:bCs/>
          <w:kern w:val="0"/>
          <w:sz w:val="32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28"/>
        </w:rPr>
        <w:t>（二）面临形势及挑战</w:t>
      </w:r>
    </w:p>
    <w:p w14:paraId="0E833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28"/>
        </w:rPr>
      </w:pPr>
      <w:r>
        <w:rPr>
          <w:rFonts w:hint="eastAsia" w:ascii="仿宋_GB2312" w:hAnsi="仿宋" w:eastAsia="仿宋_GB2312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《规划（征求意见稿）》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剖析当前卫生健康事业发展面临的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形势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存在的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挑战，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8"/>
          <w:lang w:val="en-US" w:eastAsia="zh-CN"/>
        </w:rPr>
        <w:t>面临形势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体现在四个方面：国家对卫生健康事业发展提出新要求，数智赋能成为医疗高地建设新引擎，健康产业成为未来经济发展新焦点，国际化水平成为医疗服务能力建设新标准；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8"/>
        </w:rPr>
        <w:t>挑战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体现在四个方面：区域定位升级对卫生服务资源配置提出更高要求，健康服务水平与居民日益增长的健康需求尚存在差距，卫生信息化建设与智慧医疗服务水平有待进一步提高，区属公立医院经济运营压力加剧。</w:t>
      </w:r>
    </w:p>
    <w:p w14:paraId="25C1B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0"/>
        <w:rPr>
          <w:rFonts w:ascii="楷体_GB2312" w:hAnsi="楷体_GB2312" w:eastAsia="楷体_GB2312" w:cs="楷体_GB2312"/>
          <w:b/>
          <w:bCs/>
          <w:kern w:val="0"/>
          <w:sz w:val="32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28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28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28"/>
        </w:rPr>
        <w:t>）指导思想、基本原则与发展目标</w:t>
      </w:r>
    </w:p>
    <w:p w14:paraId="33862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28"/>
        </w:rPr>
      </w:pPr>
      <w:r>
        <w:rPr>
          <w:rFonts w:hint="eastAsia" w:ascii="仿宋_GB2312" w:hAnsi="仿宋" w:eastAsia="仿宋_GB2312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《规划（征求意见稿）》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以习近平新时代中国特色社会主义思想为指导，全面贯彻落实党的二十大和二十届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历次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全会精神，贯彻落实38字卫生方针，深入学习习近平总书记关于卫生健康工作的重要论述和对广东、深圳系列重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讲话和重要指示精神，紧紧围绕奋力谱写中国式现代化深圳篇章、推动实现中国特色社会主义先行示范区第二阶段目标的中心任务，坚持以人民为中心的发展思想，牢固树立和贯彻落实新发展理念，坚持新时代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党的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卫生与健康工作方针，深入实施“健康龙岗 全民共享”行动，积极构建更加优质高效的医疗卫生服务体系，完善全生命周期居民健康管理链条，以科技智慧赋能打造龙岗医疗核心竞争力，奋力推动龙岗区卫生健康事业高质量发展，为龙岗建设好现代化国际化创新型深圳东部中心筑牢健康根基。</w:t>
      </w:r>
    </w:p>
    <w:p w14:paraId="4C6C2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28"/>
        </w:rPr>
      </w:pPr>
      <w:r>
        <w:rPr>
          <w:rFonts w:hint="eastAsia" w:ascii="仿宋_GB2312" w:hAnsi="仿宋" w:eastAsia="仿宋_GB2312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《规划（征求意见稿）》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28"/>
        </w:rPr>
        <w:t>基本思路</w:t>
      </w:r>
      <w:r>
        <w:rPr>
          <w:rFonts w:ascii="仿宋_GB2312" w:hAnsi="仿宋_GB2312" w:eastAsia="仿宋_GB2312" w:cs="仿宋_GB2312"/>
          <w:kern w:val="0"/>
          <w:sz w:val="32"/>
          <w:szCs w:val="28"/>
        </w:rPr>
        <w:t>坚持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28"/>
        </w:rPr>
        <w:t>健康优先，全民参与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28"/>
        </w:rPr>
        <w:t>改革创新，科技赋能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战略导向，服务发展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28"/>
          <w:lang w:val="en-US" w:eastAsia="zh-CN"/>
        </w:rPr>
        <w:t>四大基本原则，提出了</w:t>
      </w:r>
      <w:r>
        <w:rPr>
          <w:rFonts w:hint="eastAsia" w:ascii="仿宋_GB2312" w:hAnsi="仿宋" w:eastAsia="仿宋_GB2312" w:cs="仿宋"/>
          <w:color w:val="000000"/>
          <w:sz w:val="32"/>
          <w:szCs w:val="32"/>
          <w:highlight w:val="none"/>
        </w:rPr>
        <w:t>以打造深圳东部医疗高地、智慧医疗示范区、健康产业创新极为</w:t>
      </w:r>
      <w:r>
        <w:rPr>
          <w:rFonts w:hint="eastAsia" w:ascii="仿宋_GB2312" w:hAnsi="仿宋" w:eastAsia="仿宋_GB2312" w:cs="仿宋"/>
          <w:color w:val="000000"/>
          <w:sz w:val="32"/>
          <w:szCs w:val="32"/>
          <w:highlight w:val="none"/>
          <w:lang w:val="en-US" w:eastAsia="zh-CN"/>
        </w:rPr>
        <w:t>总指引</w:t>
      </w:r>
      <w:r>
        <w:rPr>
          <w:rFonts w:hint="eastAsia" w:ascii="仿宋_GB2312" w:hAnsi="仿宋" w:eastAsia="仿宋_GB2312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提强补弱实现医疗资源均衡布局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统筹整合推动医疗服务体系优化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防治一体加强公卫应急体系建设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全民参与提升居民整体健康水平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HT（Healthcare &amp; Technology，医疗健康与技术）引领健康产业能级跃迁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数智赋能激活卫生事业发展动力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为分任务的发展目标，构建了涵盖健康水平、健康管理、健康资源、健康高地四大板块17项指标的指标体系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。</w:t>
      </w:r>
    </w:p>
    <w:p w14:paraId="40D58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0"/>
        <w:rPr>
          <w:rFonts w:ascii="楷体_GB2312" w:hAnsi="楷体_GB2312" w:eastAsia="楷体_GB2312" w:cs="楷体_GB2312"/>
          <w:b/>
          <w:bCs/>
          <w:kern w:val="0"/>
          <w:sz w:val="32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28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28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28"/>
        </w:rPr>
        <w:t>）主要任务</w:t>
      </w:r>
    </w:p>
    <w:p w14:paraId="6E52D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根据总体发展目标和战略路径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8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具体提出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项重点任务：</w:t>
      </w:r>
    </w:p>
    <w:p w14:paraId="23728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28"/>
        </w:rPr>
      </w:pPr>
      <w:r>
        <w:rPr>
          <w:rFonts w:ascii="仿宋_GB2312" w:hAnsi="仿宋_GB2312" w:eastAsia="仿宋_GB2312" w:cs="仿宋_GB2312"/>
          <w:kern w:val="0"/>
          <w:sz w:val="32"/>
          <w:szCs w:val="28"/>
        </w:rPr>
        <w:t>一是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8"/>
        </w:rPr>
        <w:t>优化医疗卫生资源配置，构建整合型医疗服务新体系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28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加强医疗服务体系顶层设计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eastAsia="zh-CN"/>
        </w:rPr>
        <w:t>，提升医学学科整体建设水平，稳步提升医疗服务能力水准， 完善医疗救治网络专项，全面加强医学人才队伍建设，完善多方位人才保障体系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。</w:t>
      </w:r>
    </w:p>
    <w:p w14:paraId="13639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28"/>
        </w:rPr>
      </w:pPr>
      <w:r>
        <w:rPr>
          <w:rFonts w:ascii="仿宋_GB2312" w:hAnsi="仿宋_GB2312" w:eastAsia="仿宋_GB2312" w:cs="仿宋_GB2312"/>
          <w:kern w:val="0"/>
          <w:sz w:val="32"/>
          <w:szCs w:val="28"/>
        </w:rPr>
        <w:t>二是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8"/>
        </w:rPr>
        <w:t>加强公共卫生体系建设，打造更有韧性健康城区</w:t>
      </w:r>
      <w:r>
        <w:rPr>
          <w:rFonts w:ascii="仿宋_GB2312" w:hAnsi="仿宋_GB2312" w:eastAsia="仿宋_GB2312" w:cs="仿宋_GB2312"/>
          <w:b/>
          <w:bCs/>
          <w:kern w:val="0"/>
          <w:sz w:val="32"/>
          <w:szCs w:val="28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构建公共卫生体系协同发展新局面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eastAsia="zh-CN"/>
        </w:rPr>
        <w:t>，全面提升疾病防控专业能力，提升公共卫生应急防控能力，建立健全多点触发传染病监测预警体系，提升突发公共卫生事件应急处置能力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。</w:t>
      </w:r>
    </w:p>
    <w:p w14:paraId="223DB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三是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8"/>
        </w:rPr>
        <w:t>深入推进健康龙岗建设，提升多元医疗服务供给能力。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全面开展健康龙岗专项行动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eastAsia="zh-CN"/>
        </w:rPr>
        <w:t>，提高居民健康素养水平，开展重点人群健康保护行动，健全老年健康服务体系，加快构建生育友好型社会，完善多元托育服务供给体系，打造高水平健康服务业品牌，全方面深化深港医疗协作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。</w:t>
      </w:r>
    </w:p>
    <w:p w14:paraId="3C762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四是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8"/>
        </w:rPr>
        <w:t>推进医产学研联动发展，建设生命健康产业集群。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推动提升医疗机构科研能力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eastAsia="zh-CN"/>
        </w:rPr>
        <w:t>，打造医研产多元创新载体，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持续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eastAsia="zh-CN"/>
        </w:rPr>
        <w:t>提升健康产业发展能级，强力推进招商引资工作，完善多方协同的产业生态系统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。</w:t>
      </w:r>
    </w:p>
    <w:p w14:paraId="62E67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五是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8"/>
        </w:rPr>
        <w:t>坚持中医传承创新发展，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28"/>
          <w:highlight w:val="none"/>
          <w:lang w:eastAsia="zh-CN"/>
        </w:rPr>
        <w:t>打造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28"/>
          <w:highlight w:val="none"/>
        </w:rPr>
        <w:t>基层中医药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28"/>
          <w:highlight w:val="none"/>
          <w:lang w:eastAsia="zh-CN"/>
        </w:rPr>
        <w:t>服务样板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8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提升医疗机构中医药发展水平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eastAsia="zh-CN"/>
        </w:rPr>
        <w:t>，强化中医药特色专科和人才队伍建设，拓展中医药健康服务能力，推进中医药科技创新及成果转化，推动中医药文化传承发展与交流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。</w:t>
      </w:r>
    </w:p>
    <w:p w14:paraId="26DBC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六是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8"/>
        </w:rPr>
        <w:t>强化数智健康深度赋能，推进卫生健康数字化转型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。夯实数智基础设施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建设，推动智慧医院建设与信创改造工作，丰富卫健人工智能应用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。</w:t>
      </w:r>
    </w:p>
    <w:p w14:paraId="68656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七是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8"/>
        </w:rPr>
        <w:t>深化医药卫生体制改革，构建行业高质量发展新机制。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深化公立医院薪酬制度改革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eastAsia="zh-CN"/>
        </w:rPr>
        <w:t>，完善公立医院精细化管理制度体系，全面提升卫生健康法治化水平，优化卫生监督执法工作，全面提升政务服务效能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。</w:t>
      </w:r>
    </w:p>
    <w:p w14:paraId="1095C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八是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8"/>
        </w:rPr>
        <w:t>加强党的全面建设引领，完善党的组织体系建设。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加强党对卫生健康工作的全面领导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eastAsia="zh-CN"/>
        </w:rPr>
        <w:t>，加强卫生健康系统基层党组织建设，做优做强“医心向党•健康惠民”党建品牌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。</w:t>
      </w:r>
    </w:p>
    <w:p w14:paraId="6B085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0"/>
        <w:rPr>
          <w:rFonts w:ascii="楷体_GB2312" w:hAnsi="楷体_GB2312" w:eastAsia="楷体_GB2312" w:cs="楷体_GB2312"/>
          <w:b/>
          <w:bCs/>
          <w:kern w:val="0"/>
          <w:sz w:val="32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28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28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28"/>
        </w:rPr>
        <w:t>）保障措施</w:t>
      </w:r>
    </w:p>
    <w:p w14:paraId="23C63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要实现我区卫生健康事业“十五五”规划提出的目标和任务，着重采取以下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个方面的保障措施。一是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8"/>
        </w:rPr>
        <w:t>加强组织领导。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搭建有效得力的工作体系，将规划目标列入政府的工作目标和考核目标。二是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8"/>
        </w:rPr>
        <w:t>推进依法行政。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建立健全依法行政制度体系，持续修订完善相关制度，并加强宣传贯彻。健全依法行政决策机制。三是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8"/>
        </w:rPr>
        <w:t>完善投入机制。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加强政府卫生健康投入支撑保障，优化支出结构，切实提升财政资金使用效益。四是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8"/>
        </w:rPr>
        <w:t>做好监测评估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。建立对规划实施过程的监测和评估机制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根据规划任务科学制定监测评估指标体系</w:t>
      </w:r>
      <w:r>
        <w:rPr>
          <w:rFonts w:ascii="仿宋_GB2312" w:hAnsi="仿宋_GB2312" w:eastAsia="仿宋_GB2312" w:cs="仿宋_GB2312"/>
          <w:kern w:val="0"/>
          <w:sz w:val="32"/>
          <w:szCs w:val="28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四是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8"/>
        </w:rPr>
        <w:t>强化宣传引导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。加强正面宣传、科学引导和典型报道，提升全社会对健康龙岗建设的普遍认知与认同</w:t>
      </w:r>
      <w:r>
        <w:rPr>
          <w:rFonts w:ascii="仿宋_GB2312" w:hAnsi="仿宋_GB2312" w:eastAsia="仿宋_GB2312" w:cs="仿宋_GB2312"/>
          <w:kern w:val="0"/>
          <w:sz w:val="32"/>
          <w:szCs w:val="28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0696297"/>
    </w:sdtPr>
    <w:sdtContent>
      <w:p w14:paraId="6522EAEE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5DFD22AF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67"/>
    <w:rsid w:val="00010AF0"/>
    <w:rsid w:val="000346FB"/>
    <w:rsid w:val="000960C5"/>
    <w:rsid w:val="00096D97"/>
    <w:rsid w:val="000C353E"/>
    <w:rsid w:val="000D2ED1"/>
    <w:rsid w:val="00122E12"/>
    <w:rsid w:val="00125EB5"/>
    <w:rsid w:val="001421B4"/>
    <w:rsid w:val="001740BA"/>
    <w:rsid w:val="00180686"/>
    <w:rsid w:val="00181E0A"/>
    <w:rsid w:val="00194C0F"/>
    <w:rsid w:val="001C01DF"/>
    <w:rsid w:val="001F32C4"/>
    <w:rsid w:val="0020543E"/>
    <w:rsid w:val="00221440"/>
    <w:rsid w:val="00231F90"/>
    <w:rsid w:val="00251745"/>
    <w:rsid w:val="002705C2"/>
    <w:rsid w:val="002B0B13"/>
    <w:rsid w:val="002C604D"/>
    <w:rsid w:val="002D3D68"/>
    <w:rsid w:val="002E2F73"/>
    <w:rsid w:val="00304E39"/>
    <w:rsid w:val="003255C2"/>
    <w:rsid w:val="00390026"/>
    <w:rsid w:val="00395091"/>
    <w:rsid w:val="003C2E44"/>
    <w:rsid w:val="00400056"/>
    <w:rsid w:val="0041291D"/>
    <w:rsid w:val="0044380E"/>
    <w:rsid w:val="00477A7A"/>
    <w:rsid w:val="004D2EB0"/>
    <w:rsid w:val="00544331"/>
    <w:rsid w:val="00580063"/>
    <w:rsid w:val="005B37FE"/>
    <w:rsid w:val="005B677F"/>
    <w:rsid w:val="006609F4"/>
    <w:rsid w:val="006817B2"/>
    <w:rsid w:val="006A117C"/>
    <w:rsid w:val="006A3B14"/>
    <w:rsid w:val="006D3DF8"/>
    <w:rsid w:val="006F769F"/>
    <w:rsid w:val="0070663D"/>
    <w:rsid w:val="00723012"/>
    <w:rsid w:val="00731294"/>
    <w:rsid w:val="007B3496"/>
    <w:rsid w:val="007E0BC2"/>
    <w:rsid w:val="00837A4C"/>
    <w:rsid w:val="00837C4D"/>
    <w:rsid w:val="00872C97"/>
    <w:rsid w:val="00875716"/>
    <w:rsid w:val="00881E81"/>
    <w:rsid w:val="0088548F"/>
    <w:rsid w:val="008D03B4"/>
    <w:rsid w:val="00911C63"/>
    <w:rsid w:val="00947C83"/>
    <w:rsid w:val="00954983"/>
    <w:rsid w:val="00975FF4"/>
    <w:rsid w:val="009C34E0"/>
    <w:rsid w:val="00A05BC2"/>
    <w:rsid w:val="00AB3E6E"/>
    <w:rsid w:val="00AC7A14"/>
    <w:rsid w:val="00AD7B9B"/>
    <w:rsid w:val="00AF4FCB"/>
    <w:rsid w:val="00B04009"/>
    <w:rsid w:val="00B355BC"/>
    <w:rsid w:val="00B523A7"/>
    <w:rsid w:val="00B80CE5"/>
    <w:rsid w:val="00B84816"/>
    <w:rsid w:val="00BB527C"/>
    <w:rsid w:val="00BC043A"/>
    <w:rsid w:val="00BD71EC"/>
    <w:rsid w:val="00BF6D0E"/>
    <w:rsid w:val="00C012F8"/>
    <w:rsid w:val="00C116CC"/>
    <w:rsid w:val="00C45FCB"/>
    <w:rsid w:val="00C634F0"/>
    <w:rsid w:val="00C946A1"/>
    <w:rsid w:val="00CB32BE"/>
    <w:rsid w:val="00CD0D67"/>
    <w:rsid w:val="00CF3359"/>
    <w:rsid w:val="00D4341F"/>
    <w:rsid w:val="00D646C1"/>
    <w:rsid w:val="00D70431"/>
    <w:rsid w:val="00DB07E8"/>
    <w:rsid w:val="00E10D37"/>
    <w:rsid w:val="00E33BE9"/>
    <w:rsid w:val="00E43752"/>
    <w:rsid w:val="00E56E01"/>
    <w:rsid w:val="00E65E88"/>
    <w:rsid w:val="00EC561B"/>
    <w:rsid w:val="00EE2C4F"/>
    <w:rsid w:val="00F279E9"/>
    <w:rsid w:val="00F31DB2"/>
    <w:rsid w:val="00F457DE"/>
    <w:rsid w:val="00F7225D"/>
    <w:rsid w:val="00F74246"/>
    <w:rsid w:val="00F85A0D"/>
    <w:rsid w:val="00F9290A"/>
    <w:rsid w:val="07FFD5E6"/>
    <w:rsid w:val="0B7A6107"/>
    <w:rsid w:val="12DC0518"/>
    <w:rsid w:val="17FFC78A"/>
    <w:rsid w:val="190C62AF"/>
    <w:rsid w:val="213A47C0"/>
    <w:rsid w:val="34125129"/>
    <w:rsid w:val="36E756E6"/>
    <w:rsid w:val="45C32EEB"/>
    <w:rsid w:val="4A8E66BE"/>
    <w:rsid w:val="4BD905AE"/>
    <w:rsid w:val="4F891A5E"/>
    <w:rsid w:val="5B4960AA"/>
    <w:rsid w:val="5FDEC43C"/>
    <w:rsid w:val="611F1005"/>
    <w:rsid w:val="6CDE55CC"/>
    <w:rsid w:val="6D343E1F"/>
    <w:rsid w:val="EFBF367B"/>
    <w:rsid w:val="FDFB94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4">
    <w:name w:val="Document Map"/>
    <w:basedOn w:val="1"/>
    <w:link w:val="1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文档结构图 Char"/>
    <w:basedOn w:val="9"/>
    <w:link w:val="4"/>
    <w:semiHidden/>
    <w:qFormat/>
    <w:uiPriority w:val="99"/>
    <w:rPr>
      <w:rFonts w:ascii="宋体" w:eastAsia="宋体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3824</Words>
  <Characters>3878</Characters>
  <Lines>27</Lines>
  <Paragraphs>7</Paragraphs>
  <TotalTime>0</TotalTime>
  <ScaleCrop>false</ScaleCrop>
  <LinksUpToDate>false</LinksUpToDate>
  <CharactersWithSpaces>3881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2025-09-11T18:16:00Z</dcterms:created>
  <dc:creator>Wang Xu</dc:creator>
  <cp:lastModifiedBy>李绮珊</cp:lastModifiedBy>
  <dcterms:modified xsi:type="dcterms:W3CDTF">2026-04-21T15:26:30Z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BD03F00CE87E13C1A18DE569A634D91D_43</vt:lpwstr>
  </property>
  <property fmtid="{D5CDD505-2E9C-101B-9397-08002B2CF9AE}" pid="4" name="KSOTemplateDocerSaveRecord">
    <vt:lpwstr>eyJoZGlkIjoiNmIxMmRkYzhhZjZhMTMxOGQ1ODE5ZTBjNTQ1NzBlM2EiLCJ1c2VySWQiOiIxMTc4MTUwMTY4In0=</vt:lpwstr>
  </property>
</Properties>
</file>