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附件四：</w:t>
      </w:r>
      <w:r>
        <w:rPr>
          <w:rFonts w:hint="eastAsia"/>
          <w:b/>
          <w:bCs/>
          <w:sz w:val="28"/>
          <w:szCs w:val="28"/>
        </w:rPr>
        <w:t>龙岗区进一步规范政商交往行为告知书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龙岗区进一步规范政商交往行为告知书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为深入构建“亲”“清”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一、不得向公职人员赠送礼品、礼金、消费卡等财物。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二、不得违规向公职人员提供宴请、旅游、娱乐等安排。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三、不得通过打麻将等形式向公职人员输送利益。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四、不得为公职人员报销应由其个人支付的费用。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五、不得违规向公职人员及其亲友借贷款。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六、不得违规将车辆、住房等借给公职人员使用。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七、不得在招投标中与公职人员搞暗箱操作、围标串标。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八、不得为利益相关人和公职人员牵线搭桥或者代为传递信息、传递财物。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九、不得让公职人员在企业违规兼职取酬。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十、不得为公职人员亲友违规承揽业务提供便利。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本人已知晓上述告知内容，并愿意遵照执行（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签字盖章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r>
        <w:rPr>
          <w:rFonts w:hint="eastAsia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cs="宋体"/>
          <w:color w:val="000000"/>
          <w:sz w:val="24"/>
          <w:szCs w:val="24"/>
          <w:lang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C5F6DE3"/>
    <w:rsid w:val="7D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陈明明</cp:lastModifiedBy>
  <dcterms:modified xsi:type="dcterms:W3CDTF">2026-04-20T11:13:55Z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