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附件一：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响应文件一览表</w:t>
      </w:r>
    </w:p>
    <w:p>
      <w:pPr>
        <w:widowControl/>
        <w:spacing w:line="560" w:lineRule="exact"/>
        <w:jc w:val="center"/>
        <w:rPr>
          <w:rFonts w:ascii="仿宋" w:hAnsi="仿宋" w:eastAsia="仿宋" w:cs="宋体"/>
          <w:b/>
          <w:color w:val="auto"/>
          <w:kern w:val="0"/>
          <w:sz w:val="30"/>
          <w:szCs w:val="30"/>
        </w:rPr>
      </w:pPr>
    </w:p>
    <w:p>
      <w:pPr>
        <w:widowControl/>
        <w:spacing w:line="560" w:lineRule="exact"/>
        <w:jc w:val="center"/>
        <w:rPr>
          <w:rFonts w:ascii="仿宋" w:hAnsi="仿宋" w:eastAsia="仿宋" w:cs="宋体"/>
          <w:color w:val="auto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auto"/>
          <w:kern w:val="0"/>
          <w:sz w:val="30"/>
          <w:szCs w:val="30"/>
        </w:rPr>
        <w:t>响应文件要求一览表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default" w:ascii="宋体" w:hAnsi="宋体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承诺函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及投标报价表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</w:rPr>
              <w:t>报价不得超过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投标报价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上限价，保留小数点后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龙岗区进一步规范政商交往行为告知书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加盖公章。</w:t>
            </w:r>
          </w:p>
          <w:p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企业实力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根据附件综合评分表要求的证明材料提供。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如有。</w:t>
            </w:r>
          </w:p>
        </w:tc>
      </w:tr>
    </w:tbl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</w:rPr>
        <w:t>备注：以上提供资料均须加盖公章，未加盖公章资料视为无效资料。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BA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陈明明</cp:lastModifiedBy>
  <dcterms:modified xsi:type="dcterms:W3CDTF">2026-04-20T09:40:41Z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