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5E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sz w:val="44"/>
          <w:szCs w:val="44"/>
          <w:lang w:val="en-US" w:eastAsia="zh-CN"/>
        </w:rPr>
      </w:pPr>
      <w:bookmarkStart w:id="2" w:name="_GoBack"/>
      <w:bookmarkEnd w:id="2"/>
      <w:r>
        <w:rPr>
          <w:rFonts w:hint="eastAsia" w:ascii="宋体" w:hAnsi="宋体" w:eastAsia="宋体" w:cs="宋体"/>
          <w:b w:val="0"/>
          <w:bCs/>
          <w:sz w:val="44"/>
          <w:szCs w:val="44"/>
          <w:lang w:val="en-US" w:eastAsia="zh-CN"/>
        </w:rPr>
        <w:t>生殖医学中心专用配电柜采购项目</w:t>
      </w:r>
    </w:p>
    <w:p w14:paraId="2DA8BB60">
      <w:pPr>
        <w:ind w:firstLine="640" w:firstLineChars="200"/>
        <w:rPr>
          <w:rFonts w:hint="eastAsia" w:ascii="仿宋_GB2312" w:hAnsi="仿宋_GB2312" w:eastAsia="仿宋_GB2312" w:cs="仿宋_GB2312"/>
          <w:sz w:val="32"/>
          <w:szCs w:val="32"/>
        </w:rPr>
      </w:pPr>
    </w:p>
    <w:p w14:paraId="124F6C14">
      <w:pPr>
        <w:ind w:firstLine="640" w:firstLineChars="200"/>
        <w:rPr>
          <w:rFonts w:hint="default"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报价要求</w:t>
      </w:r>
    </w:p>
    <w:p w14:paraId="0915566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1.预算金额：96905.95元。</w:t>
      </w:r>
    </w:p>
    <w:p w14:paraId="4B68FD3F">
      <w:pPr>
        <w:widowControl/>
        <w:spacing w:line="360" w:lineRule="auto"/>
        <w:ind w:firstLine="640"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lang w:val="en-US" w:eastAsia="zh-CN"/>
        </w:rPr>
        <w:t>二、项目需求清单</w:t>
      </w:r>
    </w:p>
    <w:p w14:paraId="1A19A8AE">
      <w:pPr>
        <w:keepNext w:val="0"/>
        <w:keepLines w:val="0"/>
        <w:pageBreakBefore w:val="0"/>
        <w:widowControl w:val="0"/>
        <w:kinsoku/>
        <w:wordWrap/>
        <w:overflowPunct/>
        <w:topLinePunct w:val="0"/>
        <w:autoSpaceDE/>
        <w:autoSpaceDN/>
        <w:bidi w:val="0"/>
        <w:adjustRightInd w:val="0"/>
        <w:snapToGrid w:val="0"/>
        <w:ind w:leftChars="0" w:firstLine="640" w:firstLineChars="200"/>
        <w:textAlignment w:val="auto"/>
        <w:rPr>
          <w:rFonts w:hint="default"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1.本项目服务范围：在医院配电房安装两台配电柜（动力柜），含电缆桥架，电缆和其他配套设施的制作及安装。</w:t>
      </w:r>
    </w:p>
    <w:p w14:paraId="7F94086B">
      <w:pPr>
        <w:ind w:firstLine="643" w:firstLineChars="200"/>
        <w:rPr>
          <w:rFonts w:hint="eastAsia" w:ascii="仿宋_GB2312" w:hAnsi="仿宋_GB2312" w:eastAsia="仿宋_GB2312" w:cs="仿宋_GB2312"/>
          <w:b/>
          <w:sz w:val="32"/>
          <w:szCs w:val="32"/>
          <w:lang w:val="en-US" w:eastAsia="zh-CN"/>
        </w:rPr>
      </w:pPr>
      <w:bookmarkStart w:id="0" w:name="_Toc11426271"/>
      <w:r>
        <w:rPr>
          <w:rFonts w:hint="eastAsia" w:ascii="仿宋_GB2312" w:hAnsi="仿宋_GB2312" w:eastAsia="仿宋_GB2312" w:cs="仿宋_GB2312"/>
          <w:b/>
          <w:sz w:val="32"/>
          <w:szCs w:val="32"/>
          <w:lang w:val="en-US" w:eastAsia="zh-CN"/>
        </w:rPr>
        <w:t>三、项目清单</w:t>
      </w:r>
    </w:p>
    <w:p w14:paraId="3BBE23D9">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供应商现场踏勘，根据现场情况及自身实力制定合理的服务清单。但服务内容包括但不限于以下内容：</w:t>
      </w:r>
    </w:p>
    <w:p w14:paraId="2A3B8D59">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1、新装两台配电柜（动力柜），额定电流800A,额定电压400V；</w:t>
      </w:r>
    </w:p>
    <w:p w14:paraId="0CD42847">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2、定制、安装电缆桥架150*20mm两套；</w:t>
      </w:r>
    </w:p>
    <w:p w14:paraId="24DE8E3B">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3、敷设低压电缆YJV-4*240mm+1*120mm55米（预估，按照实际情况安装）；</w:t>
      </w:r>
    </w:p>
    <w:p w14:paraId="30DD8A2C">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4、电缆终端头制作；</w:t>
      </w:r>
    </w:p>
    <w:p w14:paraId="4B126196">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5、安装配电箱及线路；</w:t>
      </w:r>
    </w:p>
    <w:p w14:paraId="66D6C375">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6、线管、辅材及其他材料；</w:t>
      </w:r>
    </w:p>
    <w:p w14:paraId="5022230E">
      <w:pPr>
        <w:ind w:firstLine="640" w:firstLineChars="200"/>
        <w:rPr>
          <w:rFonts w:hint="eastAsia" w:ascii="仿宋_GB2312" w:hAnsi="仿宋_GB2312" w:eastAsia="仿宋_GB2312" w:cs="仿宋_GB2312"/>
          <w:b w:val="0"/>
          <w:bCs/>
          <w:color w:val="auto"/>
          <w:kern w:val="2"/>
          <w:sz w:val="32"/>
          <w:szCs w:val="32"/>
          <w:highlight w:val="none"/>
          <w:lang w:val="en-US" w:eastAsia="zh-CN" w:bidi="ar-SA"/>
        </w:rPr>
      </w:pPr>
      <w:r>
        <w:rPr>
          <w:rFonts w:hint="eastAsia" w:ascii="仿宋_GB2312" w:hAnsi="仿宋_GB2312" w:eastAsia="仿宋_GB2312" w:cs="仿宋_GB2312"/>
          <w:b w:val="0"/>
          <w:bCs/>
          <w:color w:val="auto"/>
          <w:kern w:val="2"/>
          <w:sz w:val="32"/>
          <w:szCs w:val="32"/>
          <w:highlight w:val="none"/>
          <w:lang w:val="en-US" w:eastAsia="zh-CN" w:bidi="ar-SA"/>
        </w:rPr>
        <w:t>四、服务人员要求</w:t>
      </w:r>
    </w:p>
    <w:p w14:paraId="24AC68B0">
      <w:pPr>
        <w:numPr>
          <w:ilvl w:val="-1"/>
          <w:numId w:val="0"/>
        </w:numPr>
        <w:adjustRightInd w:val="0"/>
        <w:snapToGrid w:val="0"/>
        <w:spacing w:line="360" w:lineRule="auto"/>
        <w:ind w:left="-19" w:leftChars="-9" w:firstLine="761" w:firstLineChars="237"/>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color w:val="auto"/>
          <w:kern w:val="2"/>
          <w:sz w:val="32"/>
          <w:szCs w:val="32"/>
          <w:highlight w:val="none"/>
          <w:lang w:val="en-US" w:eastAsia="zh-CN" w:bidi="ar-SA"/>
        </w:rPr>
        <w:t>投标人承诺在进行带电作业时，工作人员持有有效期内的高压和低压电工作业证，</w:t>
      </w:r>
      <w:r>
        <w:rPr>
          <w:rFonts w:hint="eastAsia" w:ascii="仿宋_GB2312" w:hAnsi="仿宋_GB2312" w:eastAsia="仿宋_GB2312" w:cs="仿宋_GB2312"/>
          <w:b w:val="0"/>
          <w:bCs w:val="0"/>
          <w:color w:val="auto"/>
          <w:sz w:val="32"/>
          <w:szCs w:val="32"/>
          <w:highlight w:val="none"/>
          <w:lang w:val="en-US" w:eastAsia="zh-CN"/>
        </w:rPr>
        <w:t>并严格按国家相关规定进行操作。（投标人提供承诺函，格式自拟）</w:t>
      </w:r>
    </w:p>
    <w:p w14:paraId="1D3155B5">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五、项目商务要求</w:t>
      </w:r>
    </w:p>
    <w:bookmarkEnd w:id="0"/>
    <w:p w14:paraId="3C5369DB">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服务期限</w:t>
      </w:r>
    </w:p>
    <w:p w14:paraId="0CFA2D0E">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color w:val="auto"/>
          <w:sz w:val="32"/>
          <w:szCs w:val="32"/>
          <w:highlight w:val="none"/>
          <w:lang w:val="en-US" w:eastAsia="zh-CN"/>
        </w:rPr>
        <w:t>工期：</w:t>
      </w:r>
      <w:r>
        <w:rPr>
          <w:rFonts w:hint="eastAsia" w:ascii="仿宋_GB2312" w:hAnsi="仿宋_GB2312" w:eastAsia="仿宋_GB2312" w:cs="仿宋_GB2312"/>
          <w:b w:val="0"/>
          <w:bCs w:val="0"/>
          <w:snapToGrid/>
          <w:color w:val="auto"/>
          <w:spacing w:val="0"/>
          <w:kern w:val="2"/>
          <w:sz w:val="32"/>
          <w:szCs w:val="32"/>
        </w:rPr>
        <w:t>合同签订后</w:t>
      </w:r>
      <w:r>
        <w:rPr>
          <w:rFonts w:hint="eastAsia" w:ascii="仿宋_GB2312" w:hAnsi="仿宋_GB2312" w:eastAsia="仿宋_GB2312" w:cs="仿宋_GB2312"/>
          <w:b w:val="0"/>
          <w:bCs w:val="0"/>
          <w:snapToGrid/>
          <w:color w:val="auto"/>
          <w:spacing w:val="0"/>
          <w:kern w:val="2"/>
          <w:sz w:val="32"/>
          <w:szCs w:val="32"/>
          <w:lang w:val="en-US" w:eastAsia="zh-CN"/>
        </w:rPr>
        <w:t>10</w:t>
      </w:r>
      <w:r>
        <w:rPr>
          <w:rFonts w:hint="eastAsia" w:ascii="仿宋_GB2312" w:hAnsi="仿宋_GB2312" w:eastAsia="仿宋_GB2312" w:cs="仿宋_GB2312"/>
          <w:b w:val="0"/>
          <w:bCs w:val="0"/>
          <w:snapToGrid/>
          <w:color w:val="auto"/>
          <w:spacing w:val="0"/>
          <w:kern w:val="2"/>
          <w:sz w:val="32"/>
          <w:szCs w:val="32"/>
        </w:rPr>
        <w:t>个日历</w:t>
      </w:r>
      <w:r>
        <w:rPr>
          <w:rFonts w:hint="eastAsia" w:ascii="仿宋_GB2312" w:hAnsi="仿宋_GB2312" w:eastAsia="仿宋_GB2312" w:cs="仿宋_GB2312"/>
          <w:b w:val="0"/>
          <w:bCs w:val="0"/>
          <w:snapToGrid/>
          <w:color w:val="auto"/>
          <w:spacing w:val="0"/>
          <w:kern w:val="2"/>
          <w:sz w:val="32"/>
          <w:szCs w:val="32"/>
          <w:lang w:val="en-US" w:eastAsia="zh-CN"/>
        </w:rPr>
        <w:t>日内完成设备的调试，确保设备投入使用。</w:t>
      </w:r>
    </w:p>
    <w:p w14:paraId="4FE051C7">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节假日，风雨天等均包括在内，不可抗力因素除外。中标人应在此</w:t>
      </w:r>
      <w:r>
        <w:rPr>
          <w:rFonts w:hint="eastAsia" w:ascii="仿宋_GB2312" w:hAnsi="仿宋_GB2312" w:eastAsia="仿宋_GB2312" w:cs="仿宋_GB2312"/>
          <w:b w:val="0"/>
          <w:bCs w:val="0"/>
          <w:sz w:val="32"/>
          <w:szCs w:val="32"/>
          <w:lang w:eastAsia="zh-CN"/>
        </w:rPr>
        <w:t>服务期</w:t>
      </w:r>
      <w:r>
        <w:rPr>
          <w:rFonts w:hint="eastAsia" w:ascii="仿宋_GB2312" w:hAnsi="仿宋_GB2312" w:eastAsia="仿宋_GB2312" w:cs="仿宋_GB2312"/>
          <w:b w:val="0"/>
          <w:bCs w:val="0"/>
          <w:sz w:val="32"/>
          <w:szCs w:val="32"/>
        </w:rPr>
        <w:t>内完成采购人委托的所有</w:t>
      </w:r>
      <w:r>
        <w:rPr>
          <w:rFonts w:hint="eastAsia" w:ascii="仿宋_GB2312" w:hAnsi="仿宋_GB2312" w:eastAsia="仿宋_GB2312" w:cs="仿宋_GB2312"/>
          <w:b w:val="0"/>
          <w:bCs w:val="0"/>
          <w:sz w:val="32"/>
          <w:szCs w:val="32"/>
          <w:lang w:val="en-US" w:eastAsia="zh-CN"/>
        </w:rPr>
        <w:t>项目</w:t>
      </w:r>
      <w:r>
        <w:rPr>
          <w:rFonts w:hint="eastAsia" w:ascii="仿宋_GB2312" w:hAnsi="仿宋_GB2312" w:eastAsia="仿宋_GB2312" w:cs="仿宋_GB2312"/>
          <w:b w:val="0"/>
          <w:bCs w:val="0"/>
          <w:sz w:val="32"/>
          <w:szCs w:val="32"/>
        </w:rPr>
        <w:t>内容，包括可能增加的本项目内的其它工程内容，达成竣工验收标准，交付采购人使用。</w:t>
      </w:r>
    </w:p>
    <w:p w14:paraId="5F6FB031">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因采购人原因不能按期开工或中途无故停工影响</w:t>
      </w:r>
      <w:r>
        <w:rPr>
          <w:rFonts w:hint="eastAsia" w:ascii="仿宋_GB2312" w:hAnsi="仿宋_GB2312" w:eastAsia="仿宋_GB2312" w:cs="仿宋_GB2312"/>
          <w:b w:val="0"/>
          <w:bCs w:val="0"/>
          <w:sz w:val="32"/>
          <w:szCs w:val="32"/>
          <w:lang w:eastAsia="zh-CN"/>
        </w:rPr>
        <w:t>服务期</w:t>
      </w:r>
      <w:r>
        <w:rPr>
          <w:rFonts w:hint="eastAsia" w:ascii="仿宋_GB2312" w:hAnsi="仿宋_GB2312" w:eastAsia="仿宋_GB2312" w:cs="仿宋_GB2312"/>
          <w:b w:val="0"/>
          <w:bCs w:val="0"/>
          <w:sz w:val="32"/>
          <w:szCs w:val="32"/>
        </w:rPr>
        <w:t>的，</w:t>
      </w:r>
      <w:r>
        <w:rPr>
          <w:rFonts w:hint="eastAsia" w:ascii="仿宋_GB2312" w:hAnsi="仿宋_GB2312" w:eastAsia="仿宋_GB2312" w:cs="仿宋_GB2312"/>
          <w:b w:val="0"/>
          <w:bCs w:val="0"/>
          <w:sz w:val="32"/>
          <w:szCs w:val="32"/>
          <w:lang w:eastAsia="zh-CN"/>
        </w:rPr>
        <w:t>服务期</w:t>
      </w:r>
      <w:r>
        <w:rPr>
          <w:rFonts w:hint="eastAsia" w:ascii="仿宋_GB2312" w:hAnsi="仿宋_GB2312" w:eastAsia="仿宋_GB2312" w:cs="仿宋_GB2312"/>
          <w:b w:val="0"/>
          <w:bCs w:val="0"/>
          <w:sz w:val="32"/>
          <w:szCs w:val="32"/>
        </w:rPr>
        <w:t>顺延。</w:t>
      </w:r>
    </w:p>
    <w:p w14:paraId="54312B73">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因中</w:t>
      </w:r>
      <w:r>
        <w:rPr>
          <w:rFonts w:hint="eastAsia" w:ascii="仿宋_GB2312" w:hAnsi="仿宋_GB2312" w:eastAsia="仿宋_GB2312" w:cs="仿宋_GB2312"/>
          <w:sz w:val="32"/>
          <w:szCs w:val="32"/>
        </w:rPr>
        <w:t>标人原因造成延误</w:t>
      </w:r>
      <w:r>
        <w:rPr>
          <w:rFonts w:hint="eastAsia" w:ascii="仿宋_GB2312" w:hAnsi="仿宋_GB2312" w:eastAsia="仿宋_GB2312" w:cs="仿宋_GB2312"/>
          <w:sz w:val="32"/>
          <w:szCs w:val="32"/>
          <w:lang w:eastAsia="zh-CN"/>
        </w:rPr>
        <w:t>服务期</w:t>
      </w:r>
      <w:r>
        <w:rPr>
          <w:rFonts w:hint="eastAsia" w:ascii="仿宋_GB2312" w:hAnsi="仿宋_GB2312" w:eastAsia="仿宋_GB2312" w:cs="仿宋_GB2312"/>
          <w:sz w:val="32"/>
          <w:szCs w:val="32"/>
        </w:rPr>
        <w:t>的，每延期1日，中标人应按日向采购人支付违约金。中标人延误</w:t>
      </w:r>
      <w:r>
        <w:rPr>
          <w:rFonts w:hint="eastAsia" w:ascii="仿宋_GB2312" w:hAnsi="仿宋_GB2312" w:eastAsia="仿宋_GB2312" w:cs="仿宋_GB2312"/>
          <w:sz w:val="32"/>
          <w:szCs w:val="32"/>
          <w:lang w:eastAsia="zh-CN"/>
        </w:rPr>
        <w:t>服务期</w:t>
      </w:r>
      <w:r>
        <w:rPr>
          <w:rFonts w:hint="eastAsia" w:ascii="仿宋_GB2312" w:hAnsi="仿宋_GB2312" w:eastAsia="仿宋_GB2312" w:cs="仿宋_GB2312"/>
          <w:sz w:val="32"/>
          <w:szCs w:val="32"/>
        </w:rPr>
        <w:t>超过15日的，采购人有权解除合同。采购人解除合同后，中标人除应按照约定承担</w:t>
      </w:r>
      <w:r>
        <w:rPr>
          <w:rFonts w:hint="eastAsia" w:ascii="仿宋_GB2312" w:hAnsi="仿宋_GB2312" w:eastAsia="仿宋_GB2312" w:cs="仿宋_GB2312"/>
          <w:sz w:val="32"/>
          <w:szCs w:val="32"/>
          <w:lang w:eastAsia="zh-CN"/>
        </w:rPr>
        <w:t>服务期</w:t>
      </w:r>
      <w:r>
        <w:rPr>
          <w:rFonts w:hint="eastAsia" w:ascii="仿宋_GB2312" w:hAnsi="仿宋_GB2312" w:eastAsia="仿宋_GB2312" w:cs="仿宋_GB2312"/>
          <w:sz w:val="32"/>
          <w:szCs w:val="32"/>
        </w:rPr>
        <w:t>延误的违约金外，还应赔偿采购人因解除合同造成的损失。</w:t>
      </w:r>
    </w:p>
    <w:p w14:paraId="03204A73">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（二）项目实施地点</w:t>
      </w:r>
    </w:p>
    <w:p w14:paraId="76954762">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深圳市龙岗区中心城爱龙路6号</w:t>
      </w:r>
      <w:r>
        <w:rPr>
          <w:rFonts w:hint="eastAsia" w:ascii="仿宋_GB2312" w:hAnsi="仿宋_GB2312" w:eastAsia="仿宋_GB2312" w:cs="仿宋_GB2312"/>
          <w:sz w:val="32"/>
          <w:szCs w:val="32"/>
        </w:rPr>
        <w:t>。</w:t>
      </w:r>
    </w:p>
    <w:p w14:paraId="2948AE22">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（三）质量要求</w:t>
      </w:r>
    </w:p>
    <w:p w14:paraId="487CE1AA">
      <w:pPr>
        <w:keepNext w:val="0"/>
        <w:keepLines w:val="0"/>
        <w:pageBreakBefore w:val="0"/>
        <w:widowControl/>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项目以国家相关标准</w:t>
      </w:r>
      <w:r>
        <w:rPr>
          <w:rFonts w:hint="eastAsia" w:ascii="仿宋_GB2312" w:hAnsi="仿宋_GB2312" w:eastAsia="仿宋_GB2312" w:cs="仿宋_GB2312"/>
          <w:sz w:val="32"/>
          <w:szCs w:val="32"/>
        </w:rPr>
        <w:t>为质量评定验收标准。</w:t>
      </w:r>
    </w:p>
    <w:p w14:paraId="3EAE6F7F">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（四）售后服务要求</w:t>
      </w:r>
    </w:p>
    <w:p w14:paraId="19A6599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b w:val="0"/>
          <w:bCs w:val="0"/>
          <w:sz w:val="32"/>
          <w:szCs w:val="32"/>
          <w:lang w:val="en-US" w:eastAsia="zh-CN"/>
        </w:rPr>
        <w:t>质保期</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b w:val="0"/>
          <w:bCs w:val="0"/>
          <w:sz w:val="32"/>
          <w:szCs w:val="32"/>
          <w:lang w:val="en-US" w:eastAsia="zh-CN"/>
        </w:rPr>
        <w:t>质保期</w:t>
      </w:r>
      <w:r>
        <w:rPr>
          <w:rFonts w:hint="eastAsia" w:ascii="仿宋_GB2312" w:hAnsi="仿宋_GB2312" w:eastAsia="仿宋_GB2312" w:cs="仿宋_GB2312"/>
          <w:sz w:val="32"/>
          <w:szCs w:val="32"/>
        </w:rPr>
        <w:t>自验收</w:t>
      </w:r>
      <w:r>
        <w:rPr>
          <w:rFonts w:hint="eastAsia" w:ascii="仿宋_GB2312" w:hAnsi="仿宋_GB2312" w:eastAsia="仿宋_GB2312" w:cs="仿宋_GB2312"/>
          <w:sz w:val="32"/>
          <w:szCs w:val="32"/>
          <w:lang w:val="en-US" w:eastAsia="zh-CN"/>
        </w:rPr>
        <w:t>合格</w:t>
      </w:r>
      <w:r>
        <w:rPr>
          <w:rFonts w:hint="eastAsia" w:ascii="仿宋_GB2312" w:hAnsi="仿宋_GB2312" w:eastAsia="仿宋_GB2312" w:cs="仿宋_GB2312"/>
          <w:sz w:val="32"/>
          <w:szCs w:val="32"/>
        </w:rPr>
        <w:t>之日起</w:t>
      </w:r>
      <w:r>
        <w:rPr>
          <w:rFonts w:hint="eastAsia" w:ascii="仿宋_GB2312" w:hAnsi="仿宋_GB2312" w:eastAsia="仿宋_GB2312" w:cs="仿宋_GB2312"/>
          <w:sz w:val="32"/>
          <w:szCs w:val="32"/>
          <w:lang w:val="en-US" w:eastAsia="zh-CN"/>
        </w:rPr>
        <w:t>计算</w:t>
      </w:r>
      <w:r>
        <w:rPr>
          <w:rFonts w:hint="eastAsia" w:ascii="仿宋_GB2312" w:hAnsi="仿宋_GB2312" w:eastAsia="仿宋_GB2312" w:cs="仿宋_GB2312"/>
          <w:sz w:val="32"/>
          <w:szCs w:val="32"/>
        </w:rPr>
        <w:t>。</w:t>
      </w:r>
    </w:p>
    <w:p w14:paraId="692C3C6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标人需保证，在售后服务期内，遇到质量突发事件，在接到采购人报修通知后维修人员应在30分钟内响应，当天到达现场，72小时内完成采购人提出的维修要求。如需更换或者送修设备，中标人应当提供同档次的设备供采购人临时使用，并在7个工作日内负责解决，费用均包含在投标报价里。</w:t>
      </w:r>
    </w:p>
    <w:p w14:paraId="51BB8C28">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3.项目维修完成后，应当将项目相关的全部技术资料完整地移交给采购人，不得设置任何技术壁垒，包括但不限于设备的操作方法、项目的实际施工图纸等。</w:t>
      </w:r>
    </w:p>
    <w:p w14:paraId="0EDB88A1">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售后服务期内，出现服务质量问题或保修事项，中标人应按照采购人要求时间及时履行保修义务。否则每违约一次应按项目总额的百分之五向采购人支付违约金，且采购人有权自行维修或委托第三方维修，维修费用由中标人承担</w:t>
      </w:r>
      <w:r>
        <w:rPr>
          <w:rFonts w:hint="eastAsia" w:ascii="仿宋_GB2312" w:hAnsi="仿宋_GB2312" w:eastAsia="仿宋_GB2312" w:cs="仿宋_GB2312"/>
          <w:sz w:val="32"/>
          <w:szCs w:val="32"/>
        </w:rPr>
        <w:t>。</w:t>
      </w:r>
    </w:p>
    <w:p w14:paraId="3D341797">
      <w:pPr>
        <w:keepNext w:val="0"/>
        <w:keepLines w:val="0"/>
        <w:pageBreakBefore w:val="0"/>
        <w:widowControl/>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（五）报价要求</w:t>
      </w:r>
    </w:p>
    <w:p w14:paraId="0671CD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1.本项目费用采用包干制，应包括服务成本、法定税费和利润。由投标人根据采购文件所提供的资料自行测算投标报价；一经中标，报价总价作为中标人与采购人签订的合同金额，合同期限内不作调整。</w:t>
      </w:r>
    </w:p>
    <w:p w14:paraId="772BFD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2.投标人应当根据本单位的成本、利润、税费等情况自行决定报价。</w:t>
      </w:r>
    </w:p>
    <w:p w14:paraId="50CB63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3.投标人的报价不得超过项目预算金额，否则作投标无效处理。</w:t>
      </w:r>
    </w:p>
    <w:p w14:paraId="76DDEE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4.投标人的报价，应当是本项目采购范围和采购文件及合同条款上所列的各项内容中所述的全部，不得以任何理由予以重复。</w:t>
      </w:r>
    </w:p>
    <w:p w14:paraId="6622FDB2">
      <w:pPr>
        <w:ind w:firstLine="643" w:firstLineChars="200"/>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六、其他要求</w:t>
      </w:r>
    </w:p>
    <w:p w14:paraId="535E10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在合同履行期间，如出现因违法经营受到刑事处罚或者责令停产停业、吊销许可证或者执照、较大数额罚款等行政处罚，导致不满足《中华人民共和国政府采购法》第二十二条供应商要求的，一经查证属实，采购人有权单方解除协议（合同），且无需承担任何违约责任。</w:t>
      </w:r>
    </w:p>
    <w:p w14:paraId="008548E9">
      <w:pPr>
        <w:rPr>
          <w:b/>
          <w:bCs/>
          <w:sz w:val="28"/>
          <w:szCs w:val="28"/>
        </w:rPr>
      </w:pPr>
      <w:r>
        <w:rPr>
          <w:rFonts w:hint="eastAsia"/>
          <w:b/>
          <w:bCs/>
          <w:sz w:val="28"/>
          <w:szCs w:val="28"/>
        </w:rPr>
        <w:br w:type="page"/>
      </w:r>
    </w:p>
    <w:p w14:paraId="466BFA26">
      <w:pPr>
        <w:ind w:firstLine="643" w:firstLineChars="200"/>
        <w:rPr>
          <w:rFonts w:hint="eastAsia" w:ascii="仿宋_GB2312" w:hAnsi="仿宋_GB2312" w:eastAsia="仿宋_GB2312" w:cs="仿宋_GB2312"/>
          <w:b/>
          <w:sz w:val="32"/>
          <w:szCs w:val="32"/>
          <w:lang w:val="en-US" w:eastAsia="zh-CN"/>
        </w:rPr>
      </w:pPr>
      <w:bookmarkStart w:id="1" w:name="_Toc13230"/>
      <w:r>
        <w:rPr>
          <w:rFonts w:hint="eastAsia" w:ascii="仿宋_GB2312" w:hAnsi="仿宋_GB2312" w:eastAsia="仿宋_GB2312" w:cs="仿宋_GB2312"/>
          <w:b/>
          <w:sz w:val="32"/>
          <w:szCs w:val="32"/>
          <w:lang w:val="en-US" w:eastAsia="zh-CN"/>
        </w:rPr>
        <w:t>七、综合评分表</w:t>
      </w:r>
      <w:bookmarkEnd w:id="1"/>
      <w:r>
        <w:rPr>
          <w:rFonts w:hint="eastAsia" w:ascii="仿宋_GB2312" w:hAnsi="仿宋_GB2312" w:eastAsia="仿宋_GB2312" w:cs="仿宋_GB2312"/>
          <w:b/>
          <w:sz w:val="32"/>
          <w:szCs w:val="32"/>
          <w:highlight w:val="red"/>
          <w:lang w:val="en-US" w:eastAsia="zh-CN"/>
        </w:rPr>
        <w:t>（综合评审低于60分视为投标无效）</w:t>
      </w:r>
    </w:p>
    <w:tbl>
      <w:tblPr>
        <w:tblStyle w:val="13"/>
        <w:tblW w:w="49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54"/>
        <w:gridCol w:w="1037"/>
        <w:gridCol w:w="5331"/>
        <w:gridCol w:w="744"/>
        <w:gridCol w:w="849"/>
      </w:tblGrid>
      <w:tr w14:paraId="7299BF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51" w:type="pct"/>
            <w:vAlign w:val="center"/>
          </w:tcPr>
          <w:p w14:paraId="204DA9F9">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评审部分</w:t>
            </w:r>
          </w:p>
        </w:tc>
        <w:tc>
          <w:tcPr>
            <w:tcW w:w="634" w:type="pct"/>
            <w:vAlign w:val="center"/>
          </w:tcPr>
          <w:p w14:paraId="16A11AF3">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3153" w:type="pct"/>
            <w:vAlign w:val="center"/>
          </w:tcPr>
          <w:p w14:paraId="13C3B46E">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评分细则</w:t>
            </w:r>
          </w:p>
        </w:tc>
        <w:tc>
          <w:tcPr>
            <w:tcW w:w="407" w:type="pct"/>
            <w:tcBorders>
              <w:right w:val="single" w:color="auto" w:sz="4" w:space="0"/>
            </w:tcBorders>
            <w:vAlign w:val="center"/>
          </w:tcPr>
          <w:p w14:paraId="49A90490">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权重（%）</w:t>
            </w:r>
          </w:p>
        </w:tc>
        <w:tc>
          <w:tcPr>
            <w:tcW w:w="452" w:type="pct"/>
            <w:tcBorders>
              <w:left w:val="single" w:color="auto" w:sz="4" w:space="0"/>
            </w:tcBorders>
            <w:vAlign w:val="center"/>
          </w:tcPr>
          <w:p w14:paraId="66CC982C">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分值（分）</w:t>
            </w:r>
          </w:p>
        </w:tc>
      </w:tr>
      <w:tr w14:paraId="4D440D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1" w:hRule="atLeast"/>
          <w:jc w:val="center"/>
        </w:trPr>
        <w:tc>
          <w:tcPr>
            <w:tcW w:w="351" w:type="pct"/>
            <w:vAlign w:val="center"/>
          </w:tcPr>
          <w:p w14:paraId="64326608">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w:t>
            </w:r>
          </w:p>
        </w:tc>
        <w:tc>
          <w:tcPr>
            <w:tcW w:w="4648" w:type="pct"/>
            <w:gridSpan w:val="4"/>
            <w:vAlign w:val="center"/>
          </w:tcPr>
          <w:p w14:paraId="6E1D56D9">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技术部分（</w:t>
            </w:r>
            <w:r>
              <w:rPr>
                <w:rFonts w:hint="eastAsia" w:ascii="宋体" w:hAnsi="宋体" w:cs="宋体"/>
                <w:b/>
                <w:color w:val="auto"/>
                <w:sz w:val="21"/>
                <w:szCs w:val="21"/>
                <w:highlight w:val="none"/>
                <w:lang w:val="en-US" w:eastAsia="zh-CN"/>
              </w:rPr>
              <w:t>50</w:t>
            </w:r>
            <w:r>
              <w:rPr>
                <w:rFonts w:hint="eastAsia" w:ascii="宋体" w:hAnsi="宋体" w:eastAsia="宋体" w:cs="宋体"/>
                <w:b/>
                <w:color w:val="auto"/>
                <w:sz w:val="21"/>
                <w:szCs w:val="21"/>
                <w:highlight w:val="none"/>
              </w:rPr>
              <w:t>分）</w:t>
            </w:r>
          </w:p>
        </w:tc>
      </w:tr>
      <w:tr w14:paraId="3F221A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51" w:type="pct"/>
            <w:tcBorders>
              <w:bottom w:val="single" w:color="auto" w:sz="4" w:space="0"/>
            </w:tcBorders>
            <w:vAlign w:val="center"/>
          </w:tcPr>
          <w:p w14:paraId="376A68D9">
            <w:pPr>
              <w:pStyle w:val="24"/>
              <w:keepNext w:val="0"/>
              <w:keepLines w:val="0"/>
              <w:pageBreakBefore w:val="0"/>
              <w:numPr>
                <w:ilvl w:val="0"/>
                <w:numId w:val="2"/>
              </w:numPr>
              <w:kinsoku/>
              <w:wordWrap/>
              <w:overflowPunct/>
              <w:topLinePunct w:val="0"/>
              <w:bidi w:val="0"/>
              <w:adjustRightInd w:val="0"/>
              <w:snapToGrid w:val="0"/>
              <w:ind w:left="0" w:leftChars="0" w:right="0" w:rightChars="0" w:firstLine="0" w:firstLineChars="0"/>
              <w:jc w:val="right"/>
              <w:textAlignment w:val="auto"/>
              <w:rPr>
                <w:rFonts w:hint="eastAsia" w:ascii="宋体" w:hAnsi="宋体" w:eastAsia="宋体" w:cs="宋体"/>
                <w:color w:val="auto"/>
                <w:sz w:val="21"/>
                <w:szCs w:val="21"/>
                <w:highlight w:val="none"/>
              </w:rPr>
            </w:pPr>
          </w:p>
        </w:tc>
        <w:tc>
          <w:tcPr>
            <w:tcW w:w="634" w:type="pct"/>
            <w:vAlign w:val="center"/>
          </w:tcPr>
          <w:p w14:paraId="28AA9E38">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项目总体概述及理解</w:t>
            </w:r>
          </w:p>
        </w:tc>
        <w:tc>
          <w:tcPr>
            <w:tcW w:w="3153" w:type="pct"/>
            <w:vAlign w:val="center"/>
          </w:tcPr>
          <w:p w14:paraId="025C3D20">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在投标文件中详细说明项目总体概述及理解，得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3F56B7A">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在此基础上，进行优良中差评审：</w:t>
            </w:r>
          </w:p>
          <w:p w14:paraId="1DF51715">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项目总体概述及理解全面、具体、详实、准确、透彻的，得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4AF0F508">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项目总体概述及理解比较全面、具体、详实、准确、透彻的，得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0035FE5">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项目总体概述及理解一般全面、具体、详实、准确、透彻的，得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ED2F1C8">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4.其他情况，评价为差，得0分。</w:t>
            </w:r>
          </w:p>
        </w:tc>
        <w:tc>
          <w:tcPr>
            <w:tcW w:w="407" w:type="pct"/>
            <w:tcBorders>
              <w:right w:val="single" w:color="auto" w:sz="4" w:space="0"/>
            </w:tcBorders>
            <w:vAlign w:val="center"/>
          </w:tcPr>
          <w:p w14:paraId="2FFBFE5A">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10</w:t>
            </w:r>
          </w:p>
        </w:tc>
        <w:tc>
          <w:tcPr>
            <w:tcW w:w="452" w:type="pct"/>
            <w:tcBorders>
              <w:left w:val="single" w:color="auto" w:sz="4" w:space="0"/>
            </w:tcBorders>
            <w:vAlign w:val="center"/>
          </w:tcPr>
          <w:p w14:paraId="4E45C62E">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p>
        </w:tc>
      </w:tr>
      <w:tr w14:paraId="5D8253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51" w:type="pct"/>
            <w:tcBorders>
              <w:top w:val="single" w:color="auto" w:sz="4" w:space="0"/>
              <w:bottom w:val="single" w:color="auto" w:sz="4" w:space="0"/>
            </w:tcBorders>
            <w:vAlign w:val="center"/>
          </w:tcPr>
          <w:p w14:paraId="478F527B">
            <w:pPr>
              <w:pStyle w:val="24"/>
              <w:keepNext w:val="0"/>
              <w:keepLines w:val="0"/>
              <w:pageBreakBefore w:val="0"/>
              <w:numPr>
                <w:ilvl w:val="0"/>
                <w:numId w:val="2"/>
              </w:numPr>
              <w:kinsoku/>
              <w:wordWrap/>
              <w:overflowPunct/>
              <w:topLinePunct w:val="0"/>
              <w:bidi w:val="0"/>
              <w:adjustRightInd w:val="0"/>
              <w:snapToGrid w:val="0"/>
              <w:ind w:left="0" w:leftChars="0" w:right="0" w:rightChars="0" w:firstLine="0" w:firstLineChars="0"/>
              <w:jc w:val="right"/>
              <w:textAlignment w:val="auto"/>
              <w:rPr>
                <w:rFonts w:hint="eastAsia" w:ascii="宋体" w:hAnsi="宋体" w:eastAsia="宋体" w:cs="宋体"/>
                <w:color w:val="auto"/>
                <w:sz w:val="21"/>
                <w:szCs w:val="21"/>
                <w:highlight w:val="none"/>
              </w:rPr>
            </w:pPr>
          </w:p>
        </w:tc>
        <w:tc>
          <w:tcPr>
            <w:tcW w:w="634" w:type="pct"/>
            <w:vAlign w:val="center"/>
          </w:tcPr>
          <w:p w14:paraId="29991BD1">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计划、施工技术、施工工艺及相关的合理化建议</w:t>
            </w:r>
          </w:p>
        </w:tc>
        <w:tc>
          <w:tcPr>
            <w:tcW w:w="3153" w:type="pct"/>
            <w:vAlign w:val="center"/>
          </w:tcPr>
          <w:p w14:paraId="03FDA40B">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投标文件中详细说明完整、合理的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计划，需充分结合本项目现场情况，要求</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技术、工艺与</w:t>
            </w:r>
            <w:r>
              <w:rPr>
                <w:rFonts w:hint="eastAsia" w:ascii="宋体" w:hAnsi="宋体" w:eastAsia="宋体" w:cs="宋体"/>
                <w:color w:val="auto"/>
                <w:sz w:val="21"/>
                <w:szCs w:val="21"/>
                <w:highlight w:val="none"/>
                <w:lang w:val="en-US" w:eastAsia="zh-CN"/>
              </w:rPr>
              <w:t>服务内容</w:t>
            </w:r>
            <w:r>
              <w:rPr>
                <w:rFonts w:hint="eastAsia" w:ascii="宋体" w:hAnsi="宋体" w:eastAsia="宋体" w:cs="宋体"/>
                <w:color w:val="auto"/>
                <w:sz w:val="21"/>
                <w:szCs w:val="21"/>
                <w:highlight w:val="none"/>
              </w:rPr>
              <w:t>特点相结合，并提出相关的合理化建议，得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720C84DF">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在此基础上，进行优良中差评审：</w:t>
            </w:r>
          </w:p>
          <w:p w14:paraId="206F87F3">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计划全面、合理、充分结合了本项目特点，</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技术及工艺先进、高效、充分结合了本项目特点，提出的建议合理、可行、有针对性的，得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749E185">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计划比较全面合理、结合了本项目特点，</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技术及工艺比较先进高效、结合了本项目特点，提出的建议比较合理可行、比较有针对性的，得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1EAD2E9E">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计划一般全面合理、结合了本项目特点，</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技术及工艺一般先进高效、结合了本项目特点，提出的建议合理性、可行性、针对性一般的，得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37640A72">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4.其他情况，评价为差，得0分。</w:t>
            </w:r>
          </w:p>
        </w:tc>
        <w:tc>
          <w:tcPr>
            <w:tcW w:w="407" w:type="pct"/>
            <w:tcBorders>
              <w:right w:val="single" w:color="auto" w:sz="4" w:space="0"/>
            </w:tcBorders>
            <w:vAlign w:val="center"/>
          </w:tcPr>
          <w:p w14:paraId="20F45CB5">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sz w:val="21"/>
                <w:szCs w:val="21"/>
                <w:highlight w:val="none"/>
                <w:lang w:val="en-US" w:eastAsia="zh-CN"/>
              </w:rPr>
              <w:t>10</w:t>
            </w:r>
          </w:p>
        </w:tc>
        <w:tc>
          <w:tcPr>
            <w:tcW w:w="452" w:type="pct"/>
            <w:tcBorders>
              <w:left w:val="single" w:color="auto" w:sz="4" w:space="0"/>
            </w:tcBorders>
            <w:vAlign w:val="center"/>
          </w:tcPr>
          <w:p w14:paraId="7C175D0B">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sz w:val="21"/>
                <w:szCs w:val="21"/>
                <w:highlight w:val="none"/>
                <w:lang w:val="en-US" w:eastAsia="zh-CN"/>
              </w:rPr>
              <w:t>10</w:t>
            </w:r>
          </w:p>
        </w:tc>
      </w:tr>
      <w:tr w14:paraId="3BDFAF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6" w:hRule="atLeast"/>
          <w:jc w:val="center"/>
        </w:trPr>
        <w:tc>
          <w:tcPr>
            <w:tcW w:w="351" w:type="pct"/>
            <w:tcBorders>
              <w:top w:val="single" w:color="auto" w:sz="4" w:space="0"/>
            </w:tcBorders>
            <w:vAlign w:val="center"/>
          </w:tcPr>
          <w:p w14:paraId="0BA993E9">
            <w:pPr>
              <w:pStyle w:val="24"/>
              <w:keepNext w:val="0"/>
              <w:keepLines w:val="0"/>
              <w:pageBreakBefore w:val="0"/>
              <w:numPr>
                <w:ilvl w:val="0"/>
                <w:numId w:val="2"/>
              </w:numPr>
              <w:kinsoku/>
              <w:wordWrap/>
              <w:overflowPunct/>
              <w:topLinePunct w:val="0"/>
              <w:bidi w:val="0"/>
              <w:adjustRightInd w:val="0"/>
              <w:snapToGrid w:val="0"/>
              <w:ind w:left="0" w:leftChars="0" w:right="0" w:rightChars="0" w:firstLine="0" w:firstLineChars="0"/>
              <w:jc w:val="right"/>
              <w:textAlignment w:val="auto"/>
              <w:rPr>
                <w:rFonts w:hint="eastAsia" w:ascii="宋体" w:hAnsi="宋体" w:eastAsia="宋体" w:cs="宋体"/>
                <w:color w:val="auto"/>
                <w:sz w:val="21"/>
                <w:szCs w:val="21"/>
                <w:highlight w:val="none"/>
              </w:rPr>
            </w:pPr>
          </w:p>
        </w:tc>
        <w:tc>
          <w:tcPr>
            <w:tcW w:w="634" w:type="pct"/>
            <w:vAlign w:val="center"/>
          </w:tcPr>
          <w:p w14:paraId="4FA4DE8C">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项目实施重点难点分析及解决方案</w:t>
            </w:r>
          </w:p>
        </w:tc>
        <w:tc>
          <w:tcPr>
            <w:tcW w:w="3153" w:type="pct"/>
            <w:vAlign w:val="center"/>
          </w:tcPr>
          <w:p w14:paraId="1DEB0676">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投标文件中详细说明项目实施重点难点分析及解决方案，得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752FDD2">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在此基础上，进行优良中差评审：</w:t>
            </w:r>
          </w:p>
          <w:p w14:paraId="0E67A0AD">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项目实施重点难点分析准确，并提出合理、可行性高的解决方案的，得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84FD0B8">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项目实施重点难点分析较准确，并提出可行性较高的解决方案的，得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7B722697">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项目实施重点难点分析基本准确，提出的解决方案基本可行的，得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35E8038">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4.其他情况，评价为差，得0分。</w:t>
            </w:r>
          </w:p>
        </w:tc>
        <w:tc>
          <w:tcPr>
            <w:tcW w:w="407" w:type="pct"/>
            <w:tcBorders>
              <w:right w:val="single" w:color="auto" w:sz="4" w:space="0"/>
            </w:tcBorders>
            <w:vAlign w:val="center"/>
          </w:tcPr>
          <w:p w14:paraId="7C6A67D0">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10</w:t>
            </w:r>
          </w:p>
        </w:tc>
        <w:tc>
          <w:tcPr>
            <w:tcW w:w="452" w:type="pct"/>
            <w:tcBorders>
              <w:left w:val="single" w:color="auto" w:sz="4" w:space="0"/>
            </w:tcBorders>
            <w:vAlign w:val="center"/>
          </w:tcPr>
          <w:p w14:paraId="69085815">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10</w:t>
            </w:r>
          </w:p>
        </w:tc>
      </w:tr>
      <w:tr w14:paraId="14A241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51" w:type="pct"/>
            <w:tcBorders>
              <w:top w:val="single" w:color="auto" w:sz="4" w:space="0"/>
            </w:tcBorders>
            <w:vAlign w:val="center"/>
          </w:tcPr>
          <w:p w14:paraId="54AB92B0">
            <w:pPr>
              <w:pStyle w:val="24"/>
              <w:keepNext w:val="0"/>
              <w:keepLines w:val="0"/>
              <w:pageBreakBefore w:val="0"/>
              <w:numPr>
                <w:ilvl w:val="0"/>
                <w:numId w:val="2"/>
              </w:numPr>
              <w:kinsoku/>
              <w:wordWrap/>
              <w:overflowPunct/>
              <w:topLinePunct w:val="0"/>
              <w:bidi w:val="0"/>
              <w:adjustRightInd w:val="0"/>
              <w:snapToGrid w:val="0"/>
              <w:ind w:left="0" w:leftChars="0" w:right="0" w:rightChars="0" w:firstLine="0" w:firstLineChars="0"/>
              <w:jc w:val="right"/>
              <w:textAlignment w:val="auto"/>
              <w:rPr>
                <w:rFonts w:hint="eastAsia" w:ascii="宋体" w:hAnsi="宋体" w:eastAsia="宋体" w:cs="宋体"/>
                <w:color w:val="auto"/>
                <w:sz w:val="21"/>
                <w:szCs w:val="21"/>
                <w:highlight w:val="none"/>
              </w:rPr>
            </w:pPr>
          </w:p>
        </w:tc>
        <w:tc>
          <w:tcPr>
            <w:tcW w:w="634" w:type="pct"/>
            <w:vAlign w:val="center"/>
          </w:tcPr>
          <w:p w14:paraId="4B2BA0DC">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拟采用设备（材料）的性能（节能环保情况）、档次及质量可靠性</w:t>
            </w:r>
          </w:p>
        </w:tc>
        <w:tc>
          <w:tcPr>
            <w:tcW w:w="3153" w:type="pct"/>
            <w:vAlign w:val="center"/>
          </w:tcPr>
          <w:p w14:paraId="18ACEE1E">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投标文件详细说明拟用于本项目的设备、材料的性能、档次、质量、节能情况等，并对本项目的投入计划、主要</w:t>
            </w:r>
            <w:r>
              <w:rPr>
                <w:rFonts w:hint="eastAsia" w:ascii="宋体" w:hAnsi="宋体" w:cs="宋体"/>
                <w:color w:val="auto"/>
                <w:sz w:val="21"/>
                <w:szCs w:val="21"/>
                <w:highlight w:val="none"/>
                <w:lang w:val="en-US" w:eastAsia="zh-CN"/>
              </w:rPr>
              <w:t>电气</w:t>
            </w:r>
            <w:r>
              <w:rPr>
                <w:rFonts w:hint="eastAsia" w:ascii="宋体" w:hAnsi="宋体" w:eastAsia="宋体" w:cs="宋体"/>
                <w:color w:val="auto"/>
                <w:sz w:val="21"/>
                <w:szCs w:val="21"/>
                <w:highlight w:val="none"/>
              </w:rPr>
              <w:t>设备及保障措施进行阐述说明，得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57E011DE">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在此基础上，进行优良中差评审：</w:t>
            </w:r>
          </w:p>
          <w:p w14:paraId="1A1884B3">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对本项目的投入计划、主要</w:t>
            </w:r>
            <w:r>
              <w:rPr>
                <w:rFonts w:hint="eastAsia" w:ascii="宋体" w:hAnsi="宋体" w:eastAsia="宋体" w:cs="宋体"/>
                <w:color w:val="auto"/>
                <w:sz w:val="21"/>
                <w:szCs w:val="21"/>
                <w:highlight w:val="none"/>
                <w:lang w:val="en-US" w:eastAsia="zh-CN"/>
              </w:rPr>
              <w:t>电气</w:t>
            </w:r>
            <w:r>
              <w:rPr>
                <w:rFonts w:hint="eastAsia" w:ascii="宋体" w:hAnsi="宋体" w:eastAsia="宋体" w:cs="宋体"/>
                <w:color w:val="auto"/>
                <w:sz w:val="21"/>
                <w:szCs w:val="21"/>
                <w:highlight w:val="none"/>
              </w:rPr>
              <w:t>（设备）及保障措施完善，拟材料品牌性能、节能环保情况优，档次高，质量可靠的，得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0FB59032">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对本项目的投入计划、主要</w:t>
            </w:r>
            <w:r>
              <w:rPr>
                <w:rFonts w:hint="eastAsia" w:ascii="宋体" w:hAnsi="宋体" w:eastAsia="宋体" w:cs="宋体"/>
                <w:color w:val="auto"/>
                <w:sz w:val="21"/>
                <w:szCs w:val="21"/>
                <w:highlight w:val="none"/>
                <w:lang w:val="en-US" w:eastAsia="zh-CN"/>
              </w:rPr>
              <w:t>电气</w:t>
            </w:r>
            <w:r>
              <w:rPr>
                <w:rFonts w:hint="eastAsia" w:ascii="宋体" w:hAnsi="宋体" w:eastAsia="宋体" w:cs="宋体"/>
                <w:color w:val="auto"/>
                <w:sz w:val="21"/>
                <w:szCs w:val="21"/>
                <w:highlight w:val="none"/>
              </w:rPr>
              <w:t>（设备）及保障措施比较完善，拟材料品牌性能、节能环保情况较优，档次、质量较可靠的，得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0198126">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对本项目的投入计划、主要</w:t>
            </w:r>
            <w:r>
              <w:rPr>
                <w:rFonts w:hint="eastAsia" w:ascii="宋体" w:hAnsi="宋体" w:eastAsia="宋体" w:cs="宋体"/>
                <w:color w:val="auto"/>
                <w:sz w:val="21"/>
                <w:szCs w:val="21"/>
                <w:highlight w:val="none"/>
                <w:lang w:val="en-US" w:eastAsia="zh-CN"/>
              </w:rPr>
              <w:t>电气</w:t>
            </w:r>
            <w:r>
              <w:rPr>
                <w:rFonts w:hint="eastAsia" w:ascii="宋体" w:hAnsi="宋体" w:eastAsia="宋体" w:cs="宋体"/>
                <w:color w:val="auto"/>
                <w:sz w:val="21"/>
                <w:szCs w:val="21"/>
                <w:highlight w:val="none"/>
              </w:rPr>
              <w:t>（设备）及保障措施一般，拟材料品牌性能、节能环保情况一般，档次、质量一般可靠的，得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6445A322">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4.其他情况，评价为差，得0分。</w:t>
            </w:r>
          </w:p>
        </w:tc>
        <w:tc>
          <w:tcPr>
            <w:tcW w:w="407" w:type="pct"/>
            <w:tcBorders>
              <w:right w:val="single" w:color="auto" w:sz="4" w:space="0"/>
            </w:tcBorders>
            <w:vAlign w:val="center"/>
          </w:tcPr>
          <w:p w14:paraId="6A9759C4">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452" w:type="pct"/>
            <w:tcBorders>
              <w:left w:val="single" w:color="auto" w:sz="4" w:space="0"/>
            </w:tcBorders>
            <w:vAlign w:val="center"/>
          </w:tcPr>
          <w:p w14:paraId="1EED8F2C">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14:paraId="578B6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51" w:type="pct"/>
            <w:tcBorders>
              <w:top w:val="single" w:color="auto" w:sz="4" w:space="0"/>
            </w:tcBorders>
            <w:vAlign w:val="center"/>
          </w:tcPr>
          <w:p w14:paraId="652E6B4C">
            <w:pPr>
              <w:pStyle w:val="24"/>
              <w:keepNext w:val="0"/>
              <w:keepLines w:val="0"/>
              <w:pageBreakBefore w:val="0"/>
              <w:numPr>
                <w:ilvl w:val="0"/>
                <w:numId w:val="2"/>
              </w:numPr>
              <w:kinsoku/>
              <w:wordWrap/>
              <w:overflowPunct/>
              <w:topLinePunct w:val="0"/>
              <w:bidi w:val="0"/>
              <w:adjustRightInd w:val="0"/>
              <w:snapToGrid w:val="0"/>
              <w:ind w:left="0" w:leftChars="0" w:right="0" w:rightChars="0" w:firstLine="0" w:firstLineChars="0"/>
              <w:jc w:val="right"/>
              <w:textAlignment w:val="auto"/>
              <w:rPr>
                <w:rFonts w:hint="eastAsia" w:ascii="宋体" w:hAnsi="宋体" w:eastAsia="宋体" w:cs="宋体"/>
                <w:color w:val="auto"/>
                <w:sz w:val="21"/>
                <w:szCs w:val="21"/>
                <w:highlight w:val="none"/>
              </w:rPr>
            </w:pPr>
          </w:p>
        </w:tc>
        <w:tc>
          <w:tcPr>
            <w:tcW w:w="634" w:type="pct"/>
            <w:vAlign w:val="center"/>
          </w:tcPr>
          <w:p w14:paraId="2E583232">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质量（安全、环保、</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、售后服务）保障措施及相关的违约承诺</w:t>
            </w:r>
          </w:p>
        </w:tc>
        <w:tc>
          <w:tcPr>
            <w:tcW w:w="3153" w:type="pct"/>
            <w:vAlign w:val="center"/>
          </w:tcPr>
          <w:p w14:paraId="5F7E28F4">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投标文件详细说质量（安全、环保、</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、售后服务）保障措施及相关的违约承诺，得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CC4DC8A">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在此基础上，进行优良中差评审：</w:t>
            </w:r>
          </w:p>
          <w:p w14:paraId="67CD6265">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质量保障措施、售后服务措施完善，安全、环保等方面考虑全面、周到，</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合理，违约承诺可行性强的，得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5A55F8B">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质量保障措施、售后服务措施比较完善，安全、环保等方面考虑比较全面周到，</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比较合理，违约承诺可行性较强的，得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4A0526BF">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质量保障措施、售后服务措施一般完善，安全、环保等方面考虑一般，</w:t>
            </w:r>
            <w:r>
              <w:rPr>
                <w:rFonts w:hint="eastAsia" w:ascii="宋体" w:hAnsi="宋体" w:eastAsia="宋体" w:cs="宋体"/>
                <w:color w:val="auto"/>
                <w:sz w:val="21"/>
                <w:szCs w:val="21"/>
                <w:highlight w:val="none"/>
                <w:lang w:val="en-US" w:eastAsia="zh-CN"/>
              </w:rPr>
              <w:t>服务期</w:t>
            </w:r>
            <w:r>
              <w:rPr>
                <w:rFonts w:hint="eastAsia" w:ascii="宋体" w:hAnsi="宋体" w:eastAsia="宋体" w:cs="宋体"/>
                <w:color w:val="auto"/>
                <w:sz w:val="21"/>
                <w:szCs w:val="21"/>
                <w:highlight w:val="none"/>
              </w:rPr>
              <w:t>基本合理，违约承诺可行性一般的，得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AA06AA3">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4.其他情况，评价为差，得0分。</w:t>
            </w:r>
          </w:p>
        </w:tc>
        <w:tc>
          <w:tcPr>
            <w:tcW w:w="407" w:type="pct"/>
            <w:tcBorders>
              <w:right w:val="single" w:color="auto" w:sz="4" w:space="0"/>
            </w:tcBorders>
            <w:vAlign w:val="center"/>
          </w:tcPr>
          <w:p w14:paraId="7C8494AC">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452" w:type="pct"/>
            <w:tcBorders>
              <w:left w:val="single" w:color="auto" w:sz="4" w:space="0"/>
            </w:tcBorders>
            <w:vAlign w:val="center"/>
          </w:tcPr>
          <w:p w14:paraId="6164C83F">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14:paraId="770085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jc w:val="center"/>
        </w:trPr>
        <w:tc>
          <w:tcPr>
            <w:tcW w:w="351" w:type="pct"/>
            <w:tcBorders>
              <w:top w:val="single" w:color="auto" w:sz="4" w:space="0"/>
            </w:tcBorders>
            <w:vAlign w:val="center"/>
          </w:tcPr>
          <w:p w14:paraId="24D5D56E">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w:t>
            </w:r>
          </w:p>
        </w:tc>
        <w:tc>
          <w:tcPr>
            <w:tcW w:w="4648" w:type="pct"/>
            <w:gridSpan w:val="4"/>
            <w:vAlign w:val="center"/>
          </w:tcPr>
          <w:p w14:paraId="7DA57A64">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商务部分（</w:t>
            </w:r>
            <w:r>
              <w:rPr>
                <w:rFonts w:hint="eastAsia" w:ascii="宋体" w:hAnsi="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p>
        </w:tc>
      </w:tr>
      <w:tr w14:paraId="35C258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51" w:type="pct"/>
            <w:tcBorders>
              <w:top w:val="single" w:color="auto" w:sz="4" w:space="0"/>
              <w:bottom w:val="single" w:color="auto" w:sz="4" w:space="0"/>
            </w:tcBorders>
            <w:vAlign w:val="center"/>
          </w:tcPr>
          <w:p w14:paraId="45BBFB53">
            <w:pPr>
              <w:pStyle w:val="24"/>
              <w:keepNext w:val="0"/>
              <w:keepLines w:val="0"/>
              <w:pageBreakBefore w:val="0"/>
              <w:numPr>
                <w:ilvl w:val="0"/>
                <w:numId w:val="3"/>
              </w:numPr>
              <w:kinsoku/>
              <w:wordWrap/>
              <w:overflowPunct/>
              <w:topLinePunct w:val="0"/>
              <w:bidi w:val="0"/>
              <w:adjustRightInd w:val="0"/>
              <w:snapToGrid w:val="0"/>
              <w:ind w:left="210" w:leftChars="0" w:right="0" w:rightChars="0" w:firstLine="0" w:firstLineChars="0"/>
              <w:jc w:val="center"/>
              <w:textAlignment w:val="auto"/>
              <w:rPr>
                <w:rFonts w:hint="eastAsia" w:ascii="宋体" w:hAnsi="宋体" w:eastAsia="宋体" w:cs="宋体"/>
                <w:color w:val="auto"/>
                <w:sz w:val="21"/>
                <w:szCs w:val="21"/>
                <w:highlight w:val="none"/>
              </w:rPr>
            </w:pPr>
          </w:p>
        </w:tc>
        <w:tc>
          <w:tcPr>
            <w:tcW w:w="634" w:type="pct"/>
            <w:vAlign w:val="center"/>
          </w:tcPr>
          <w:p w14:paraId="34E6CCE4">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投标人同类项目业绩情况</w:t>
            </w:r>
          </w:p>
        </w:tc>
        <w:tc>
          <w:tcPr>
            <w:tcW w:w="3153" w:type="pct"/>
            <w:vAlign w:val="center"/>
          </w:tcPr>
          <w:p w14:paraId="511330D7">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（一）评分内容：</w:t>
            </w:r>
          </w:p>
          <w:p w14:paraId="444FEFF7">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近三年（20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年1月1日至本项目投标截止之日，以合同签订时间为准）投标人具有</w:t>
            </w:r>
            <w:r>
              <w:rPr>
                <w:rFonts w:hint="eastAsia" w:ascii="宋体" w:hAnsi="宋体" w:cs="宋体"/>
                <w:color w:val="auto"/>
                <w:sz w:val="21"/>
                <w:szCs w:val="21"/>
                <w:highlight w:val="none"/>
                <w:lang w:val="en-US" w:eastAsia="zh-CN"/>
              </w:rPr>
              <w:t>供配电设备设施</w:t>
            </w:r>
            <w:r>
              <w:rPr>
                <w:rFonts w:hint="eastAsia" w:ascii="宋体" w:hAnsi="宋体" w:eastAsia="宋体" w:cs="宋体"/>
                <w:color w:val="auto"/>
                <w:sz w:val="21"/>
                <w:szCs w:val="21"/>
                <w:highlight w:val="none"/>
              </w:rPr>
              <w:t>安装或维修项目</w:t>
            </w:r>
            <w:r>
              <w:rPr>
                <w:rFonts w:hint="eastAsia" w:ascii="宋体" w:hAnsi="宋体" w:eastAsia="宋体" w:cs="宋体"/>
                <w:color w:val="auto"/>
                <w:sz w:val="21"/>
                <w:szCs w:val="21"/>
                <w:highlight w:val="none"/>
                <w:lang w:val="en-US" w:eastAsia="zh-CN"/>
              </w:rPr>
              <w:t>同类</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，每提供一个得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同一项目续签合同不重复得分。</w:t>
            </w:r>
          </w:p>
          <w:p w14:paraId="153A18F9">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（二）评分依据：</w:t>
            </w:r>
          </w:p>
          <w:p w14:paraId="0577EF92">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1.要求提供合同关键信息页（含签订合同双方的单位名称、合同项目名称、服务内容、签订合同双方的落款盖章、签订日期的关键页）作为得分依据。</w:t>
            </w:r>
          </w:p>
          <w:p w14:paraId="675D0DA1">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2.以上资料均要求提供</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，原件备查。评分中出现无证明资料或专家无法凭所提供资料判断是否得分的情况，一律作不得分处理。</w:t>
            </w:r>
          </w:p>
        </w:tc>
        <w:tc>
          <w:tcPr>
            <w:tcW w:w="407" w:type="pct"/>
            <w:tcBorders>
              <w:right w:val="single" w:color="auto" w:sz="4" w:space="0"/>
            </w:tcBorders>
            <w:vAlign w:val="center"/>
          </w:tcPr>
          <w:p w14:paraId="351DD700">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p>
        </w:tc>
        <w:tc>
          <w:tcPr>
            <w:tcW w:w="452" w:type="pct"/>
            <w:tcBorders>
              <w:left w:val="single" w:color="auto" w:sz="4" w:space="0"/>
            </w:tcBorders>
            <w:vAlign w:val="center"/>
          </w:tcPr>
          <w:p w14:paraId="5A26684A">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p>
        </w:tc>
      </w:tr>
      <w:tr w14:paraId="682EF7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51" w:type="pct"/>
            <w:tcBorders>
              <w:top w:val="single" w:color="auto" w:sz="4" w:space="0"/>
              <w:bottom w:val="single" w:color="auto" w:sz="4" w:space="0"/>
            </w:tcBorders>
            <w:vAlign w:val="center"/>
          </w:tcPr>
          <w:p w14:paraId="283885F6">
            <w:pPr>
              <w:pStyle w:val="24"/>
              <w:keepNext w:val="0"/>
              <w:keepLines w:val="0"/>
              <w:pageBreakBefore w:val="0"/>
              <w:numPr>
                <w:ilvl w:val="0"/>
                <w:numId w:val="3"/>
              </w:numPr>
              <w:kinsoku/>
              <w:wordWrap/>
              <w:overflowPunct/>
              <w:topLinePunct w:val="0"/>
              <w:bidi w:val="0"/>
              <w:adjustRightInd w:val="0"/>
              <w:snapToGrid w:val="0"/>
              <w:ind w:left="210" w:leftChars="0" w:right="0" w:rightChars="0" w:firstLine="0" w:firstLineChars="0"/>
              <w:jc w:val="center"/>
              <w:textAlignment w:val="auto"/>
              <w:rPr>
                <w:rFonts w:hint="eastAsia" w:ascii="宋体" w:hAnsi="宋体" w:eastAsia="宋体" w:cs="宋体"/>
                <w:color w:val="auto"/>
                <w:sz w:val="21"/>
                <w:szCs w:val="21"/>
                <w:highlight w:val="none"/>
              </w:rPr>
            </w:pPr>
          </w:p>
        </w:tc>
        <w:tc>
          <w:tcPr>
            <w:tcW w:w="1191" w:type="dxa"/>
            <w:vAlign w:val="center"/>
          </w:tcPr>
          <w:p w14:paraId="4308761A">
            <w:pPr>
              <w:keepNext w:val="0"/>
              <w:keepLines w:val="0"/>
              <w:pageBreakBefore w:val="0"/>
              <w:kinsoku/>
              <w:wordWrap/>
              <w:overflowPunct/>
              <w:topLinePunct w:val="0"/>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履约评价情况</w:t>
            </w:r>
          </w:p>
        </w:tc>
        <w:tc>
          <w:tcPr>
            <w:tcW w:w="5925" w:type="dxa"/>
            <w:vAlign w:val="center"/>
          </w:tcPr>
          <w:p w14:paraId="1EC2EB4D">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上述经评审有效的“投标人同类项目业绩情况”，提供采购单位或被服务单位的履约评价，投标人每提供一项评价为“优”或其他最高等级的得2分，最高得6分。</w:t>
            </w:r>
          </w:p>
          <w:p w14:paraId="4BDBC9F7">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证明文件：</w:t>
            </w:r>
          </w:p>
          <w:p w14:paraId="40AD9F7A">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提供采购单位或被服务单位出具的履约评价为“优”或其他最高等级的相关证明文件加盖合同甲方公章(业务章)。证明文件的内容包括但不仅限于合同的项目名称、总体履约评价结果出具证明的签署日期等相关内容，如提交的证明文件其评价结果没有结论而仅是打分的(比如打100分、98分、95分、85分等的)不计分。</w:t>
            </w:r>
          </w:p>
        </w:tc>
        <w:tc>
          <w:tcPr>
            <w:tcW w:w="764" w:type="dxa"/>
            <w:tcBorders>
              <w:right w:val="single" w:color="auto" w:sz="4" w:space="0"/>
            </w:tcBorders>
            <w:vAlign w:val="center"/>
          </w:tcPr>
          <w:p w14:paraId="7CA4F3EA">
            <w:pPr>
              <w:keepNext w:val="0"/>
              <w:keepLines w:val="0"/>
              <w:pageBreakBefore w:val="0"/>
              <w:kinsoku/>
              <w:wordWrap/>
              <w:overflowPunct/>
              <w:topLinePunct w:val="0"/>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849" w:type="dxa"/>
            <w:tcBorders>
              <w:left w:val="single" w:color="auto" w:sz="4" w:space="0"/>
            </w:tcBorders>
            <w:vAlign w:val="center"/>
          </w:tcPr>
          <w:p w14:paraId="3C99C6BC">
            <w:pPr>
              <w:keepNext w:val="0"/>
              <w:keepLines w:val="0"/>
              <w:pageBreakBefore w:val="0"/>
              <w:kinsoku/>
              <w:wordWrap/>
              <w:overflowPunct/>
              <w:topLinePunct w:val="0"/>
              <w:bidi w:val="0"/>
              <w:adjustRightInd w:val="0"/>
              <w:snapToGrid w:val="0"/>
              <w:ind w:left="0" w:leftChars="0" w:right="0" w:righ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r>
      <w:tr w14:paraId="6F346C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51" w:type="pct"/>
            <w:tcBorders>
              <w:top w:val="single" w:color="auto" w:sz="4" w:space="0"/>
              <w:bottom w:val="single" w:color="auto" w:sz="4" w:space="0"/>
            </w:tcBorders>
            <w:vAlign w:val="center"/>
          </w:tcPr>
          <w:p w14:paraId="0D511134">
            <w:pPr>
              <w:pStyle w:val="24"/>
              <w:keepNext w:val="0"/>
              <w:keepLines w:val="0"/>
              <w:pageBreakBefore w:val="0"/>
              <w:numPr>
                <w:ilvl w:val="0"/>
                <w:numId w:val="3"/>
              </w:numPr>
              <w:kinsoku/>
              <w:wordWrap/>
              <w:overflowPunct/>
              <w:topLinePunct w:val="0"/>
              <w:bidi w:val="0"/>
              <w:adjustRightInd w:val="0"/>
              <w:snapToGrid w:val="0"/>
              <w:ind w:left="210" w:leftChars="0" w:right="0" w:rightChars="0" w:firstLine="0" w:firstLineChars="0"/>
              <w:jc w:val="center"/>
              <w:textAlignment w:val="auto"/>
              <w:rPr>
                <w:rFonts w:hint="eastAsia" w:ascii="宋体" w:hAnsi="宋体" w:eastAsia="宋体" w:cs="宋体"/>
                <w:color w:val="auto"/>
                <w:sz w:val="21"/>
                <w:szCs w:val="21"/>
                <w:highlight w:val="none"/>
              </w:rPr>
            </w:pPr>
          </w:p>
        </w:tc>
        <w:tc>
          <w:tcPr>
            <w:tcW w:w="634" w:type="pct"/>
            <w:vAlign w:val="center"/>
          </w:tcPr>
          <w:p w14:paraId="18003865">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售后服务要求响应情况</w:t>
            </w:r>
          </w:p>
        </w:tc>
        <w:tc>
          <w:tcPr>
            <w:tcW w:w="3153" w:type="pct"/>
            <w:vAlign w:val="center"/>
          </w:tcPr>
          <w:p w14:paraId="7918F091">
            <w:pPr>
              <w:pStyle w:val="4"/>
              <w:ind w:left="0" w:leftChars="0" w:firstLine="0" w:firstLineChars="0"/>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投标人应如实填写《用户需求书条款响应一览表》，评审委员会根据</w:t>
            </w:r>
            <w:r>
              <w:rPr>
                <w:rFonts w:hint="eastAsia" w:ascii="宋体" w:hAnsi="宋体" w:eastAsia="宋体" w:cs="宋体"/>
                <w:b/>
                <w:bCs/>
                <w:color w:val="auto"/>
                <w:kern w:val="0"/>
                <w:sz w:val="21"/>
                <w:szCs w:val="21"/>
                <w:lang w:val="en-US" w:eastAsia="zh-CN"/>
              </w:rPr>
              <w:t xml:space="preserve">用户需求书 </w:t>
            </w:r>
            <w:r>
              <w:rPr>
                <w:rFonts w:hint="eastAsia" w:ascii="宋体" w:hAnsi="宋体" w:eastAsia="宋体" w:cs="宋体"/>
                <w:b/>
                <w:bCs/>
                <w:color w:val="auto"/>
                <w:sz w:val="21"/>
                <w:szCs w:val="21"/>
              </w:rPr>
              <w:t>售后服务要求</w:t>
            </w:r>
            <w:r>
              <w:rPr>
                <w:rFonts w:hint="eastAsia" w:ascii="宋体" w:hAnsi="宋体" w:eastAsia="宋体" w:cs="宋体"/>
                <w:color w:val="auto"/>
                <w:kern w:val="0"/>
                <w:sz w:val="21"/>
                <w:szCs w:val="21"/>
              </w:rPr>
              <w:t>响应情况进行打分</w:t>
            </w:r>
            <w:r>
              <w:rPr>
                <w:rFonts w:hint="eastAsia" w:ascii="宋体" w:hAnsi="宋体" w:eastAsia="宋体" w:cs="宋体"/>
                <w:color w:val="auto"/>
                <w:kern w:val="0"/>
                <w:sz w:val="21"/>
                <w:szCs w:val="21"/>
                <w:lang w:eastAsia="zh-CN"/>
              </w:rPr>
              <w:t>：</w:t>
            </w:r>
          </w:p>
          <w:p w14:paraId="7108ED40">
            <w:pPr>
              <w:pStyle w:val="4"/>
              <w:ind w:left="0" w:leftChars="0"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sz w:val="21"/>
                <w:szCs w:val="21"/>
                <w:highlight w:val="none"/>
              </w:rPr>
              <w:t>投标人承诺的</w:t>
            </w:r>
            <w:r>
              <w:rPr>
                <w:rFonts w:hint="eastAsia" w:ascii="宋体" w:hAnsi="宋体" w:eastAsia="宋体" w:cs="宋体"/>
                <w:color w:val="auto"/>
                <w:sz w:val="21"/>
                <w:szCs w:val="21"/>
                <w:highlight w:val="none"/>
                <w:lang w:val="en-US" w:eastAsia="zh-CN"/>
              </w:rPr>
              <w:t>保修期在</w:t>
            </w:r>
            <w:r>
              <w:rPr>
                <w:rFonts w:hint="eastAsia" w:ascii="宋体" w:hAnsi="宋体" w:eastAsia="宋体" w:cs="宋体"/>
                <w:color w:val="auto"/>
                <w:sz w:val="21"/>
                <w:szCs w:val="21"/>
                <w:highlight w:val="none"/>
              </w:rPr>
              <w:t>满足招标文件要求（</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年）的基础上，每增加1年，得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增加不足1年的不得分</w:t>
            </w:r>
            <w:r>
              <w:rPr>
                <w:rFonts w:hint="eastAsia" w:ascii="宋体" w:hAnsi="宋体" w:eastAsia="宋体" w:cs="宋体"/>
                <w:color w:val="auto"/>
                <w:kern w:val="0"/>
                <w:sz w:val="21"/>
                <w:szCs w:val="21"/>
              </w:rPr>
              <w:t>；</w:t>
            </w:r>
          </w:p>
          <w:p w14:paraId="405926AE">
            <w:pPr>
              <w:pStyle w:val="4"/>
              <w:ind w:left="0" w:leftChars="0"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2.其他要求全部满足的得</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分，每负偏离一项扣</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分，负偏离达</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项</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rPr>
              <w:t>本项不得分。</w:t>
            </w:r>
          </w:p>
          <w:p w14:paraId="6054384B">
            <w:pPr>
              <w:pStyle w:val="4"/>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备注：投标人提供</w:t>
            </w:r>
            <w:r>
              <w:rPr>
                <w:rFonts w:hint="eastAsia" w:ascii="宋体" w:hAnsi="宋体" w:eastAsia="宋体" w:cs="宋体"/>
                <w:color w:val="auto"/>
                <w:sz w:val="21"/>
                <w:szCs w:val="21"/>
                <w:highlight w:val="none"/>
                <w:lang w:val="en-US" w:eastAsia="zh-CN"/>
              </w:rPr>
              <w:t>保修期</w:t>
            </w:r>
            <w:r>
              <w:rPr>
                <w:rFonts w:hint="eastAsia" w:ascii="宋体" w:hAnsi="宋体" w:eastAsia="宋体" w:cs="宋体"/>
                <w:color w:val="auto"/>
                <w:sz w:val="21"/>
                <w:szCs w:val="21"/>
                <w:highlight w:val="none"/>
              </w:rPr>
              <w:t>承诺函并明确具体的</w:t>
            </w:r>
            <w:r>
              <w:rPr>
                <w:rFonts w:hint="eastAsia" w:ascii="宋体" w:hAnsi="宋体" w:eastAsia="宋体" w:cs="宋体"/>
                <w:color w:val="auto"/>
                <w:sz w:val="21"/>
                <w:szCs w:val="21"/>
                <w:highlight w:val="none"/>
                <w:lang w:val="en-US" w:eastAsia="zh-CN"/>
              </w:rPr>
              <w:t>保修</w:t>
            </w:r>
            <w:r>
              <w:rPr>
                <w:rFonts w:hint="eastAsia" w:ascii="宋体" w:hAnsi="宋体" w:eastAsia="宋体" w:cs="宋体"/>
                <w:color w:val="auto"/>
                <w:sz w:val="21"/>
                <w:szCs w:val="21"/>
                <w:highlight w:val="none"/>
              </w:rPr>
              <w:t>期限，未按要求提供不得分，承诺函格式自拟。</w:t>
            </w:r>
          </w:p>
        </w:tc>
        <w:tc>
          <w:tcPr>
            <w:tcW w:w="407" w:type="pct"/>
            <w:tcBorders>
              <w:right w:val="single" w:color="auto" w:sz="4" w:space="0"/>
            </w:tcBorders>
            <w:vAlign w:val="center"/>
          </w:tcPr>
          <w:p w14:paraId="674CB7A7">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452" w:type="pct"/>
            <w:tcBorders>
              <w:left w:val="single" w:color="auto" w:sz="4" w:space="0"/>
            </w:tcBorders>
            <w:vAlign w:val="center"/>
          </w:tcPr>
          <w:p w14:paraId="325F86A0">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r>
      <w:tr w14:paraId="563E99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351" w:type="pct"/>
            <w:tcBorders>
              <w:top w:val="single" w:color="auto" w:sz="4" w:space="0"/>
            </w:tcBorders>
            <w:vAlign w:val="center"/>
          </w:tcPr>
          <w:p w14:paraId="7D38385B">
            <w:pPr>
              <w:pStyle w:val="24"/>
              <w:keepNext w:val="0"/>
              <w:keepLines w:val="0"/>
              <w:pageBreakBefore w:val="0"/>
              <w:numPr>
                <w:ilvl w:val="0"/>
                <w:numId w:val="3"/>
              </w:numPr>
              <w:kinsoku/>
              <w:wordWrap/>
              <w:overflowPunct/>
              <w:topLinePunct w:val="0"/>
              <w:bidi w:val="0"/>
              <w:adjustRightInd w:val="0"/>
              <w:snapToGrid w:val="0"/>
              <w:ind w:left="210" w:leftChars="0" w:right="0" w:rightChars="0" w:firstLine="0" w:firstLineChars="0"/>
              <w:jc w:val="center"/>
              <w:textAlignment w:val="auto"/>
              <w:rPr>
                <w:rFonts w:hint="eastAsia" w:ascii="宋体" w:hAnsi="宋体" w:eastAsia="宋体" w:cs="宋体"/>
                <w:color w:val="auto"/>
                <w:sz w:val="21"/>
                <w:szCs w:val="21"/>
                <w:highlight w:val="none"/>
              </w:rPr>
            </w:pPr>
          </w:p>
        </w:tc>
        <w:tc>
          <w:tcPr>
            <w:tcW w:w="634" w:type="pct"/>
            <w:vAlign w:val="center"/>
          </w:tcPr>
          <w:p w14:paraId="0E9E4E82">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诚信</w:t>
            </w:r>
          </w:p>
        </w:tc>
        <w:tc>
          <w:tcPr>
            <w:tcW w:w="3153" w:type="pct"/>
            <w:vAlign w:val="center"/>
          </w:tcPr>
          <w:p w14:paraId="2F91C35D">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（一）评分内容</w:t>
            </w:r>
          </w:p>
          <w:p w14:paraId="7D91A35A">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供应商诚信查询结果。</w:t>
            </w:r>
          </w:p>
          <w:p w14:paraId="088843A0">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（二）评分依据</w:t>
            </w:r>
          </w:p>
          <w:p w14:paraId="28E47D7F">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查询渠道：通过“信用中国”（www.creditchina.gov.cn）、“中国政府采购网”（www.ccgp.gov.cn）、“深圳市政府采购监管网”（http://zfcg.sz.gov.cn）以及财政主管部门认定的其他渠道查询供应商信用信息，信用信息以开标当日的查询结果为准。</w:t>
            </w:r>
          </w:p>
        </w:tc>
        <w:tc>
          <w:tcPr>
            <w:tcW w:w="407" w:type="pct"/>
            <w:tcBorders>
              <w:right w:val="single" w:color="auto" w:sz="4" w:space="0"/>
            </w:tcBorders>
            <w:vAlign w:val="center"/>
          </w:tcPr>
          <w:p w14:paraId="3CFA4CD1">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452" w:type="pct"/>
            <w:tcBorders>
              <w:left w:val="single" w:color="auto" w:sz="4" w:space="0"/>
            </w:tcBorders>
            <w:vAlign w:val="center"/>
          </w:tcPr>
          <w:p w14:paraId="6FFB1CF5">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r>
      <w:tr w14:paraId="6417B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351" w:type="pct"/>
            <w:tcBorders>
              <w:top w:val="single" w:color="auto" w:sz="4" w:space="0"/>
            </w:tcBorders>
            <w:vAlign w:val="center"/>
          </w:tcPr>
          <w:p w14:paraId="0B39D84C">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w:t>
            </w:r>
          </w:p>
        </w:tc>
        <w:tc>
          <w:tcPr>
            <w:tcW w:w="4648" w:type="pct"/>
            <w:gridSpan w:val="4"/>
            <w:vAlign w:val="center"/>
          </w:tcPr>
          <w:p w14:paraId="37331882">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价格部分（</w:t>
            </w:r>
            <w:r>
              <w:rPr>
                <w:rFonts w:hint="eastAsia" w:ascii="宋体" w:hAnsi="宋体" w:cs="宋体"/>
                <w:b/>
                <w:color w:val="auto"/>
                <w:sz w:val="21"/>
                <w:szCs w:val="21"/>
                <w:highlight w:val="none"/>
                <w:lang w:val="en-US" w:eastAsia="zh-CN"/>
              </w:rPr>
              <w:t>20</w:t>
            </w:r>
            <w:r>
              <w:rPr>
                <w:rFonts w:hint="eastAsia" w:ascii="宋体" w:hAnsi="宋体" w:eastAsia="宋体" w:cs="宋体"/>
                <w:b/>
                <w:color w:val="auto"/>
                <w:sz w:val="21"/>
                <w:szCs w:val="21"/>
                <w:highlight w:val="none"/>
              </w:rPr>
              <w:t>分）</w:t>
            </w:r>
          </w:p>
        </w:tc>
      </w:tr>
      <w:tr w14:paraId="744142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351" w:type="pct"/>
            <w:vAlign w:val="center"/>
          </w:tcPr>
          <w:p w14:paraId="3656B175">
            <w:pPr>
              <w:keepNext w:val="0"/>
              <w:keepLines w:val="0"/>
              <w:pageBreakBefore w:val="0"/>
              <w:kinsoku/>
              <w:wordWrap/>
              <w:overflowPunct/>
              <w:topLinePunct w:val="0"/>
              <w:bidi w:val="0"/>
              <w:adjustRightInd w:val="0"/>
              <w:snapToGrid w:val="0"/>
              <w:ind w:left="0" w:leftChars="0" w:right="0" w:rightChars="0" w:firstLine="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p>
        </w:tc>
        <w:tc>
          <w:tcPr>
            <w:tcW w:w="634" w:type="pct"/>
            <w:vAlign w:val="center"/>
          </w:tcPr>
          <w:p w14:paraId="085B805A">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3153" w:type="pct"/>
            <w:vAlign w:val="center"/>
          </w:tcPr>
          <w:p w14:paraId="5C318967">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价格分应当采用低价优先法计算，即满足招标文件要求且投标价格最低的投标报价为评标基准价，其价格分为满分。其他投标人的价格分统一按照下列公式计算：</w:t>
            </w:r>
          </w:p>
          <w:p w14:paraId="228C9982">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投标报价得分=（评标基准价／投标报价）×100×权重</w:t>
            </w:r>
          </w:p>
          <w:p w14:paraId="028FB9AD">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197823A7">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1、投标报价得分四舍五入后，小数点后保留两位有效数。</w:t>
            </w:r>
          </w:p>
          <w:p w14:paraId="21C39A55">
            <w:pPr>
              <w:pStyle w:val="4"/>
              <w:keepNext w:val="0"/>
              <w:keepLines w:val="0"/>
              <w:pageBreakBefore w:val="0"/>
              <w:widowControl w:val="0"/>
              <w:kinsoku/>
              <w:wordWrap/>
              <w:overflowPunct/>
              <w:topLinePunct w:val="0"/>
              <w:autoSpaceDE/>
              <w:autoSpaceDN/>
              <w:bidi w:val="0"/>
              <w:adjustRightInd w:val="0"/>
              <w:snapToGrid w:val="0"/>
              <w:ind w:left="0" w:leftChars="0" w:right="0" w:rightChars="0" w:firstLine="0" w:firstLineChars="0"/>
              <w:jc w:val="both"/>
              <w:textAlignment w:val="auto"/>
              <w:rPr>
                <w:rStyle w:val="15"/>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2、因落实政府采购政策进行价格调整的，以调整后的价格计算评标基准价和投标报价，详见《价格扣除》。</w:t>
            </w:r>
          </w:p>
        </w:tc>
        <w:tc>
          <w:tcPr>
            <w:tcW w:w="407" w:type="pct"/>
            <w:tcBorders>
              <w:right w:val="single" w:color="auto" w:sz="4" w:space="0"/>
            </w:tcBorders>
            <w:vAlign w:val="center"/>
          </w:tcPr>
          <w:p w14:paraId="74E7616B">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p>
        </w:tc>
        <w:tc>
          <w:tcPr>
            <w:tcW w:w="452" w:type="pct"/>
            <w:tcBorders>
              <w:left w:val="single" w:color="auto" w:sz="4" w:space="0"/>
            </w:tcBorders>
            <w:vAlign w:val="center"/>
          </w:tcPr>
          <w:p w14:paraId="2B527DEA">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p>
        </w:tc>
      </w:tr>
      <w:tr w14:paraId="497F5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3" w:hRule="atLeast"/>
          <w:jc w:val="center"/>
        </w:trPr>
        <w:tc>
          <w:tcPr>
            <w:tcW w:w="4140" w:type="pct"/>
            <w:gridSpan w:val="3"/>
            <w:vAlign w:val="center"/>
          </w:tcPr>
          <w:p w14:paraId="758F1694">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07" w:type="pct"/>
            <w:tcBorders>
              <w:right w:val="single" w:color="auto" w:sz="4" w:space="0"/>
            </w:tcBorders>
            <w:vAlign w:val="center"/>
          </w:tcPr>
          <w:p w14:paraId="428EBA40">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452" w:type="pct"/>
            <w:tcBorders>
              <w:left w:val="single" w:color="auto" w:sz="4" w:space="0"/>
            </w:tcBorders>
            <w:vAlign w:val="center"/>
          </w:tcPr>
          <w:p w14:paraId="72E6F471">
            <w:pPr>
              <w:keepNext w:val="0"/>
              <w:keepLines w:val="0"/>
              <w:pageBreakBefore w:val="0"/>
              <w:kinsoku/>
              <w:wordWrap/>
              <w:overflowPunct/>
              <w:topLinePunct w:val="0"/>
              <w:bidi w:val="0"/>
              <w:adjustRightInd w:val="0"/>
              <w:snapToGrid w:val="0"/>
              <w:ind w:left="0" w:leftChars="0" w:right="0" w:rightChars="0" w:firstLine="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r>
    </w:tbl>
    <w:p w14:paraId="5C29E8B4">
      <w:pPr>
        <w:pStyle w:val="5"/>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B2C79"/>
    <w:multiLevelType w:val="multilevel"/>
    <w:tmpl w:val="225B2C79"/>
    <w:lvl w:ilvl="0" w:tentative="0">
      <w:start w:val="1"/>
      <w:numFmt w:val="chineseCountingThousand"/>
      <w:pStyle w:val="2"/>
      <w:lvlText w:val="(%1)"/>
      <w:lvlJc w:val="left"/>
      <w:pPr>
        <w:ind w:left="920" w:hanging="360"/>
      </w:pPr>
    </w:lvl>
    <w:lvl w:ilvl="1" w:tentative="0">
      <w:start w:val="2"/>
      <w:numFmt w:val="decimal"/>
      <w:isLgl/>
      <w:lvlText w:val="%1.%2."/>
      <w:lvlJc w:val="left"/>
      <w:pPr>
        <w:ind w:left="1540" w:hanging="980"/>
      </w:pPr>
    </w:lvl>
    <w:lvl w:ilvl="2" w:tentative="0">
      <w:start w:val="1"/>
      <w:numFmt w:val="decimal"/>
      <w:isLgl/>
      <w:lvlText w:val="%1.%2.%3."/>
      <w:lvlJc w:val="left"/>
      <w:pPr>
        <w:ind w:left="1640" w:hanging="1080"/>
      </w:pPr>
    </w:lvl>
    <w:lvl w:ilvl="3" w:tentative="0">
      <w:start w:val="1"/>
      <w:numFmt w:val="decimal"/>
      <w:isLgl/>
      <w:lvlText w:val="%1.%2.%3.%4."/>
      <w:lvlJc w:val="left"/>
      <w:pPr>
        <w:ind w:left="2000" w:hanging="1440"/>
      </w:pPr>
    </w:lvl>
    <w:lvl w:ilvl="4" w:tentative="0">
      <w:start w:val="1"/>
      <w:numFmt w:val="decimal"/>
      <w:isLgl/>
      <w:lvlText w:val="%1.%2.%3.%4.%5."/>
      <w:lvlJc w:val="left"/>
      <w:pPr>
        <w:ind w:left="2000" w:hanging="1440"/>
      </w:pPr>
    </w:lvl>
    <w:lvl w:ilvl="5" w:tentative="0">
      <w:start w:val="1"/>
      <w:numFmt w:val="decimal"/>
      <w:isLgl/>
      <w:lvlText w:val="%1.%2.%3.%4.%5.%6."/>
      <w:lvlJc w:val="left"/>
      <w:pPr>
        <w:ind w:left="2360" w:hanging="1800"/>
      </w:pPr>
    </w:lvl>
    <w:lvl w:ilvl="6" w:tentative="0">
      <w:start w:val="1"/>
      <w:numFmt w:val="decimal"/>
      <w:isLgl/>
      <w:lvlText w:val="%1.%2.%3.%4.%5.%6.%7."/>
      <w:lvlJc w:val="left"/>
      <w:pPr>
        <w:ind w:left="2720" w:hanging="2160"/>
      </w:pPr>
    </w:lvl>
    <w:lvl w:ilvl="7" w:tentative="0">
      <w:start w:val="1"/>
      <w:numFmt w:val="decimal"/>
      <w:isLgl/>
      <w:lvlText w:val="%1.%2.%3.%4.%5.%6.%7.%8."/>
      <w:lvlJc w:val="left"/>
      <w:pPr>
        <w:ind w:left="3080" w:hanging="2520"/>
      </w:pPr>
    </w:lvl>
    <w:lvl w:ilvl="8" w:tentative="0">
      <w:start w:val="1"/>
      <w:numFmt w:val="decimal"/>
      <w:isLgl/>
      <w:lvlText w:val="%1.%2.%3.%4.%5.%6.%7.%8.%9."/>
      <w:lvlJc w:val="left"/>
      <w:pPr>
        <w:ind w:left="3080" w:hanging="2520"/>
      </w:pPr>
    </w:lvl>
  </w:abstractNum>
  <w:abstractNum w:abstractNumId="1">
    <w:nsid w:val="24714A5A"/>
    <w:multiLevelType w:val="multilevel"/>
    <w:tmpl w:val="24714A5A"/>
    <w:lvl w:ilvl="0" w:tentative="0">
      <w:start w:val="1"/>
      <w:numFmt w:val="decimal"/>
      <w:lvlText w:val="%1."/>
      <w:lvlJc w:val="left"/>
      <w:pPr>
        <w:ind w:left="630" w:hanging="420"/>
      </w:p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2">
    <w:nsid w:val="7C2D25F0"/>
    <w:multiLevelType w:val="multilevel"/>
    <w:tmpl w:val="7C2D2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zY2NiYTcwYWMwZTBmZDU1NzVmOTJiMjU3OTI0MDMifQ=="/>
  </w:docVars>
  <w:rsids>
    <w:rsidRoot w:val="00C67B9E"/>
    <w:rsid w:val="00003F80"/>
    <w:rsid w:val="00010D78"/>
    <w:rsid w:val="00045EA7"/>
    <w:rsid w:val="00060332"/>
    <w:rsid w:val="00064393"/>
    <w:rsid w:val="00076353"/>
    <w:rsid w:val="000C63C7"/>
    <w:rsid w:val="000D71F3"/>
    <w:rsid w:val="001A223C"/>
    <w:rsid w:val="002454D2"/>
    <w:rsid w:val="00257951"/>
    <w:rsid w:val="002969B5"/>
    <w:rsid w:val="002B4BD0"/>
    <w:rsid w:val="00311BF7"/>
    <w:rsid w:val="00367130"/>
    <w:rsid w:val="003D6789"/>
    <w:rsid w:val="003F32BE"/>
    <w:rsid w:val="0041428F"/>
    <w:rsid w:val="00427951"/>
    <w:rsid w:val="0043452D"/>
    <w:rsid w:val="004642BD"/>
    <w:rsid w:val="005137C4"/>
    <w:rsid w:val="00561F31"/>
    <w:rsid w:val="005F73CE"/>
    <w:rsid w:val="00647402"/>
    <w:rsid w:val="00680A0B"/>
    <w:rsid w:val="006A5FED"/>
    <w:rsid w:val="006E2AA9"/>
    <w:rsid w:val="006F097F"/>
    <w:rsid w:val="0073626D"/>
    <w:rsid w:val="00790B41"/>
    <w:rsid w:val="007D4DA6"/>
    <w:rsid w:val="007F735F"/>
    <w:rsid w:val="008A6022"/>
    <w:rsid w:val="008C0E1C"/>
    <w:rsid w:val="008C39E4"/>
    <w:rsid w:val="00905DC1"/>
    <w:rsid w:val="009369DF"/>
    <w:rsid w:val="009470AE"/>
    <w:rsid w:val="00970EDE"/>
    <w:rsid w:val="00974177"/>
    <w:rsid w:val="009A257E"/>
    <w:rsid w:val="00A029C6"/>
    <w:rsid w:val="00A273EF"/>
    <w:rsid w:val="00A76BAE"/>
    <w:rsid w:val="00AA4F62"/>
    <w:rsid w:val="00AF4E09"/>
    <w:rsid w:val="00B03E67"/>
    <w:rsid w:val="00B1659E"/>
    <w:rsid w:val="00B66757"/>
    <w:rsid w:val="00BA378E"/>
    <w:rsid w:val="00BD368D"/>
    <w:rsid w:val="00BF25BA"/>
    <w:rsid w:val="00C5461D"/>
    <w:rsid w:val="00C67B9E"/>
    <w:rsid w:val="00C71E57"/>
    <w:rsid w:val="00C9364E"/>
    <w:rsid w:val="00CD56D1"/>
    <w:rsid w:val="00CD5C7A"/>
    <w:rsid w:val="00CE66A7"/>
    <w:rsid w:val="00CF64F4"/>
    <w:rsid w:val="00D24570"/>
    <w:rsid w:val="00D6314B"/>
    <w:rsid w:val="00DA4A02"/>
    <w:rsid w:val="00DF5367"/>
    <w:rsid w:val="00E010F0"/>
    <w:rsid w:val="00E31D1D"/>
    <w:rsid w:val="00E474FD"/>
    <w:rsid w:val="00EB1EF1"/>
    <w:rsid w:val="00ED6097"/>
    <w:rsid w:val="00EE6E6F"/>
    <w:rsid w:val="00F200FF"/>
    <w:rsid w:val="00F23760"/>
    <w:rsid w:val="00F35975"/>
    <w:rsid w:val="00F872EF"/>
    <w:rsid w:val="00F96BB4"/>
    <w:rsid w:val="01B60758"/>
    <w:rsid w:val="022A679E"/>
    <w:rsid w:val="036A59B4"/>
    <w:rsid w:val="049A7ADA"/>
    <w:rsid w:val="05DF4A73"/>
    <w:rsid w:val="08DA0237"/>
    <w:rsid w:val="08F97D45"/>
    <w:rsid w:val="09FE0C04"/>
    <w:rsid w:val="0A8F7AAE"/>
    <w:rsid w:val="0C2F32F7"/>
    <w:rsid w:val="0CA317C3"/>
    <w:rsid w:val="0D3A2336"/>
    <w:rsid w:val="0F2F09E0"/>
    <w:rsid w:val="0F552755"/>
    <w:rsid w:val="11064AA9"/>
    <w:rsid w:val="1384217A"/>
    <w:rsid w:val="13A5576F"/>
    <w:rsid w:val="14F13869"/>
    <w:rsid w:val="152E64B4"/>
    <w:rsid w:val="16782C09"/>
    <w:rsid w:val="17B80644"/>
    <w:rsid w:val="187953B4"/>
    <w:rsid w:val="190204C9"/>
    <w:rsid w:val="19DE635C"/>
    <w:rsid w:val="1A184CDB"/>
    <w:rsid w:val="1A3146DE"/>
    <w:rsid w:val="1AA11864"/>
    <w:rsid w:val="1B485552"/>
    <w:rsid w:val="1CB41379"/>
    <w:rsid w:val="1F0C7A58"/>
    <w:rsid w:val="1FB60294"/>
    <w:rsid w:val="1FC76B38"/>
    <w:rsid w:val="235029F3"/>
    <w:rsid w:val="237759F1"/>
    <w:rsid w:val="23D5432C"/>
    <w:rsid w:val="240D4A36"/>
    <w:rsid w:val="2593449F"/>
    <w:rsid w:val="25967894"/>
    <w:rsid w:val="25E46AA9"/>
    <w:rsid w:val="267A1EFC"/>
    <w:rsid w:val="28653295"/>
    <w:rsid w:val="28EC6B33"/>
    <w:rsid w:val="29A540FB"/>
    <w:rsid w:val="2A043BBD"/>
    <w:rsid w:val="2C522880"/>
    <w:rsid w:val="2EC851B9"/>
    <w:rsid w:val="3073530A"/>
    <w:rsid w:val="310E0445"/>
    <w:rsid w:val="3163566D"/>
    <w:rsid w:val="31E85F01"/>
    <w:rsid w:val="3384219E"/>
    <w:rsid w:val="35417A73"/>
    <w:rsid w:val="356001DD"/>
    <w:rsid w:val="359A3628"/>
    <w:rsid w:val="36390BFE"/>
    <w:rsid w:val="374E6478"/>
    <w:rsid w:val="3759664E"/>
    <w:rsid w:val="37AE6F16"/>
    <w:rsid w:val="380E60C6"/>
    <w:rsid w:val="390A4620"/>
    <w:rsid w:val="3B335A37"/>
    <w:rsid w:val="3BE13D5E"/>
    <w:rsid w:val="3BFC0B7A"/>
    <w:rsid w:val="3CBD3885"/>
    <w:rsid w:val="3DB51F95"/>
    <w:rsid w:val="3E61128B"/>
    <w:rsid w:val="3E693B97"/>
    <w:rsid w:val="3EED6576"/>
    <w:rsid w:val="40305E88"/>
    <w:rsid w:val="417E2ACB"/>
    <w:rsid w:val="41B94863"/>
    <w:rsid w:val="42F01EAE"/>
    <w:rsid w:val="436F39FE"/>
    <w:rsid w:val="445B5ADD"/>
    <w:rsid w:val="44E358C0"/>
    <w:rsid w:val="45114D25"/>
    <w:rsid w:val="47C43ABD"/>
    <w:rsid w:val="486378A9"/>
    <w:rsid w:val="48E01BEC"/>
    <w:rsid w:val="491B5CAF"/>
    <w:rsid w:val="4A5F1FFB"/>
    <w:rsid w:val="4ABE4B31"/>
    <w:rsid w:val="4B2966FB"/>
    <w:rsid w:val="4BB70F0E"/>
    <w:rsid w:val="4C165FF3"/>
    <w:rsid w:val="4CE36076"/>
    <w:rsid w:val="4D574E92"/>
    <w:rsid w:val="50F33EC0"/>
    <w:rsid w:val="510A5F50"/>
    <w:rsid w:val="57B64ACD"/>
    <w:rsid w:val="57F549C2"/>
    <w:rsid w:val="58913036"/>
    <w:rsid w:val="5B0373F5"/>
    <w:rsid w:val="5B205CD1"/>
    <w:rsid w:val="5B3C2907"/>
    <w:rsid w:val="5F7C32D2"/>
    <w:rsid w:val="602B6AA7"/>
    <w:rsid w:val="6062129A"/>
    <w:rsid w:val="617B0038"/>
    <w:rsid w:val="62074BE1"/>
    <w:rsid w:val="6270256A"/>
    <w:rsid w:val="62B91956"/>
    <w:rsid w:val="6393607E"/>
    <w:rsid w:val="63A17009"/>
    <w:rsid w:val="63A36518"/>
    <w:rsid w:val="63C313DC"/>
    <w:rsid w:val="662462C6"/>
    <w:rsid w:val="66C32DAD"/>
    <w:rsid w:val="68336713"/>
    <w:rsid w:val="689D68CD"/>
    <w:rsid w:val="690C3805"/>
    <w:rsid w:val="69427100"/>
    <w:rsid w:val="6B6A4927"/>
    <w:rsid w:val="6BD04C6F"/>
    <w:rsid w:val="6CDE023B"/>
    <w:rsid w:val="6CDE3881"/>
    <w:rsid w:val="6D0A4613"/>
    <w:rsid w:val="6DB52395"/>
    <w:rsid w:val="6E2C59D5"/>
    <w:rsid w:val="6EB72302"/>
    <w:rsid w:val="6F2F7038"/>
    <w:rsid w:val="6FEC03B0"/>
    <w:rsid w:val="700375BC"/>
    <w:rsid w:val="70EB475C"/>
    <w:rsid w:val="725B321B"/>
    <w:rsid w:val="735A4238"/>
    <w:rsid w:val="73CE09B0"/>
    <w:rsid w:val="7411782E"/>
    <w:rsid w:val="74530EF4"/>
    <w:rsid w:val="7459215D"/>
    <w:rsid w:val="75866347"/>
    <w:rsid w:val="77E3280A"/>
    <w:rsid w:val="783B0B38"/>
    <w:rsid w:val="78615304"/>
    <w:rsid w:val="788C27DE"/>
    <w:rsid w:val="78A615AA"/>
    <w:rsid w:val="795A4B00"/>
    <w:rsid w:val="7C84345E"/>
    <w:rsid w:val="7D6E23B5"/>
    <w:rsid w:val="7DC81A6D"/>
    <w:rsid w:val="7F932247"/>
    <w:rsid w:val="7FED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numPr>
        <w:ilvl w:val="0"/>
        <w:numId w:val="1"/>
      </w:numPr>
      <w:spacing w:before="340" w:after="330" w:line="578" w:lineRule="auto"/>
      <w:outlineLvl w:val="0"/>
    </w:pPr>
    <w:rPr>
      <w:rFonts w:ascii="Calibri" w:hAnsi="Calibri" w:eastAsia="黑体" w:cs="Times New Roman"/>
      <w:b/>
      <w:bCs/>
      <w:kern w:val="44"/>
      <w:sz w:val="36"/>
      <w:szCs w:val="44"/>
      <w:lang w:val="zh-CN"/>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0"/>
    <w:pPr>
      <w:spacing w:line="360" w:lineRule="auto"/>
      <w:ind w:firstLine="883" w:firstLineChars="200"/>
      <w:jc w:val="left"/>
    </w:pPr>
    <w:rPr>
      <w:rFonts w:ascii="Times New Roman" w:hAnsi="Times New Roman" w:eastAsia="宋体" w:cs="Times New Roman"/>
      <w:sz w:val="24"/>
      <w:lang w:val="zh-CN"/>
    </w:rPr>
  </w:style>
  <w:style w:type="paragraph" w:styleId="5">
    <w:name w:val="Body Text"/>
    <w:basedOn w:val="1"/>
    <w:next w:val="6"/>
    <w:qFormat/>
    <w:uiPriority w:val="0"/>
    <w:pPr>
      <w:spacing w:line="360" w:lineRule="auto"/>
    </w:pPr>
    <w:rPr>
      <w:b/>
      <w:bCs/>
      <w:sz w:val="24"/>
    </w:rPr>
  </w:style>
  <w:style w:type="paragraph" w:styleId="6">
    <w:name w:val="Body Text 2"/>
    <w:basedOn w:val="1"/>
    <w:qFormat/>
    <w:uiPriority w:val="0"/>
    <w:pPr>
      <w:tabs>
        <w:tab w:val="left" w:pos="0"/>
      </w:tabs>
      <w:spacing w:line="400" w:lineRule="atLeast"/>
    </w:pPr>
    <w:rPr>
      <w:rFonts w:ascii="Arial" w:hAnsi="Arial"/>
      <w:color w:val="000000"/>
    </w:rPr>
  </w:style>
  <w:style w:type="paragraph" w:styleId="7">
    <w:name w:val="Body Text Indent"/>
    <w:basedOn w:val="1"/>
    <w:qFormat/>
    <w:uiPriority w:val="0"/>
    <w:pPr>
      <w:spacing w:line="560" w:lineRule="exact"/>
      <w:ind w:left="300"/>
    </w:pPr>
    <w:rPr>
      <w:sz w:val="24"/>
    </w:rPr>
  </w:style>
  <w:style w:type="paragraph" w:styleId="8">
    <w:name w:val="Plain Text"/>
    <w:basedOn w:val="1"/>
    <w:qFormat/>
    <w:uiPriority w:val="0"/>
    <w:rPr>
      <w:rFonts w:ascii="宋体" w:hAnsi="Courier New" w:cs="Courier New" w:eastAsiaTheme="minorEastAsia"/>
      <w:szCs w:val="21"/>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2"/>
    <w:basedOn w:val="7"/>
    <w:qFormat/>
    <w:uiPriority w:val="0"/>
    <w:pPr>
      <w:ind w:firstLine="420" w:firstLineChars="200"/>
    </w:pPr>
  </w:style>
  <w:style w:type="character" w:styleId="15">
    <w:name w:val="annotation reference"/>
    <w:qFormat/>
    <w:uiPriority w:val="0"/>
    <w:rPr>
      <w:sz w:val="21"/>
      <w:szCs w:val="21"/>
    </w:rPr>
  </w:style>
  <w:style w:type="character" w:customStyle="1" w:styleId="16">
    <w:name w:val="页眉 字符"/>
    <w:basedOn w:val="14"/>
    <w:link w:val="10"/>
    <w:qFormat/>
    <w:uiPriority w:val="99"/>
    <w:rPr>
      <w:sz w:val="18"/>
      <w:szCs w:val="18"/>
    </w:rPr>
  </w:style>
  <w:style w:type="character" w:customStyle="1" w:styleId="17">
    <w:name w:val="页脚 字符"/>
    <w:basedOn w:val="14"/>
    <w:link w:val="9"/>
    <w:qFormat/>
    <w:uiPriority w:val="99"/>
    <w:rPr>
      <w:sz w:val="18"/>
      <w:szCs w:val="18"/>
    </w:rPr>
  </w:style>
  <w:style w:type="paragraph" w:styleId="18">
    <w:name w:val="List Paragraph"/>
    <w:basedOn w:val="1"/>
    <w:qFormat/>
    <w:uiPriority w:val="34"/>
    <w:pPr>
      <w:ind w:firstLine="420" w:firstLineChars="200"/>
    </w:pPr>
  </w:style>
  <w:style w:type="character" w:customStyle="1" w:styleId="19">
    <w:name w:val="标题 1 字符"/>
    <w:basedOn w:val="14"/>
    <w:qFormat/>
    <w:uiPriority w:val="9"/>
    <w:rPr>
      <w:rFonts w:asciiTheme="minorHAnsi" w:hAnsiTheme="minorHAnsi" w:eastAsiaTheme="minorEastAsia" w:cstheme="minorBidi"/>
      <w:b/>
      <w:bCs/>
      <w:kern w:val="44"/>
      <w:sz w:val="44"/>
      <w:szCs w:val="44"/>
    </w:rPr>
  </w:style>
  <w:style w:type="character" w:customStyle="1" w:styleId="20">
    <w:name w:val="批注文字 字符"/>
    <w:basedOn w:val="14"/>
    <w:semiHidden/>
    <w:qFormat/>
    <w:uiPriority w:val="99"/>
    <w:rPr>
      <w:rFonts w:asciiTheme="minorHAnsi" w:hAnsiTheme="minorHAnsi" w:eastAsiaTheme="minorEastAsia" w:cstheme="minorBidi"/>
      <w:kern w:val="2"/>
      <w:sz w:val="21"/>
      <w:szCs w:val="22"/>
    </w:rPr>
  </w:style>
  <w:style w:type="paragraph" w:customStyle="1" w:styleId="21">
    <w:name w:val="表格文字"/>
    <w:basedOn w:val="1"/>
    <w:qFormat/>
    <w:uiPriority w:val="0"/>
    <w:pPr>
      <w:spacing w:before="25" w:after="25"/>
      <w:ind w:firstLine="200" w:firstLineChars="200"/>
      <w:jc w:val="left"/>
    </w:pPr>
    <w:rPr>
      <w:rFonts w:ascii="Times New Roman" w:hAnsi="Times New Roman" w:eastAsia="宋体" w:cs="Times New Roman"/>
      <w:bCs/>
      <w:spacing w:val="10"/>
      <w:kern w:val="0"/>
      <w:sz w:val="24"/>
    </w:rPr>
  </w:style>
  <w:style w:type="character" w:customStyle="1" w:styleId="22">
    <w:name w:val="标题 1 字符1"/>
    <w:link w:val="2"/>
    <w:qFormat/>
    <w:locked/>
    <w:uiPriority w:val="0"/>
    <w:rPr>
      <w:rFonts w:eastAsia="黑体" w:cs="Times New Roman"/>
      <w:b/>
      <w:bCs/>
      <w:kern w:val="44"/>
      <w:sz w:val="36"/>
      <w:szCs w:val="44"/>
      <w:lang w:val="zh-CN" w:eastAsia="zh-CN"/>
    </w:rPr>
  </w:style>
  <w:style w:type="character" w:customStyle="1" w:styleId="23">
    <w:name w:val="批注文字 字符1"/>
    <w:link w:val="4"/>
    <w:semiHidden/>
    <w:qFormat/>
    <w:locked/>
    <w:uiPriority w:val="0"/>
    <w:rPr>
      <w:rFonts w:ascii="Times New Roman" w:hAnsi="Times New Roman" w:cs="Times New Roman"/>
      <w:kern w:val="2"/>
      <w:sz w:val="24"/>
      <w:szCs w:val="22"/>
      <w:lang w:val="zh-CN" w:eastAsia="zh-CN"/>
    </w:rPr>
  </w:style>
  <w:style w:type="paragraph" w:customStyle="1" w:styleId="24">
    <w:name w:val="列出段落1"/>
    <w:basedOn w:val="1"/>
    <w:qFormat/>
    <w:uiPriority w:val="34"/>
    <w:pPr>
      <w:ind w:firstLine="420" w:firstLineChars="200"/>
    </w:pPr>
  </w:style>
  <w:style w:type="paragraph" w:customStyle="1" w:styleId="25">
    <w:name w:val="正文格式"/>
    <w:basedOn w:val="5"/>
    <w:qFormat/>
    <w:uiPriority w:val="0"/>
    <w:pPr>
      <w:widowControl/>
      <w:tabs>
        <w:tab w:val="left" w:pos="562"/>
        <w:tab w:val="left" w:pos="3372"/>
        <w:tab w:val="left" w:pos="3653"/>
      </w:tabs>
      <w:adjustRightInd w:val="0"/>
      <w:spacing w:line="480" w:lineRule="atLeast"/>
      <w:ind w:firstLine="482"/>
      <w:textAlignment w:val="baseline"/>
    </w:pPr>
    <w:rPr>
      <w:kern w:val="0"/>
      <w:szCs w:val="20"/>
    </w:rPr>
  </w:style>
  <w:style w:type="paragraph" w:customStyle="1" w:styleId="26">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27">
    <w:name w:val="font31"/>
    <w:basedOn w:val="14"/>
    <w:qFormat/>
    <w:uiPriority w:val="0"/>
    <w:rPr>
      <w:rFonts w:hint="eastAsia" w:ascii="仿宋" w:hAnsi="仿宋" w:eastAsia="仿宋" w:cs="仿宋"/>
      <w:b/>
      <w:bCs/>
      <w:color w:val="000000"/>
      <w:sz w:val="24"/>
      <w:szCs w:val="24"/>
      <w:u w:val="none"/>
    </w:rPr>
  </w:style>
  <w:style w:type="character" w:customStyle="1" w:styleId="28">
    <w:name w:val="font41"/>
    <w:basedOn w:val="14"/>
    <w:qFormat/>
    <w:uiPriority w:val="0"/>
    <w:rPr>
      <w:rFonts w:hint="eastAsia" w:ascii="仿宋" w:hAnsi="仿宋" w:eastAsia="仿宋" w:cs="仿宋"/>
      <w:color w:val="000000"/>
      <w:sz w:val="24"/>
      <w:szCs w:val="24"/>
      <w:u w:val="none"/>
    </w:rPr>
  </w:style>
  <w:style w:type="paragraph" w:customStyle="1" w:styleId="29">
    <w:name w:val="纯文本1"/>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1551</Words>
  <Characters>1619</Characters>
  <Lines>41</Lines>
  <Paragraphs>11</Paragraphs>
  <TotalTime>1</TotalTime>
  <ScaleCrop>false</ScaleCrop>
  <LinksUpToDate>false</LinksUpToDate>
  <CharactersWithSpaces>1619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2024-04-07T08:23:00Z</dcterms:created>
  <dc:creator>Administrator</dc:creator>
  <cp:lastModifiedBy>如意</cp:lastModifiedBy>
  <dcterms:modified xsi:type="dcterms:W3CDTF">2026-04-16T01:41:11Z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F01086F79AFC481482AD150E7C8795A5_13</vt:lpwstr>
  </property>
  <property fmtid="{D5CDD505-2E9C-101B-9397-08002B2CF9AE}" pid="4" name="KSOTemplateDocerSaveRecord">
    <vt:lpwstr>eyJoZGlkIjoiODg4YmUyZjVkMTRhYjZhNTA5MTQ0YjE5NThhODEwNjUiLCJ1c2VySWQiOiIxMDE4NjkxMTQ2In0=</vt:lpwstr>
  </property>
</Properties>
</file>