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1D479">
      <w:pPr>
        <w:pStyle w:val="12"/>
        <w:pageBreakBefore w:val="0"/>
        <w:widowControl w:val="0"/>
        <w:tabs>
          <w:tab w:val="center" w:pos="4535"/>
          <w:tab w:val="right" w:pos="9071"/>
        </w:tabs>
        <w:kinsoku/>
        <w:wordWrap/>
        <w:overflowPunct/>
        <w:topLinePunct w:val="0"/>
        <w:autoSpaceDE/>
        <w:bidi w:val="0"/>
        <w:adjustRightInd/>
        <w:spacing w:before="156" w:beforeLines="50" w:after="156" w:afterLines="50" w:line="360" w:lineRule="atLeast"/>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深圳工业软件园</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礼宾服务合同</w:t>
      </w:r>
    </w:p>
    <w:tbl>
      <w:tblPr>
        <w:tblStyle w:val="8"/>
        <w:tblW w:w="8253" w:type="dxa"/>
        <w:jc w:val="center"/>
        <w:tblLayout w:type="fixed"/>
        <w:tblCellMar>
          <w:top w:w="0" w:type="dxa"/>
          <w:left w:w="108" w:type="dxa"/>
          <w:bottom w:w="0" w:type="dxa"/>
          <w:right w:w="108" w:type="dxa"/>
        </w:tblCellMar>
      </w:tblPr>
      <w:tblGrid>
        <w:gridCol w:w="1560"/>
        <w:gridCol w:w="6693"/>
      </w:tblGrid>
      <w:tr w14:paraId="70FC3294">
        <w:tblPrEx>
          <w:tblCellMar>
            <w:top w:w="0" w:type="dxa"/>
            <w:left w:w="108" w:type="dxa"/>
            <w:bottom w:w="0" w:type="dxa"/>
            <w:right w:w="108" w:type="dxa"/>
          </w:tblCellMar>
        </w:tblPrEx>
        <w:trPr>
          <w:trHeight w:val="527" w:hRule="atLeast"/>
          <w:jc w:val="center"/>
        </w:trPr>
        <w:tc>
          <w:tcPr>
            <w:tcW w:w="1560" w:type="dxa"/>
            <w:tcBorders>
              <w:top w:val="dotted" w:color="000000" w:sz="4" w:space="0"/>
              <w:left w:val="dotted" w:color="000000" w:sz="4" w:space="0"/>
              <w:bottom w:val="dotted" w:color="000000" w:sz="4" w:space="0"/>
              <w:right w:val="dotted" w:color="000000" w:sz="4" w:space="0"/>
            </w:tcBorders>
            <w:vAlign w:val="center"/>
          </w:tcPr>
          <w:p w14:paraId="57FA05ED">
            <w:pPr>
              <w:pageBreakBefore w:val="0"/>
              <w:widowControl/>
              <w:kinsoku/>
              <w:wordWrap/>
              <w:overflowPunct/>
              <w:topLinePunct w:val="0"/>
              <w:autoSpaceDE/>
              <w:bidi w:val="0"/>
              <w:adjustRightInd/>
              <w:spacing w:line="360" w:lineRule="atLeast"/>
              <w:ind w:left="36"/>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甲方：</w:t>
            </w:r>
          </w:p>
        </w:tc>
        <w:tc>
          <w:tcPr>
            <w:tcW w:w="6693" w:type="dxa"/>
            <w:tcBorders>
              <w:top w:val="dotted" w:color="000000" w:sz="4" w:space="0"/>
              <w:left w:val="nil"/>
              <w:bottom w:val="dotted" w:color="000000" w:sz="4" w:space="0"/>
              <w:right w:val="dotted" w:color="000000" w:sz="4" w:space="0"/>
            </w:tcBorders>
            <w:vAlign w:val="center"/>
          </w:tcPr>
          <w:p w14:paraId="6DF59CC5">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深圳市湾东物业服务有限公司</w:t>
            </w:r>
          </w:p>
        </w:tc>
      </w:tr>
      <w:tr w14:paraId="5123110A">
        <w:tblPrEx>
          <w:tblCellMar>
            <w:top w:w="0" w:type="dxa"/>
            <w:left w:w="108" w:type="dxa"/>
            <w:bottom w:w="0" w:type="dxa"/>
            <w:right w:w="108" w:type="dxa"/>
          </w:tblCellMar>
        </w:tblPrEx>
        <w:trPr>
          <w:trHeight w:val="556" w:hRule="atLeast"/>
          <w:jc w:val="center"/>
        </w:trPr>
        <w:tc>
          <w:tcPr>
            <w:tcW w:w="1560" w:type="dxa"/>
            <w:tcBorders>
              <w:top w:val="dotted" w:color="000000" w:sz="4" w:space="0"/>
              <w:left w:val="dotted" w:color="000000" w:sz="4" w:space="0"/>
              <w:bottom w:val="dotted" w:color="000000" w:sz="4" w:space="0"/>
              <w:right w:val="dotted" w:color="000000" w:sz="4" w:space="0"/>
            </w:tcBorders>
            <w:vAlign w:val="center"/>
          </w:tcPr>
          <w:p w14:paraId="650D6EDE">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注册地址：</w:t>
            </w:r>
          </w:p>
        </w:tc>
        <w:tc>
          <w:tcPr>
            <w:tcW w:w="6693" w:type="dxa"/>
            <w:tcBorders>
              <w:top w:val="dotted" w:color="000000" w:sz="4" w:space="0"/>
              <w:left w:val="nil"/>
              <w:bottom w:val="dotted" w:color="000000" w:sz="4" w:space="0"/>
              <w:right w:val="dotted" w:color="000000" w:sz="4" w:space="0"/>
            </w:tcBorders>
            <w:vAlign w:val="center"/>
          </w:tcPr>
          <w:p w14:paraId="41E36AB8">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深圳市龙岗区龙城街道黄阁坑社区龙飞大道669号天吴华庭D4、D5、D6、C6栋服务大厅二楼</w:t>
            </w:r>
          </w:p>
        </w:tc>
      </w:tr>
      <w:tr w14:paraId="470E152F">
        <w:tblPrEx>
          <w:tblCellMar>
            <w:top w:w="0" w:type="dxa"/>
            <w:left w:w="108" w:type="dxa"/>
            <w:bottom w:w="0" w:type="dxa"/>
            <w:right w:w="108" w:type="dxa"/>
          </w:tblCellMar>
        </w:tblPrEx>
        <w:trPr>
          <w:trHeight w:val="446" w:hRule="atLeast"/>
          <w:jc w:val="center"/>
        </w:trPr>
        <w:tc>
          <w:tcPr>
            <w:tcW w:w="1560" w:type="dxa"/>
            <w:tcBorders>
              <w:top w:val="dotted" w:color="000000" w:sz="4" w:space="0"/>
              <w:left w:val="dotted" w:color="000000" w:sz="4" w:space="0"/>
              <w:bottom w:val="dotted" w:color="000000" w:sz="4" w:space="0"/>
              <w:right w:val="dotted" w:color="000000" w:sz="4" w:space="0"/>
            </w:tcBorders>
            <w:vAlign w:val="center"/>
          </w:tcPr>
          <w:p w14:paraId="57877E5C">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法</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人：</w:t>
            </w:r>
          </w:p>
        </w:tc>
        <w:tc>
          <w:tcPr>
            <w:tcW w:w="6693" w:type="dxa"/>
            <w:tcBorders>
              <w:top w:val="dotted" w:color="000000" w:sz="4" w:space="0"/>
              <w:left w:val="nil"/>
              <w:bottom w:val="dotted" w:color="000000" w:sz="4" w:space="0"/>
              <w:right w:val="dotted" w:color="000000" w:sz="4" w:space="0"/>
            </w:tcBorders>
            <w:vAlign w:val="center"/>
          </w:tcPr>
          <w:p w14:paraId="352523C6">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胡俊翔</w:t>
            </w:r>
          </w:p>
        </w:tc>
      </w:tr>
      <w:tr w14:paraId="43BEA8A2">
        <w:tblPrEx>
          <w:tblCellMar>
            <w:top w:w="0" w:type="dxa"/>
            <w:left w:w="108" w:type="dxa"/>
            <w:bottom w:w="0" w:type="dxa"/>
            <w:right w:w="108" w:type="dxa"/>
          </w:tblCellMar>
        </w:tblPrEx>
        <w:trPr>
          <w:trHeight w:val="446" w:hRule="atLeast"/>
          <w:jc w:val="center"/>
        </w:trPr>
        <w:tc>
          <w:tcPr>
            <w:tcW w:w="1560" w:type="dxa"/>
            <w:tcBorders>
              <w:top w:val="dotted" w:color="000000" w:sz="4" w:space="0"/>
              <w:left w:val="dotted" w:color="000000" w:sz="4" w:space="0"/>
              <w:bottom w:val="dotted" w:color="000000" w:sz="4" w:space="0"/>
              <w:right w:val="dotted" w:color="000000" w:sz="4" w:space="0"/>
            </w:tcBorders>
            <w:vAlign w:val="center"/>
          </w:tcPr>
          <w:p w14:paraId="16DD5308">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w:t>
            </w:r>
          </w:p>
        </w:tc>
        <w:tc>
          <w:tcPr>
            <w:tcW w:w="6693" w:type="dxa"/>
            <w:tcBorders>
              <w:top w:val="dotted" w:color="000000" w:sz="4" w:space="0"/>
              <w:left w:val="nil"/>
              <w:bottom w:val="dotted" w:color="000000" w:sz="4" w:space="0"/>
              <w:right w:val="dotted" w:color="000000" w:sz="4" w:space="0"/>
            </w:tcBorders>
            <w:vAlign w:val="center"/>
          </w:tcPr>
          <w:p w14:paraId="185A1B79">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r w14:paraId="42AC8576">
        <w:tblPrEx>
          <w:tblCellMar>
            <w:top w:w="0" w:type="dxa"/>
            <w:left w:w="108" w:type="dxa"/>
            <w:bottom w:w="0" w:type="dxa"/>
            <w:right w:w="108" w:type="dxa"/>
          </w:tblCellMar>
        </w:tblPrEx>
        <w:trPr>
          <w:trHeight w:val="432" w:hRule="atLeast"/>
          <w:jc w:val="center"/>
        </w:trPr>
        <w:tc>
          <w:tcPr>
            <w:tcW w:w="1560" w:type="dxa"/>
            <w:tcBorders>
              <w:top w:val="dotted" w:color="000000" w:sz="4" w:space="0"/>
              <w:left w:val="dotted" w:color="000000" w:sz="4" w:space="0"/>
              <w:bottom w:val="dotted" w:color="000000" w:sz="4" w:space="0"/>
              <w:right w:val="dotted" w:color="000000" w:sz="4" w:space="0"/>
            </w:tcBorders>
            <w:vAlign w:val="center"/>
          </w:tcPr>
          <w:p w14:paraId="7E6E1DD9">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注册地址：</w:t>
            </w:r>
          </w:p>
        </w:tc>
        <w:tc>
          <w:tcPr>
            <w:tcW w:w="6693" w:type="dxa"/>
            <w:tcBorders>
              <w:top w:val="dotted" w:color="000000" w:sz="4" w:space="0"/>
              <w:left w:val="nil"/>
              <w:bottom w:val="dotted" w:color="000000" w:sz="4" w:space="0"/>
              <w:right w:val="dotted" w:color="000000" w:sz="4" w:space="0"/>
            </w:tcBorders>
            <w:vAlign w:val="center"/>
          </w:tcPr>
          <w:p w14:paraId="7895528C">
            <w:pPr>
              <w:pageBreakBefore w:val="0"/>
              <w:kinsoku/>
              <w:wordWrap/>
              <w:overflowPunct/>
              <w:topLinePunct w:val="0"/>
              <w:autoSpaceDE/>
              <w:autoSpaceDN w:val="0"/>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r w14:paraId="640D9540">
        <w:tblPrEx>
          <w:tblCellMar>
            <w:top w:w="0" w:type="dxa"/>
            <w:left w:w="108" w:type="dxa"/>
            <w:bottom w:w="0" w:type="dxa"/>
            <w:right w:w="108" w:type="dxa"/>
          </w:tblCellMar>
        </w:tblPrEx>
        <w:trPr>
          <w:trHeight w:val="419" w:hRule="atLeast"/>
          <w:jc w:val="center"/>
        </w:trPr>
        <w:tc>
          <w:tcPr>
            <w:tcW w:w="1560" w:type="dxa"/>
            <w:tcBorders>
              <w:top w:val="dotted" w:color="000000" w:sz="4" w:space="0"/>
              <w:left w:val="dotted" w:color="000000" w:sz="4" w:space="0"/>
              <w:bottom w:val="dotted" w:color="000000" w:sz="4" w:space="0"/>
              <w:right w:val="dotted" w:color="000000" w:sz="4" w:space="0"/>
            </w:tcBorders>
            <w:vAlign w:val="center"/>
          </w:tcPr>
          <w:p w14:paraId="2F4BEF42">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法</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人</w:t>
            </w:r>
          </w:p>
        </w:tc>
        <w:tc>
          <w:tcPr>
            <w:tcW w:w="6693" w:type="dxa"/>
            <w:tcBorders>
              <w:top w:val="dotted" w:color="000000" w:sz="4" w:space="0"/>
              <w:left w:val="nil"/>
              <w:bottom w:val="dotted" w:color="000000" w:sz="4" w:space="0"/>
              <w:right w:val="dotted" w:color="000000" w:sz="4" w:space="0"/>
            </w:tcBorders>
            <w:vAlign w:val="center"/>
          </w:tcPr>
          <w:p w14:paraId="043025F1">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bl>
    <w:p w14:paraId="164E1ED5">
      <w:pPr>
        <w:pStyle w:val="5"/>
        <w:pageBreakBefore w:val="0"/>
        <w:kinsoku/>
        <w:wordWrap/>
        <w:overflowPunct/>
        <w:topLinePunct w:val="0"/>
        <w:autoSpaceDE/>
        <w:bidi w:val="0"/>
        <w:adjustRightInd/>
        <w:spacing w:line="360" w:lineRule="atLeast"/>
        <w:ind w:firstLine="482" w:firstLineChars="200"/>
        <w:jc w:val="left"/>
        <w:rPr>
          <w:rFonts w:hint="eastAsia" w:asciiTheme="minorEastAsia" w:hAnsiTheme="minorEastAsia" w:eastAsiaTheme="minorEastAsia" w:cstheme="minorEastAsia"/>
          <w:b/>
          <w:bCs/>
          <w:color w:val="000000" w:themeColor="text1"/>
          <w:sz w:val="24"/>
          <w:szCs w:val="24"/>
          <w:highlight w:val="none"/>
          <w:shd w:val="pct10" w:color="auto" w:fill="FFFFFF"/>
          <w14:textFill>
            <w14:solidFill>
              <w14:schemeClr w14:val="tx1"/>
            </w14:solidFill>
          </w14:textFill>
        </w:rPr>
      </w:pPr>
    </w:p>
    <w:p w14:paraId="56F769AB">
      <w:pPr>
        <w:pageBreakBefore w:val="0"/>
        <w:kinsoku/>
        <w:wordWrap/>
        <w:overflowPunct/>
        <w:topLinePunct w:val="0"/>
        <w:autoSpaceDE/>
        <w:bidi w:val="0"/>
        <w:adjustRightInd/>
        <w:spacing w:line="360" w:lineRule="atLeast"/>
        <w:ind w:firstLine="482" w:firstLineChars="200"/>
        <w:jc w:val="left"/>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 xml:space="preserve">第一条 </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业务关系定位</w:t>
      </w:r>
    </w:p>
    <w:p w14:paraId="6919EE9B">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1.1本合同确定合作双方的关系为以项目为主导，礼宾作为专业支撑，主要负责楼宇内大堂、会务、接待服务界面的工作开展。</w:t>
      </w:r>
    </w:p>
    <w:p w14:paraId="4D4D7FF5">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1.2乙方及其经过甲方认可的服务商应该承担本合同规定的义务和责任。</w:t>
      </w:r>
    </w:p>
    <w:p w14:paraId="18BDD6D1">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1.3 甲方同意接受乙方的服务并履行本合同约定的相关义务。</w:t>
      </w:r>
    </w:p>
    <w:p w14:paraId="3190667C">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1.4甲方有权行使本合同规定的权利。</w:t>
      </w:r>
    </w:p>
    <w:p w14:paraId="17A0657A">
      <w:pPr>
        <w:pageBreakBefore w:val="0"/>
        <w:kinsoku/>
        <w:wordWrap/>
        <w:overflowPunct/>
        <w:topLinePunct w:val="0"/>
        <w:autoSpaceDE/>
        <w:bidi w:val="0"/>
        <w:adjustRightInd/>
        <w:spacing w:line="360" w:lineRule="atLeast"/>
        <w:ind w:leftChars="0" w:firstLine="480" w:firstLineChars="200"/>
        <w:jc w:val="left"/>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1.5本合同中每个提到的“乙方”应被视为乙方及乙方分支机构和其服务商，如果这些分支机构和服务商有为甲方任何工作场所提供本合同下的服务。</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乙方分支机构和其服务商提供的服务不符合本合同约定的，乙方应承担违约责任。</w:t>
      </w:r>
    </w:p>
    <w:p w14:paraId="133CD3C4">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0" w:name="_Toc66592703"/>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1.6合同组成文件</w:t>
      </w:r>
      <w:bookmarkEnd w:id="0"/>
    </w:p>
    <w:p w14:paraId="1715E1D8">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下列文件作为本合同的组成部分可以互相解释，如果存在歧义或矛盾，则合同文件的优先解释按照以下的先后顺序进行：</w:t>
      </w:r>
    </w:p>
    <w:p w14:paraId="0756D7A3">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1.6.1本合同的补充协议（如有）</w:t>
      </w:r>
    </w:p>
    <w:p w14:paraId="510AC3F6">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1.6.2经双方正式签署的本合同</w:t>
      </w:r>
    </w:p>
    <w:p w14:paraId="08C933DC">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1.6.3项目详细服务内容</w:t>
      </w:r>
    </w:p>
    <w:p w14:paraId="48D65F2E">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1.6.4本合同的附件（包括但不限于就本合同所产生的询价文件、报价、邮件、备忘录等相关内容）</w:t>
      </w:r>
    </w:p>
    <w:p w14:paraId="1733A8A5">
      <w:pPr>
        <w:pageBreakBefore w:val="0"/>
        <w:kinsoku/>
        <w:wordWrap/>
        <w:overflowPunct/>
        <w:topLinePunct w:val="0"/>
        <w:autoSpaceDE/>
        <w:bidi w:val="0"/>
        <w:adjustRightInd/>
        <w:spacing w:line="360" w:lineRule="atLeast"/>
        <w:ind w:firstLine="482" w:firstLineChars="200"/>
        <w:jc w:val="left"/>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 xml:space="preserve">第二条 </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服务内容</w:t>
      </w:r>
    </w:p>
    <w:p w14:paraId="6740C72E">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2.1 甲方委托乙方承担第一条所提到的服务，并且双方约定这些服务场所将随业务发展可以进行增减。</w:t>
      </w:r>
    </w:p>
    <w:p w14:paraId="7AFF4AC8">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2.2 双方同意根据合同所涉及的甲方工作场所投入使用的时间、地理距离、用途、面积大小等多个纬度综合考虑，分成若干个项目部由乙方不同的项目管理团队进行管理。对每个项目部的服务内容，双方将制定详细的服务需求内容描述。</w:t>
      </w:r>
    </w:p>
    <w:p w14:paraId="33ADCBD7">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2.3 服务发展与提高的要求：</w:t>
      </w:r>
    </w:p>
    <w:p w14:paraId="4DCD3C47">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甲方期望乙方能够不断地发展和提高服务水平，以满足客户对物业服务不断提高的要求；乙方了解目前在用的服务流程和技术将随着时间和业务需要的变化需要不断地提高，最低限度要满足甲方的业务稳定性的需求以及保持甲方业务竞争性的需求。乙方有义务推荐和引入新的管理方法与技术，以保证这种持续优化的能力。当乙方有新的技术、流程、工具开发出来的时候，将优先向甲方进行推荐，考虑在甲方工作场所使用的可能性。这些所谓的新流程、工具、技术指可能在提高工作效率、降低成本、提高客户体验，增强服务运行的稳定可靠性等方面产生作用。</w:t>
      </w:r>
    </w:p>
    <w:p w14:paraId="26E76A56">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2.4策略性的服务规划：</w:t>
      </w:r>
    </w:p>
    <w:p w14:paraId="2308E532">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伴随着乙方接受甲方的政策、标准和业务计划，乙方保证将在提供礼宾服务时在这些方面与甲方保持一致以满足甲方的业务需求。</w:t>
      </w:r>
    </w:p>
    <w:p w14:paraId="77C2E40C">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乙方应根据现场客户的需求不断优化服务响应流程、加强乙方与项目经理的沟通协调能力、提高乙方团队直接面对甲方现场客户沟通和解决问题的能力，以及提高乙方预见性地规划服务工作的能力等等。</w:t>
      </w:r>
    </w:p>
    <w:p w14:paraId="67F397EF">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2.5变更管理：</w:t>
      </w:r>
    </w:p>
    <w:p w14:paraId="6482D85A">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乙方变更：1）指由乙方授权人员向甲方合同经理书面发起的旨在降低成本或者是改善客户体验的可能导致合同范围、运营流程等发生变化的情形；2）需要取得甲方的书面确认；3）变更的影响将被通过适当的实验验证，是能够对服务体验和成本产生正面影响的。</w:t>
      </w:r>
    </w:p>
    <w:p w14:paraId="429AAD68">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2.6 KPI标准：</w:t>
      </w:r>
    </w:p>
    <w:p w14:paraId="71C55AEC">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双方约定，甲方将就服务的质量、响应与完成速度、工作量、可靠性、客户满意度、及时性、一致性、效率和服务的有效性等方面对供应商进行定期考核，以保证服务能够被良好</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地</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执行并不断提高。乙方将以此为指引，不断满足或超过业绩指标。</w:t>
      </w:r>
    </w:p>
    <w:p w14:paraId="56D5069B">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对KPI考核结果的响应：乙方将尽快对KPI考核的结果进行响应，分析不足的根本原因，制定行动计划，进行改善，并在30个工作日内向甲方反馈改善结果。对需要超过30天才能</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完善</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的改善项目，乙方将及时向甲方汇报改善行动进展。</w:t>
      </w:r>
    </w:p>
    <w:p w14:paraId="4224BEE8">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对于因为甲方或者其他因素（如供应商）造成的异常，如果乙方已经有跟进落实（需要提供有效证据）；如因其他因素或者是甲方原因造成的改进项，作为承担礼宾现场管理的供应商，是有义务跟进落实并在推不动的情况下，请求甲方监管提供支持；如果乙方尽到了跟进落实的义务，则在整改落地之前不做处罚。</w:t>
      </w:r>
    </w:p>
    <w:p w14:paraId="3B024670">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甲方可根据服务内容与乙方沟通对KPI考核项进行调整，变更或删除绩效指标和相应的权重，以推动乙方各项服务水平均衡发展和服务水平整体不断提升。</w:t>
      </w:r>
    </w:p>
    <w:p w14:paraId="7EED290F">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 xml:space="preserve">客户满意度调查： </w:t>
      </w:r>
    </w:p>
    <w:p w14:paraId="2FFCB7C1">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如果满意度调查的整体结果或者是某项关键服务低于要求的水平，乙方将：1）分析和对管理人员或用户不满的根本原因的报告；2）制定一项行动计划，以解决和改善的满意程度；3）提交改善计划供甲方进行审查，评论和核准；及4）按照批准的采取行动计划，并根据需要，以提高满意度。</w:t>
      </w:r>
    </w:p>
    <w:p w14:paraId="6557B904">
      <w:pPr>
        <w:pageBreakBefore w:val="0"/>
        <w:kinsoku/>
        <w:wordWrap/>
        <w:overflowPunct/>
        <w:topLinePunct w:val="0"/>
        <w:autoSpaceDE/>
        <w:bidi w:val="0"/>
        <w:adjustRightInd/>
        <w:spacing w:line="360" w:lineRule="atLeast"/>
        <w:ind w:firstLine="482" w:firstLineChars="200"/>
        <w:jc w:val="left"/>
        <w:rPr>
          <w:rFonts w:hint="eastAsia" w:asciiTheme="minorEastAsia" w:hAnsiTheme="minorEastAsia" w:cstheme="minorEastAsia"/>
          <w:b/>
          <w:bCs w:val="0"/>
          <w:color w:val="000000" w:themeColor="text1"/>
          <w:sz w:val="24"/>
          <w:szCs w:val="24"/>
          <w:highlight w:val="none"/>
          <w:lang w:val="en-US" w:eastAsia="zh-CN"/>
          <w14:textFill>
            <w14:solidFill>
              <w14:schemeClr w14:val="tx1"/>
            </w14:solidFill>
          </w14:textFill>
        </w:rPr>
      </w:pPr>
    </w:p>
    <w:p w14:paraId="5AADF8E9">
      <w:pPr>
        <w:pageBreakBefore w:val="0"/>
        <w:kinsoku/>
        <w:wordWrap/>
        <w:overflowPunct/>
        <w:topLinePunct w:val="0"/>
        <w:autoSpaceDE/>
        <w:bidi w:val="0"/>
        <w:adjustRightInd/>
        <w:spacing w:line="360" w:lineRule="atLeast"/>
        <w:ind w:firstLine="482" w:firstLineChars="200"/>
        <w:jc w:val="left"/>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cstheme="minorEastAsia"/>
          <w:b/>
          <w:bCs w:val="0"/>
          <w:color w:val="000000" w:themeColor="text1"/>
          <w:sz w:val="24"/>
          <w:szCs w:val="24"/>
          <w:highlight w:val="none"/>
          <w:lang w:val="en-US" w:eastAsia="zh-CN"/>
          <w14:textFill>
            <w14:solidFill>
              <w14:schemeClr w14:val="tx1"/>
            </w14:solidFill>
          </w14:textFill>
        </w:rPr>
        <w:t xml:space="preserve">第三条 </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乙方人员</w:t>
      </w:r>
    </w:p>
    <w:p w14:paraId="099DF0F0">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3.1 人员配备：</w:t>
      </w:r>
    </w:p>
    <w:p w14:paraId="1F5820F9">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乙方将根据合同需要配备足够数量的人员提供服务。乙方应保证其所选派的人员拥有足够的能力、教育、岗位培训等。</w:t>
      </w:r>
    </w:p>
    <w:p w14:paraId="24A19245">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3.2 乙方与乙方人员的劳动关系：</w:t>
      </w:r>
    </w:p>
    <w:p w14:paraId="7355152F">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b w:val="0"/>
          <w:bCs/>
          <w:color w:val="000000" w:themeColor="text1"/>
          <w:kern w:val="44"/>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所有乙方人员将和乙方签署正式的劳动合同，与乙方建立劳动关系。乙方将全权负责为其员工按时足额发放薪水和购买政府规定的社保及公积金等，并且这些薪水发放不应该受甲乙双方的合同中约定的付款、履约考核结果应用的影响，且乙方仍应按规定行使税金代扣代缴等义务。</w:t>
      </w:r>
      <w:r>
        <w:rPr>
          <w:rFonts w:hint="eastAsia" w:asciiTheme="minorEastAsia" w:hAnsiTheme="minorEastAsia" w:eastAsiaTheme="minorEastAsia" w:cstheme="minorEastAsia"/>
          <w:b w:val="0"/>
          <w:bCs/>
          <w:color w:val="000000" w:themeColor="text1"/>
          <w:kern w:val="44"/>
          <w:sz w:val="24"/>
          <w:szCs w:val="24"/>
          <w:highlight w:val="none"/>
          <w:lang w:val="zh-CN"/>
          <w14:textFill>
            <w14:solidFill>
              <w14:schemeClr w14:val="tx1"/>
            </w14:solidFill>
          </w14:textFill>
        </w:rPr>
        <w:t>如乙方存在任何违反劳动法的行为，或引发劳动纠纷的，由乙方负责处理和承担所有责任；</w:t>
      </w:r>
    </w:p>
    <w:p w14:paraId="4DFA99F4">
      <w:pPr>
        <w:pageBreakBefore w:val="0"/>
        <w:kinsoku/>
        <w:wordWrap/>
        <w:overflowPunct/>
        <w:topLinePunct w:val="0"/>
        <w:autoSpaceDE/>
        <w:bidi w:val="0"/>
        <w:adjustRightInd/>
        <w:spacing w:line="360" w:lineRule="atLeast"/>
        <w:ind w:leftChars="0"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3.3乙方应独立完成服务人员的招聘、面试、筛选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雇用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的流程。</w:t>
      </w:r>
    </w:p>
    <w:p w14:paraId="31D397E7">
      <w:pPr>
        <w:pageBreakBefore w:val="0"/>
        <w:kinsoku/>
        <w:wordWrap/>
        <w:overflowPunct/>
        <w:topLinePunct w:val="0"/>
        <w:autoSpaceDE/>
        <w:bidi w:val="0"/>
        <w:adjustRightInd/>
        <w:spacing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3.4人员要求：</w:t>
      </w:r>
    </w:p>
    <w:p w14:paraId="48F72F23">
      <w:pPr>
        <w:pageBreakBefore w:val="0"/>
        <w:widowControl/>
        <w:kinsoku/>
        <w:wordWrap/>
        <w:overflowPunct/>
        <w:topLinePunct w:val="0"/>
        <w:autoSpaceDE/>
        <w:bidi w:val="0"/>
        <w:adjustRightInd/>
        <w:snapToGrid w:val="0"/>
        <w:spacing w:line="360" w:lineRule="atLeast"/>
        <w:ind w:left="0" w:firstLine="480" w:firstLineChars="200"/>
        <w:jc w:val="left"/>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3.4.1管理团队岗位职责及人员素质要求：</w:t>
      </w:r>
    </w:p>
    <w:tbl>
      <w:tblPr>
        <w:tblStyle w:val="8"/>
        <w:tblW w:w="10457" w:type="dxa"/>
        <w:jc w:val="center"/>
        <w:tblLayout w:type="fixed"/>
        <w:tblCellMar>
          <w:top w:w="0" w:type="dxa"/>
          <w:left w:w="108" w:type="dxa"/>
          <w:bottom w:w="0" w:type="dxa"/>
          <w:right w:w="108" w:type="dxa"/>
        </w:tblCellMar>
      </w:tblPr>
      <w:tblGrid>
        <w:gridCol w:w="719"/>
        <w:gridCol w:w="700"/>
        <w:gridCol w:w="686"/>
        <w:gridCol w:w="4998"/>
        <w:gridCol w:w="3354"/>
      </w:tblGrid>
      <w:tr w14:paraId="5CFFCAD5">
        <w:tblPrEx>
          <w:tblCellMar>
            <w:top w:w="0" w:type="dxa"/>
            <w:left w:w="108" w:type="dxa"/>
            <w:bottom w:w="0" w:type="dxa"/>
            <w:right w:w="108" w:type="dxa"/>
          </w:tblCellMar>
        </w:tblPrEx>
        <w:trPr>
          <w:trHeight w:val="731"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4A39B873">
            <w:pPr>
              <w:pageBreakBefore w:val="0"/>
              <w:widowControl/>
              <w:kinsoku/>
              <w:wordWrap/>
              <w:overflowPunct/>
              <w:topLinePunct w:val="0"/>
              <w:autoSpaceDE/>
              <w:autoSpaceDN w:val="0"/>
              <w:bidi w:val="0"/>
              <w:adjustRightInd/>
              <w:snapToGrid w:val="0"/>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序号</w:t>
            </w:r>
          </w:p>
        </w:tc>
        <w:tc>
          <w:tcPr>
            <w:tcW w:w="700" w:type="dxa"/>
            <w:tcBorders>
              <w:top w:val="single" w:color="000000" w:sz="4" w:space="0"/>
              <w:left w:val="nil"/>
              <w:bottom w:val="single" w:color="000000" w:sz="4" w:space="0"/>
              <w:right w:val="single" w:color="000000" w:sz="4" w:space="0"/>
            </w:tcBorders>
            <w:vAlign w:val="center"/>
          </w:tcPr>
          <w:p w14:paraId="7BBE4024">
            <w:pPr>
              <w:pageBreakBefore w:val="0"/>
              <w:widowControl/>
              <w:kinsoku/>
              <w:wordWrap/>
              <w:overflowPunct/>
              <w:topLinePunct w:val="0"/>
              <w:autoSpaceDE/>
              <w:autoSpaceDN w:val="0"/>
              <w:bidi w:val="0"/>
              <w:adjustRightInd/>
              <w:snapToGrid w:val="0"/>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岗位类别</w:t>
            </w:r>
          </w:p>
        </w:tc>
        <w:tc>
          <w:tcPr>
            <w:tcW w:w="686" w:type="dxa"/>
            <w:tcBorders>
              <w:top w:val="single" w:color="000000" w:sz="4" w:space="0"/>
              <w:left w:val="nil"/>
              <w:bottom w:val="single" w:color="000000" w:sz="4" w:space="0"/>
              <w:right w:val="single" w:color="000000" w:sz="4" w:space="0"/>
            </w:tcBorders>
            <w:vAlign w:val="center"/>
          </w:tcPr>
          <w:p w14:paraId="1194217B">
            <w:pPr>
              <w:pageBreakBefore w:val="0"/>
              <w:widowControl/>
              <w:kinsoku/>
              <w:wordWrap/>
              <w:overflowPunct/>
              <w:topLinePunct w:val="0"/>
              <w:autoSpaceDE/>
              <w:autoSpaceDN w:val="0"/>
              <w:bidi w:val="0"/>
              <w:adjustRightInd/>
              <w:snapToGrid w:val="0"/>
              <w:spacing w:line="360" w:lineRule="atLeast"/>
              <w:jc w:val="cente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人数</w:t>
            </w:r>
          </w:p>
        </w:tc>
        <w:tc>
          <w:tcPr>
            <w:tcW w:w="4998" w:type="dxa"/>
            <w:tcBorders>
              <w:top w:val="single" w:color="000000" w:sz="4" w:space="0"/>
              <w:left w:val="nil"/>
              <w:bottom w:val="single" w:color="000000" w:sz="4" w:space="0"/>
              <w:right w:val="single" w:color="000000" w:sz="4" w:space="0"/>
            </w:tcBorders>
            <w:vAlign w:val="center"/>
          </w:tcPr>
          <w:p w14:paraId="55718692">
            <w:pPr>
              <w:pageBreakBefore w:val="0"/>
              <w:widowControl/>
              <w:kinsoku/>
              <w:wordWrap/>
              <w:overflowPunct/>
              <w:topLinePunct w:val="0"/>
              <w:autoSpaceDE/>
              <w:autoSpaceDN w:val="0"/>
              <w:bidi w:val="0"/>
              <w:adjustRightInd/>
              <w:snapToGrid w:val="0"/>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岗位</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职责</w:t>
            </w:r>
          </w:p>
        </w:tc>
        <w:tc>
          <w:tcPr>
            <w:tcW w:w="3354" w:type="dxa"/>
            <w:tcBorders>
              <w:top w:val="single" w:color="000000" w:sz="4" w:space="0"/>
              <w:left w:val="nil"/>
              <w:bottom w:val="single" w:color="auto" w:sz="4" w:space="0"/>
              <w:right w:val="single" w:color="000000" w:sz="4" w:space="0"/>
            </w:tcBorders>
            <w:vAlign w:val="center"/>
          </w:tcPr>
          <w:p w14:paraId="1E5653C9">
            <w:pPr>
              <w:pageBreakBefore w:val="0"/>
              <w:widowControl/>
              <w:kinsoku/>
              <w:wordWrap/>
              <w:overflowPunct/>
              <w:topLinePunct w:val="0"/>
              <w:autoSpaceDE/>
              <w:autoSpaceDN w:val="0"/>
              <w:bidi w:val="0"/>
              <w:adjustRightInd/>
              <w:snapToGrid w:val="0"/>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人员素质要求</w:t>
            </w:r>
          </w:p>
        </w:tc>
      </w:tr>
      <w:tr w14:paraId="06DC51B9">
        <w:tblPrEx>
          <w:tblCellMar>
            <w:top w:w="0" w:type="dxa"/>
            <w:left w:w="108" w:type="dxa"/>
            <w:bottom w:w="0" w:type="dxa"/>
            <w:right w:w="108" w:type="dxa"/>
          </w:tblCellMar>
        </w:tblPrEx>
        <w:trPr>
          <w:trHeight w:val="8305"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00D15C5">
            <w:pPr>
              <w:pageBreakBefore w:val="0"/>
              <w:kinsoku/>
              <w:wordWrap/>
              <w:overflowPunct/>
              <w:topLinePunct w:val="0"/>
              <w:autoSpaceDE/>
              <w:autoSpaceDN w:val="0"/>
              <w:bidi w:val="0"/>
              <w:adjustRightInd/>
              <w:spacing w:line="360" w:lineRule="atLeast"/>
              <w:jc w:val="center"/>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700" w:type="dxa"/>
            <w:tcBorders>
              <w:top w:val="single" w:color="000000" w:sz="4" w:space="0"/>
              <w:left w:val="nil"/>
              <w:right w:val="single" w:color="000000" w:sz="4" w:space="0"/>
            </w:tcBorders>
            <w:shd w:val="clear" w:color="auto" w:fill="auto"/>
            <w:vAlign w:val="center"/>
          </w:tcPr>
          <w:p w14:paraId="340FCE2A">
            <w:pPr>
              <w:pageBreakBefore w:val="0"/>
              <w:kinsoku/>
              <w:wordWrap/>
              <w:overflowPunct/>
              <w:topLinePunct w:val="0"/>
              <w:autoSpaceDE/>
              <w:autoSpaceDN w:val="0"/>
              <w:bidi w:val="0"/>
              <w:adjustRightInd/>
              <w:spacing w:line="360" w:lineRule="atLeast"/>
              <w:jc w:val="center"/>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礼宾司</w:t>
            </w:r>
          </w:p>
          <w:p w14:paraId="617DDBBB">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pPr>
          </w:p>
        </w:tc>
        <w:tc>
          <w:tcPr>
            <w:tcW w:w="686" w:type="dxa"/>
            <w:tcBorders>
              <w:top w:val="single" w:color="000000" w:sz="4" w:space="0"/>
              <w:left w:val="nil"/>
              <w:bottom w:val="single" w:color="000000" w:sz="4" w:space="0"/>
              <w:right w:val="single" w:color="auto" w:sz="4" w:space="0"/>
            </w:tcBorders>
            <w:vAlign w:val="center"/>
          </w:tcPr>
          <w:p w14:paraId="2F58ABEF">
            <w:pPr>
              <w:pageBreakBefore w:val="0"/>
              <w:widowControl/>
              <w:kinsoku/>
              <w:wordWrap/>
              <w:overflowPunct/>
              <w:topLinePunct w:val="0"/>
              <w:autoSpaceDE/>
              <w:bidi w:val="0"/>
              <w:adjustRightInd/>
              <w:spacing w:line="360" w:lineRule="atLeast"/>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4998" w:type="dxa"/>
            <w:tcBorders>
              <w:top w:val="single" w:color="000000" w:sz="4" w:space="0"/>
              <w:left w:val="nil"/>
              <w:bottom w:val="single" w:color="000000" w:sz="4" w:space="0"/>
              <w:right w:val="single" w:color="auto" w:sz="4" w:space="0"/>
            </w:tcBorders>
            <w:vAlign w:val="center"/>
          </w:tcPr>
          <w:p w14:paraId="659C8134">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asciiTheme="minorEastAsia" w:hAnsiTheme="minorEastAsia" w:eastAsiaTheme="minorEastAsia" w:cstheme="minorEastAsia"/>
                <w:sz w:val="24"/>
                <w:szCs w:val="24"/>
                <w:highlight w:val="none"/>
              </w:rPr>
              <w:t>1、</w:t>
            </w:r>
            <w:r>
              <w:rPr>
                <w:rStyle w:val="11"/>
                <w:rFonts w:ascii="宋体" w:hAnsi="宋体" w:eastAsia="宋体" w:cs="宋体"/>
                <w:kern w:val="0"/>
                <w:sz w:val="24"/>
                <w:szCs w:val="24"/>
                <w:highlight w:val="none"/>
                <w:lang w:val="en-US" w:eastAsia="zh-CN" w:bidi="ar"/>
              </w:rPr>
              <w:t>团队管理</w:t>
            </w:r>
            <w:r>
              <w:rPr>
                <w:rFonts w:ascii="宋体" w:hAnsi="宋体" w:eastAsia="宋体" w:cs="宋体"/>
                <w:kern w:val="0"/>
                <w:sz w:val="24"/>
                <w:szCs w:val="24"/>
                <w:highlight w:val="none"/>
                <w:lang w:val="en-US" w:eastAsia="zh-CN" w:bidi="ar"/>
              </w:rPr>
              <w:t>：全面负责礼宾团队的组建、日常工作安排、指导与监督，处理内部协调与员工投诉，营造积极向上的团队氛围。</w:t>
            </w:r>
          </w:p>
          <w:p w14:paraId="51D68A90">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Style w:val="11"/>
                <w:rFonts w:ascii="宋体" w:hAnsi="宋体" w:eastAsia="宋体" w:cs="宋体"/>
                <w:kern w:val="0"/>
                <w:sz w:val="24"/>
                <w:szCs w:val="24"/>
                <w:highlight w:val="none"/>
                <w:lang w:val="en-US" w:eastAsia="zh-CN" w:bidi="ar"/>
              </w:rPr>
              <w:t>绩效与考核</w:t>
            </w:r>
            <w:r>
              <w:rPr>
                <w:rFonts w:ascii="宋体" w:hAnsi="宋体" w:eastAsia="宋体" w:cs="宋体"/>
                <w:kern w:val="0"/>
                <w:sz w:val="24"/>
                <w:szCs w:val="24"/>
                <w:highlight w:val="none"/>
                <w:lang w:val="en-US" w:eastAsia="zh-CN" w:bidi="ar"/>
              </w:rPr>
              <w:t>：根据公司绩效方案，负责对下属员工进行日常督导、绩效考核与评估，并定期提交部门工作计划与总结。</w:t>
            </w:r>
          </w:p>
          <w:p w14:paraId="523F391E">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Style w:val="11"/>
                <w:rFonts w:ascii="宋体" w:hAnsi="宋体" w:eastAsia="宋体" w:cs="宋体"/>
                <w:kern w:val="0"/>
                <w:sz w:val="24"/>
                <w:szCs w:val="24"/>
                <w:highlight w:val="none"/>
                <w:lang w:val="en-US" w:eastAsia="zh-CN" w:bidi="ar"/>
              </w:rPr>
              <w:t>排班与调配</w:t>
            </w:r>
            <w:r>
              <w:rPr>
                <w:rFonts w:ascii="宋体" w:hAnsi="宋体" w:eastAsia="宋体" w:cs="宋体"/>
                <w:kern w:val="0"/>
                <w:sz w:val="24"/>
                <w:szCs w:val="24"/>
                <w:highlight w:val="none"/>
                <w:lang w:val="en-US" w:eastAsia="zh-CN" w:bidi="ar"/>
              </w:rPr>
              <w:t>：科学拟定并优化人员排班表，根据业务高峰、大型活动等实际情况灵活调配人力，确保服务覆盖与运营效率。</w:t>
            </w:r>
          </w:p>
          <w:p w14:paraId="67607B39">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asciiTheme="minorEastAsia" w:hAnsiTheme="minorEastAsia" w:eastAsiaTheme="minorEastAsia" w:cstheme="minorEastAsia"/>
                <w:sz w:val="24"/>
                <w:szCs w:val="24"/>
                <w:highlight w:val="none"/>
              </w:rPr>
              <w:t>4、</w:t>
            </w:r>
            <w:r>
              <w:rPr>
                <w:rStyle w:val="11"/>
                <w:rFonts w:ascii="宋体" w:hAnsi="宋体" w:eastAsia="宋体" w:cs="宋体"/>
                <w:kern w:val="0"/>
                <w:sz w:val="24"/>
                <w:szCs w:val="24"/>
                <w:highlight w:val="none"/>
                <w:lang w:val="en-US" w:eastAsia="zh-CN" w:bidi="ar"/>
              </w:rPr>
              <w:t>培训体系</w:t>
            </w:r>
            <w:r>
              <w:rPr>
                <w:rFonts w:ascii="宋体" w:hAnsi="宋体" w:eastAsia="宋体" w:cs="宋体"/>
                <w:kern w:val="0"/>
                <w:sz w:val="24"/>
                <w:szCs w:val="24"/>
                <w:highlight w:val="none"/>
                <w:lang w:val="en-US" w:eastAsia="zh-CN" w:bidi="ar"/>
              </w:rPr>
              <w:t>：制定、完善并组织实施礼宾部的培训计划与方案，持续提升团队的专业技能、礼仪标准与服务意识。</w:t>
            </w:r>
          </w:p>
          <w:p w14:paraId="047365C9">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Style w:val="11"/>
                <w:rFonts w:ascii="宋体" w:hAnsi="宋体" w:eastAsia="宋体" w:cs="宋体"/>
                <w:kern w:val="0"/>
                <w:sz w:val="24"/>
                <w:szCs w:val="24"/>
                <w:highlight w:val="none"/>
                <w:lang w:val="en-US" w:eastAsia="zh-CN" w:bidi="ar"/>
              </w:rPr>
              <w:t>质量督导</w:t>
            </w:r>
            <w:r>
              <w:rPr>
                <w:rFonts w:ascii="宋体" w:hAnsi="宋体" w:eastAsia="宋体" w:cs="宋体"/>
                <w:kern w:val="0"/>
                <w:sz w:val="24"/>
                <w:szCs w:val="24"/>
                <w:highlight w:val="none"/>
                <w:lang w:val="en-US" w:eastAsia="zh-CN" w:bidi="ar"/>
              </w:rPr>
              <w:t>：通过定期与不定期抽查，督导各岗位（大堂、会务）的服务流程、服务形象、工作记录及环境标准，发现问题立即纠正，并跟踪整改结果，形成质量闭环。</w:t>
            </w:r>
          </w:p>
          <w:p w14:paraId="089B145B">
            <w:pPr>
              <w:pageBreakBefore w:val="0"/>
              <w:widowControl/>
              <w:kinsoku/>
              <w:wordWrap/>
              <w:overflowPunct/>
              <w:topLinePunct w:val="0"/>
              <w:autoSpaceDE/>
              <w:autoSpaceDN/>
              <w:bidi w:val="0"/>
              <w:adjustRightInd/>
              <w:spacing w:line="360" w:lineRule="atLeast"/>
              <w:jc w:val="left"/>
              <w:textAlignment w:val="auto"/>
              <w:rPr>
                <w:rFonts w:ascii="宋体" w:hAnsi="宋体" w:eastAsia="宋体" w:cs="宋体"/>
                <w:kern w:val="0"/>
                <w:sz w:val="24"/>
                <w:szCs w:val="24"/>
                <w:highlight w:val="none"/>
                <w:lang w:val="en-US" w:eastAsia="zh-CN" w:bidi="ar"/>
              </w:rPr>
            </w:pPr>
            <w:r>
              <w:rPr>
                <w:rFonts w:hint="eastAsia" w:asciiTheme="minorEastAsia" w:hAnsiTheme="minorEastAsia" w:eastAsiaTheme="minorEastAsia" w:cstheme="minorEastAsia"/>
                <w:sz w:val="24"/>
                <w:szCs w:val="24"/>
                <w:highlight w:val="none"/>
              </w:rPr>
              <w:t>6、</w:t>
            </w:r>
            <w:r>
              <w:rPr>
                <w:rStyle w:val="11"/>
                <w:rFonts w:ascii="宋体" w:hAnsi="宋体" w:eastAsia="宋体" w:cs="宋体"/>
                <w:kern w:val="0"/>
                <w:sz w:val="24"/>
                <w:szCs w:val="24"/>
                <w:highlight w:val="none"/>
                <w:lang w:val="en-US" w:eastAsia="zh-CN" w:bidi="ar"/>
              </w:rPr>
              <w:t>文档与信息管理</w:t>
            </w:r>
            <w:r>
              <w:rPr>
                <w:rFonts w:ascii="宋体" w:hAnsi="宋体" w:eastAsia="宋体" w:cs="宋体"/>
                <w:kern w:val="0"/>
                <w:sz w:val="24"/>
                <w:szCs w:val="24"/>
                <w:highlight w:val="none"/>
                <w:lang w:val="en-US" w:eastAsia="zh-CN" w:bidi="ar"/>
              </w:rPr>
              <w:t>：负责部门各类项目文档、工作表格、质量记录的收集、整理与归档；建立并持续更新周边商务、交通、配套等信息资料库，为服务提供信息支持。</w:t>
            </w:r>
          </w:p>
          <w:p w14:paraId="5E975FEC">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ascii="宋体" w:hAnsi="宋体" w:eastAsia="宋体" w:cs="宋体"/>
                <w:kern w:val="0"/>
                <w:sz w:val="24"/>
                <w:szCs w:val="24"/>
                <w:highlight w:val="none"/>
                <w:lang w:val="en-US" w:eastAsia="zh-CN" w:bidi="ar"/>
              </w:rPr>
              <w:t>7、</w:t>
            </w:r>
            <w:r>
              <w:rPr>
                <w:rStyle w:val="11"/>
                <w:rFonts w:ascii="宋体" w:hAnsi="宋体" w:eastAsia="宋体" w:cs="宋体"/>
                <w:kern w:val="0"/>
                <w:sz w:val="24"/>
                <w:szCs w:val="24"/>
                <w:highlight w:val="none"/>
                <w:lang w:val="en-US" w:eastAsia="zh-CN" w:bidi="ar"/>
              </w:rPr>
              <w:t>高端接待统筹</w:t>
            </w:r>
            <w:r>
              <w:rPr>
                <w:rFonts w:ascii="宋体" w:hAnsi="宋体" w:eastAsia="宋体" w:cs="宋体"/>
                <w:kern w:val="0"/>
                <w:sz w:val="24"/>
                <w:szCs w:val="24"/>
                <w:highlight w:val="none"/>
                <w:lang w:val="en-US" w:eastAsia="zh-CN" w:bidi="ar"/>
              </w:rPr>
              <w:t>：直接负责并统筹安排公司内、外部重要参观、考察及商务接待活动的礼宾服务方案与现场执行，确保接待工作的高规格与零失误。</w:t>
            </w:r>
          </w:p>
          <w:p w14:paraId="51250F53">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w:t>
            </w:r>
            <w:r>
              <w:rPr>
                <w:rStyle w:val="11"/>
                <w:rFonts w:ascii="宋体" w:hAnsi="宋体" w:eastAsia="宋体" w:cs="宋体"/>
                <w:kern w:val="0"/>
                <w:sz w:val="24"/>
                <w:szCs w:val="24"/>
                <w:highlight w:val="none"/>
                <w:lang w:val="en-US" w:eastAsia="zh-CN" w:bidi="ar"/>
              </w:rPr>
              <w:t>跨部门协同</w:t>
            </w:r>
            <w:r>
              <w:rPr>
                <w:rFonts w:ascii="宋体" w:hAnsi="宋体" w:eastAsia="宋体" w:cs="宋体"/>
                <w:kern w:val="0"/>
                <w:sz w:val="24"/>
                <w:szCs w:val="24"/>
                <w:highlight w:val="none"/>
                <w:lang w:val="en-US" w:eastAsia="zh-CN" w:bidi="ar"/>
              </w:rPr>
              <w:t>：主动同物业、运营、</w:t>
            </w:r>
            <w:r>
              <w:rPr>
                <w:rFonts w:hint="eastAsia" w:ascii="宋体" w:hAnsi="宋体" w:eastAsia="宋体" w:cs="宋体"/>
                <w:kern w:val="0"/>
                <w:sz w:val="24"/>
                <w:szCs w:val="24"/>
                <w:highlight w:val="none"/>
                <w:lang w:val="en-US" w:eastAsia="zh-CN" w:bidi="ar"/>
              </w:rPr>
              <w:t>招商</w:t>
            </w:r>
            <w:r>
              <w:rPr>
                <w:rFonts w:ascii="宋体" w:hAnsi="宋体" w:eastAsia="宋体" w:cs="宋体"/>
                <w:kern w:val="0"/>
                <w:sz w:val="24"/>
                <w:szCs w:val="24"/>
                <w:highlight w:val="none"/>
                <w:lang w:val="en-US" w:eastAsia="zh-CN" w:bidi="ar"/>
              </w:rPr>
              <w:t>等部门协作，配合项目社区文化活动，共同解决客户诉求，提升整体客户满意率与园区美誉度。</w:t>
            </w:r>
          </w:p>
          <w:p w14:paraId="53163AB1">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9、</w:t>
            </w:r>
            <w:r>
              <w:rPr>
                <w:rStyle w:val="11"/>
                <w:rFonts w:ascii="宋体" w:hAnsi="宋体" w:eastAsia="宋体" w:cs="宋体"/>
                <w:kern w:val="0"/>
                <w:sz w:val="24"/>
                <w:szCs w:val="24"/>
                <w:highlight w:val="none"/>
                <w:lang w:val="en-US" w:eastAsia="zh-CN" w:bidi="ar"/>
              </w:rPr>
              <w:t>上级支持</w:t>
            </w:r>
            <w:r>
              <w:rPr>
                <w:rFonts w:ascii="宋体" w:hAnsi="宋体" w:eastAsia="宋体" w:cs="宋体"/>
                <w:kern w:val="0"/>
                <w:sz w:val="24"/>
                <w:szCs w:val="24"/>
                <w:highlight w:val="none"/>
                <w:lang w:val="en-US" w:eastAsia="zh-CN" w:bidi="ar"/>
              </w:rPr>
              <w:t>：高效完成上级领导交办的其他临时性重要任务。</w:t>
            </w:r>
          </w:p>
        </w:tc>
        <w:tc>
          <w:tcPr>
            <w:tcW w:w="3354" w:type="dxa"/>
            <w:tcBorders>
              <w:top w:val="single" w:color="auto" w:sz="4" w:space="0"/>
              <w:left w:val="single" w:color="auto" w:sz="4" w:space="0"/>
              <w:bottom w:val="single" w:color="auto" w:sz="4" w:space="0"/>
              <w:right w:val="single" w:color="auto" w:sz="4" w:space="0"/>
            </w:tcBorders>
            <w:vAlign w:val="center"/>
          </w:tcPr>
          <w:p w14:paraId="13E825C8">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①大专以上学历，具备相关资质证书或同等职位有优秀管理经验者可适当降低要求；</w:t>
            </w:r>
          </w:p>
          <w:p w14:paraId="39EB592B">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②2.5年以上的相关专业领域工作经验，具备独立带领团队完成工作的能力；</w:t>
            </w:r>
          </w:p>
          <w:p w14:paraId="070E8304">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③具有较强组织及管理能力，沟通协调能力；</w:t>
            </w:r>
          </w:p>
          <w:p w14:paraId="3854F1C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④普通话流利，形象气质佳；</w:t>
            </w:r>
          </w:p>
          <w:p w14:paraId="188217DA">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⑤女性身高165CM以上，男性身高175CM以上。</w:t>
            </w:r>
          </w:p>
        </w:tc>
      </w:tr>
      <w:tr w14:paraId="58A38FF9">
        <w:tblPrEx>
          <w:tblCellMar>
            <w:top w:w="0" w:type="dxa"/>
            <w:left w:w="108" w:type="dxa"/>
            <w:bottom w:w="0" w:type="dxa"/>
            <w:right w:w="108" w:type="dxa"/>
          </w:tblCellMar>
        </w:tblPrEx>
        <w:trPr>
          <w:trHeight w:val="7223"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212663B">
            <w:pPr>
              <w:pageBreakBefore w:val="0"/>
              <w:kinsoku/>
              <w:wordWrap/>
              <w:overflowPunct/>
              <w:topLinePunct w:val="0"/>
              <w:autoSpaceDE/>
              <w:autoSpaceDN w:val="0"/>
              <w:bidi w:val="0"/>
              <w:adjustRightInd/>
              <w:spacing w:line="360" w:lineRule="atLeast"/>
              <w:jc w:val="center"/>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2</w:t>
            </w:r>
          </w:p>
        </w:tc>
        <w:tc>
          <w:tcPr>
            <w:tcW w:w="700" w:type="dxa"/>
            <w:tcBorders>
              <w:top w:val="single" w:color="000000" w:sz="4" w:space="0"/>
              <w:left w:val="nil"/>
              <w:bottom w:val="single" w:color="000000" w:sz="4" w:space="0"/>
              <w:right w:val="single" w:color="000000" w:sz="4" w:space="0"/>
            </w:tcBorders>
            <w:shd w:val="clear" w:color="auto" w:fill="auto"/>
            <w:vAlign w:val="center"/>
          </w:tcPr>
          <w:p w14:paraId="2FEBFC02">
            <w:pPr>
              <w:pageBreakBefore w:val="0"/>
              <w:kinsoku/>
              <w:wordWrap/>
              <w:overflowPunct/>
              <w:topLinePunct w:val="0"/>
              <w:autoSpaceDE/>
              <w:autoSpaceDN w:val="0"/>
              <w:bidi w:val="0"/>
              <w:adjustRightInd/>
              <w:spacing w:line="360" w:lineRule="atLeast"/>
              <w:jc w:val="center"/>
              <w:textAlignment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会务礼宾</w:t>
            </w:r>
          </w:p>
        </w:tc>
        <w:tc>
          <w:tcPr>
            <w:tcW w:w="686" w:type="dxa"/>
            <w:tcBorders>
              <w:top w:val="single" w:color="000000" w:sz="4" w:space="0"/>
              <w:left w:val="nil"/>
              <w:bottom w:val="single" w:color="000000" w:sz="4" w:space="0"/>
              <w:right w:val="single" w:color="000000" w:sz="4" w:space="0"/>
            </w:tcBorders>
            <w:vAlign w:val="center"/>
          </w:tcPr>
          <w:p w14:paraId="06D8509C">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4998" w:type="dxa"/>
            <w:tcBorders>
              <w:top w:val="single" w:color="000000" w:sz="4" w:space="0"/>
              <w:left w:val="nil"/>
              <w:bottom w:val="single" w:color="000000" w:sz="4" w:space="0"/>
              <w:right w:val="single" w:color="000000" w:sz="4" w:space="0"/>
            </w:tcBorders>
            <w:vAlign w:val="center"/>
          </w:tcPr>
          <w:p w14:paraId="14969FDF">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sz w:val="24"/>
                <w:szCs w:val="24"/>
                <w:highlight w:val="none"/>
              </w:rPr>
              <w:t>、</w:t>
            </w:r>
            <w:r>
              <w:rPr>
                <w:rStyle w:val="11"/>
                <w:rFonts w:ascii="宋体" w:hAnsi="宋体" w:eastAsia="宋体" w:cs="宋体"/>
                <w:kern w:val="0"/>
                <w:sz w:val="24"/>
                <w:szCs w:val="24"/>
                <w:highlight w:val="none"/>
                <w:lang w:val="en-US" w:eastAsia="zh-CN" w:bidi="ar"/>
              </w:rPr>
              <w:t>会务全流程服务</w:t>
            </w:r>
            <w:r>
              <w:rPr>
                <w:rFonts w:ascii="宋体" w:hAnsi="宋体" w:eastAsia="宋体" w:cs="宋体"/>
                <w:b/>
                <w:bCs/>
                <w:kern w:val="0"/>
                <w:sz w:val="24"/>
                <w:szCs w:val="24"/>
                <w:highlight w:val="none"/>
                <w:lang w:val="en-US" w:eastAsia="zh-CN" w:bidi="ar"/>
              </w:rPr>
              <w:t>：</w:t>
            </w:r>
            <w:r>
              <w:rPr>
                <w:rFonts w:ascii="宋体" w:hAnsi="宋体" w:eastAsia="宋体" w:cs="宋体"/>
                <w:kern w:val="0"/>
                <w:sz w:val="24"/>
                <w:szCs w:val="24"/>
                <w:highlight w:val="none"/>
                <w:lang w:val="en-US" w:eastAsia="zh-CN" w:bidi="ar"/>
              </w:rPr>
              <w:t>专责会议全程服务，包括会前布置、设备调试、物料准备；会中引导、签到、茶水服务、现场支持；会后整理、物资回收、场地复位。</w:t>
            </w:r>
          </w:p>
          <w:p w14:paraId="3E539F0F">
            <w:pPr>
              <w:pageBreakBefore w:val="0"/>
              <w:widowControl/>
              <w:kinsoku/>
              <w:wordWrap/>
              <w:overflowPunct/>
              <w:topLinePunct w:val="0"/>
              <w:autoSpaceDE/>
              <w:bidi w:val="0"/>
              <w:adjustRightInd/>
              <w:spacing w:line="360" w:lineRule="atLeast"/>
              <w:jc w:val="left"/>
              <w:rPr>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b/>
                <w:bCs/>
                <w:sz w:val="24"/>
                <w:szCs w:val="24"/>
                <w:highlight w:val="none"/>
                <w:lang w:val="en-US" w:eastAsia="zh-CN"/>
              </w:rPr>
              <w:t>物资管理：</w:t>
            </w:r>
            <w:r>
              <w:rPr>
                <w:rFonts w:hint="eastAsia" w:asciiTheme="minorEastAsia" w:hAnsiTheme="minorEastAsia" w:eastAsiaTheme="minorEastAsia" w:cstheme="minorEastAsia"/>
                <w:sz w:val="24"/>
                <w:szCs w:val="24"/>
                <w:highlight w:val="none"/>
              </w:rPr>
              <w:t>负责会议室内各类服务物资（文具、茶饮、用品等）的申领、保管、盘点与补充，确保物资充足、使用有序。</w:t>
            </w:r>
          </w:p>
          <w:p w14:paraId="37EC1870">
            <w:pPr>
              <w:pageBreakBefore w:val="0"/>
              <w:widowControl/>
              <w:kinsoku/>
              <w:wordWrap/>
              <w:overflowPunct/>
              <w:topLinePunct w:val="0"/>
              <w:autoSpaceDE/>
              <w:bidi w:val="0"/>
              <w:adjustRightInd/>
              <w:spacing w:line="360" w:lineRule="atLeast"/>
              <w:jc w:val="left"/>
              <w:rPr>
                <w:rFonts w:ascii="宋体" w:hAnsi="宋体" w:eastAsia="宋体" w:cs="宋体"/>
                <w:kern w:val="0"/>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Style w:val="11"/>
                <w:rFonts w:ascii="宋体" w:hAnsi="宋体" w:eastAsia="宋体" w:cs="宋体"/>
                <w:kern w:val="0"/>
                <w:sz w:val="24"/>
                <w:szCs w:val="24"/>
                <w:highlight w:val="none"/>
                <w:lang w:val="en-US" w:eastAsia="zh-CN" w:bidi="ar"/>
              </w:rPr>
              <w:t>会议室日常管理</w:t>
            </w:r>
            <w:r>
              <w:rPr>
                <w:rFonts w:ascii="宋体" w:hAnsi="宋体" w:eastAsia="宋体" w:cs="宋体"/>
                <w:kern w:val="0"/>
                <w:sz w:val="24"/>
                <w:szCs w:val="24"/>
                <w:highlight w:val="none"/>
                <w:lang w:val="en-US" w:eastAsia="zh-CN" w:bidi="ar"/>
              </w:rPr>
              <w:t>：负责所辖会议室的日常巡查、预定协调、使用状态维护，确保随时可用。处理会议期间的简单设备故障报修。</w:t>
            </w:r>
          </w:p>
          <w:p w14:paraId="61DFC315">
            <w:pPr>
              <w:pageBreakBefore w:val="0"/>
              <w:widowControl/>
              <w:kinsoku/>
              <w:wordWrap/>
              <w:overflowPunct/>
              <w:topLinePunct w:val="0"/>
              <w:autoSpaceDE/>
              <w:bidi w:val="0"/>
              <w:adjustRightInd/>
              <w:spacing w:line="360" w:lineRule="atLeast"/>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r>
              <w:rPr>
                <w:rStyle w:val="11"/>
                <w:rFonts w:ascii="宋体" w:hAnsi="宋体" w:eastAsia="宋体" w:cs="宋体"/>
                <w:kern w:val="0"/>
                <w:sz w:val="24"/>
                <w:szCs w:val="24"/>
                <w:highlight w:val="none"/>
                <w:lang w:val="en-US" w:eastAsia="zh-CN" w:bidi="ar"/>
              </w:rPr>
              <w:t>专属茶水服务</w:t>
            </w:r>
            <w:r>
              <w:rPr>
                <w:rFonts w:ascii="宋体" w:hAnsi="宋体" w:eastAsia="宋体" w:cs="宋体"/>
                <w:kern w:val="0"/>
                <w:sz w:val="24"/>
                <w:szCs w:val="24"/>
                <w:highlight w:val="none"/>
                <w:lang w:val="en-US" w:eastAsia="zh-CN" w:bidi="ar"/>
              </w:rPr>
              <w:t>：精通各类茶饮、咖啡的冲泡与服务礼仪，根据会议要求提供专业茶水服务，并负责领导办公室的日常茶水、茶点服务。</w:t>
            </w:r>
          </w:p>
          <w:p w14:paraId="02345271">
            <w:pPr>
              <w:keepNext w:val="0"/>
              <w:keepLines w:val="0"/>
              <w:pageBreakBefore w:val="0"/>
              <w:widowControl/>
              <w:suppressLineNumbers w:val="0"/>
              <w:kinsoku/>
              <w:wordWrap/>
              <w:overflowPunct/>
              <w:topLinePunct w:val="0"/>
              <w:autoSpaceDE/>
              <w:bidi w:val="0"/>
              <w:adjustRightInd/>
              <w:spacing w:line="360" w:lineRule="atLeast"/>
              <w:jc w:val="left"/>
              <w:rPr>
                <w:rFonts w:hint="eastAsia" w:eastAsia="宋体"/>
                <w:highlight w:val="none"/>
                <w:lang w:eastAsia="zh-CN"/>
              </w:rPr>
            </w:pPr>
            <w:r>
              <w:rPr>
                <w:rFonts w:hint="eastAsia" w:asciiTheme="minorEastAsia" w:hAnsiTheme="minorEastAsia" w:eastAsiaTheme="minorEastAsia" w:cstheme="minorEastAsia"/>
                <w:sz w:val="24"/>
                <w:szCs w:val="24"/>
                <w:highlight w:val="none"/>
              </w:rPr>
              <w:t>5、</w:t>
            </w:r>
            <w:r>
              <w:rPr>
                <w:rStyle w:val="11"/>
                <w:rFonts w:ascii="宋体" w:hAnsi="宋体" w:eastAsia="宋体" w:cs="宋体"/>
                <w:kern w:val="0"/>
                <w:sz w:val="24"/>
                <w:szCs w:val="24"/>
                <w:highlight w:val="none"/>
                <w:lang w:val="en-US" w:eastAsia="zh-CN" w:bidi="ar"/>
              </w:rPr>
              <w:t>内部行政支持</w:t>
            </w:r>
            <w:r>
              <w:rPr>
                <w:rFonts w:ascii="宋体" w:hAnsi="宋体" w:eastAsia="宋体" w:cs="宋体"/>
                <w:kern w:val="0"/>
                <w:sz w:val="24"/>
                <w:szCs w:val="24"/>
                <w:highlight w:val="none"/>
                <w:lang w:val="en-US" w:eastAsia="zh-CN" w:bidi="ar"/>
              </w:rPr>
              <w:t>：</w:t>
            </w:r>
            <w:r>
              <w:rPr>
                <w:rFonts w:hint="eastAsia" w:asciiTheme="minorEastAsia" w:hAnsiTheme="minorEastAsia" w:eastAsiaTheme="minorEastAsia" w:cstheme="minorEastAsia"/>
                <w:sz w:val="24"/>
                <w:szCs w:val="24"/>
                <w:highlight w:val="none"/>
              </w:rPr>
              <w:t>每日完成各领导办公室茶水、开窗、开空调服务，</w:t>
            </w:r>
            <w:r>
              <w:rPr>
                <w:rFonts w:hint="eastAsia" w:asciiTheme="minorEastAsia" w:hAnsiTheme="minorEastAsia" w:eastAsiaTheme="minorEastAsia" w:cstheme="minorEastAsia"/>
                <w:sz w:val="24"/>
                <w:szCs w:val="24"/>
                <w:highlight w:val="none"/>
                <w:lang w:val="en-US" w:eastAsia="zh-CN"/>
              </w:rPr>
              <w:t>下午茶派送，</w:t>
            </w:r>
            <w:r>
              <w:rPr>
                <w:rFonts w:hint="eastAsia" w:asciiTheme="minorEastAsia" w:hAnsiTheme="minorEastAsia" w:eastAsiaTheme="minorEastAsia" w:cstheme="minorEastAsia"/>
                <w:sz w:val="24"/>
                <w:szCs w:val="24"/>
                <w:highlight w:val="none"/>
              </w:rPr>
              <w:t>各领导办公室茶具清洗、消毒服务</w:t>
            </w:r>
            <w:r>
              <w:rPr>
                <w:rFonts w:hint="eastAsia" w:asciiTheme="minorEastAsia" w:hAnsiTheme="minorEastAsia" w:eastAsiaTheme="minorEastAsia" w:cstheme="minorEastAsia"/>
                <w:sz w:val="24"/>
                <w:szCs w:val="24"/>
                <w:highlight w:val="none"/>
                <w:lang w:eastAsia="zh-CN"/>
              </w:rPr>
              <w:t>，</w:t>
            </w:r>
            <w:r>
              <w:rPr>
                <w:rFonts w:ascii="宋体" w:hAnsi="宋体" w:eastAsia="宋体" w:cs="宋体"/>
                <w:kern w:val="0"/>
                <w:sz w:val="24"/>
                <w:szCs w:val="24"/>
                <w:highlight w:val="none"/>
                <w:lang w:val="en-US" w:eastAsia="zh-CN" w:bidi="ar"/>
              </w:rPr>
              <w:t>以及接待室的物资检查与补充</w:t>
            </w:r>
            <w:r>
              <w:rPr>
                <w:rFonts w:hint="eastAsia" w:eastAsia="宋体"/>
                <w:highlight w:val="none"/>
                <w:lang w:eastAsia="zh-CN"/>
              </w:rPr>
              <w:t>；</w:t>
            </w:r>
          </w:p>
          <w:p w14:paraId="775A46F9">
            <w:pPr>
              <w:pageBreakBefore w:val="0"/>
              <w:widowControl/>
              <w:kinsoku/>
              <w:wordWrap/>
              <w:overflowPunct/>
              <w:topLinePunct w:val="0"/>
              <w:autoSpaceDE/>
              <w:bidi w:val="0"/>
              <w:adjustRightInd/>
              <w:spacing w:line="360" w:lineRule="atLeast"/>
              <w:jc w:val="left"/>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6、</w:t>
            </w:r>
            <w:r>
              <w:rPr>
                <w:rStyle w:val="11"/>
                <w:rFonts w:ascii="宋体" w:hAnsi="宋体" w:eastAsia="宋体" w:cs="宋体"/>
                <w:kern w:val="0"/>
                <w:sz w:val="24"/>
                <w:szCs w:val="24"/>
                <w:highlight w:val="none"/>
                <w:lang w:val="en-US" w:eastAsia="zh-CN" w:bidi="ar"/>
              </w:rPr>
              <w:t>服务记录与反馈</w:t>
            </w:r>
            <w:r>
              <w:rPr>
                <w:rFonts w:ascii="宋体" w:hAnsi="宋体" w:eastAsia="宋体" w:cs="宋体"/>
                <w:kern w:val="0"/>
                <w:sz w:val="24"/>
                <w:szCs w:val="24"/>
                <w:highlight w:val="none"/>
                <w:lang w:val="en-US" w:eastAsia="zh-CN" w:bidi="ar"/>
              </w:rPr>
              <w:t>：详细记录会务服务过程中的特殊情况、客户需求及设备问题，及时反馈以优化服务。</w:t>
            </w:r>
          </w:p>
        </w:tc>
        <w:tc>
          <w:tcPr>
            <w:tcW w:w="3354" w:type="dxa"/>
            <w:tcBorders>
              <w:top w:val="single" w:color="auto" w:sz="4" w:space="0"/>
              <w:left w:val="nil"/>
              <w:bottom w:val="single" w:color="auto" w:sz="4" w:space="0"/>
              <w:right w:val="single" w:color="000000" w:sz="4" w:space="0"/>
            </w:tcBorders>
            <w:vAlign w:val="center"/>
          </w:tcPr>
          <w:p w14:paraId="1EAD5E7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p>
          <w:p w14:paraId="1012AB9A">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①大专</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以上学历，具备相关工作经验的优秀人员可适当降低学历要求；</w:t>
            </w:r>
          </w:p>
          <w:p w14:paraId="413C5D7B">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②女性身高165CM及以上，男性身高173CM及以上，形象好、气质佳；</w:t>
            </w:r>
          </w:p>
          <w:p w14:paraId="786751B4">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③能熟练操作办公软件，对EXCEL比较熟悉；</w:t>
            </w:r>
          </w:p>
          <w:p w14:paraId="6C2B233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④熟练掌握会议服务标准流程与规范，具备专业的茶水服务技能。了解常用会议设备（投影、音响、视频会议）的基本连接与问题识别；</w:t>
            </w:r>
          </w:p>
          <w:p w14:paraId="27B6CE1B">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⑤普通话流利，具备基础英语沟通能力；</w:t>
            </w:r>
          </w:p>
          <w:p w14:paraId="15C50365">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⑥形象好，气质佳。</w:t>
            </w:r>
          </w:p>
        </w:tc>
      </w:tr>
      <w:tr w14:paraId="4824FD0C">
        <w:tblPrEx>
          <w:tblCellMar>
            <w:top w:w="0" w:type="dxa"/>
            <w:left w:w="108" w:type="dxa"/>
            <w:bottom w:w="0" w:type="dxa"/>
            <w:right w:w="108" w:type="dxa"/>
          </w:tblCellMar>
        </w:tblPrEx>
        <w:trPr>
          <w:trHeight w:val="10840"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6A0A324D">
            <w:pPr>
              <w:pageBreakBefore w:val="0"/>
              <w:kinsoku/>
              <w:wordWrap/>
              <w:overflowPunct/>
              <w:topLinePunct w:val="0"/>
              <w:autoSpaceDE/>
              <w:autoSpaceDN w:val="0"/>
              <w:bidi w:val="0"/>
              <w:adjustRightInd/>
              <w:spacing w:line="360" w:lineRule="atLeas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3</w:t>
            </w:r>
          </w:p>
        </w:tc>
        <w:tc>
          <w:tcPr>
            <w:tcW w:w="700" w:type="dxa"/>
            <w:tcBorders>
              <w:top w:val="single" w:color="000000" w:sz="4" w:space="0"/>
              <w:left w:val="nil"/>
              <w:bottom w:val="single" w:color="000000" w:sz="4" w:space="0"/>
              <w:right w:val="single" w:color="000000" w:sz="4" w:space="0"/>
            </w:tcBorders>
            <w:shd w:val="clear" w:color="auto" w:fill="auto"/>
            <w:vAlign w:val="center"/>
          </w:tcPr>
          <w:p w14:paraId="4F690D75">
            <w:pPr>
              <w:pageBreakBefore w:val="0"/>
              <w:kinsoku/>
              <w:wordWrap/>
              <w:overflowPunct/>
              <w:topLinePunct w:val="0"/>
              <w:autoSpaceDE/>
              <w:bidi w:val="0"/>
              <w:adjustRightInd/>
              <w:spacing w:line="360" w:lineRule="atLeast"/>
              <w:rPr>
                <w:highlight w:val="none"/>
              </w:rPr>
            </w:pPr>
          </w:p>
          <w:p w14:paraId="0025278D">
            <w:pPr>
              <w:pageBreakBefore w:val="0"/>
              <w:kinsoku/>
              <w:wordWrap/>
              <w:overflowPunct/>
              <w:topLinePunct w:val="0"/>
              <w:autoSpaceDE/>
              <w:autoSpaceDN w:val="0"/>
              <w:bidi w:val="0"/>
              <w:adjustRightInd/>
              <w:spacing w:line="360" w:lineRule="atLeast"/>
              <w:jc w:val="center"/>
              <w:textAlignment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大堂礼宾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textWrapping"/>
            </w:r>
          </w:p>
        </w:tc>
        <w:tc>
          <w:tcPr>
            <w:tcW w:w="686" w:type="dxa"/>
            <w:tcBorders>
              <w:top w:val="single" w:color="000000" w:sz="4" w:space="0"/>
              <w:left w:val="nil"/>
              <w:bottom w:val="single" w:color="000000" w:sz="4" w:space="0"/>
              <w:right w:val="single" w:color="000000" w:sz="4" w:space="0"/>
            </w:tcBorders>
            <w:vAlign w:val="center"/>
          </w:tcPr>
          <w:p w14:paraId="15E72CA2">
            <w:pPr>
              <w:pageBreakBefore w:val="0"/>
              <w:widowControl/>
              <w:kinsoku/>
              <w:wordWrap/>
              <w:overflowPunct/>
              <w:topLinePunct w:val="0"/>
              <w:autoSpaceDE/>
              <w:bidi w:val="0"/>
              <w:adjustRightInd/>
              <w:spacing w:line="360" w:lineRule="atLeast"/>
              <w:jc w:val="center"/>
              <w:rPr>
                <w:rFonts w:hint="default"/>
                <w:highlight w:val="none"/>
                <w:lang w:val="en-US" w:eastAsia="zh-CN"/>
              </w:rPr>
            </w:pPr>
            <w:r>
              <w:rPr>
                <w:rFonts w:hint="eastAsia" w:asciiTheme="minorEastAsia" w:hAnsiTheme="minorEastAsia" w:eastAsiaTheme="minorEastAsia" w:cstheme="minorEastAsia"/>
                <w:sz w:val="24"/>
                <w:szCs w:val="24"/>
                <w:highlight w:val="none"/>
                <w:lang w:val="en-US" w:eastAsia="zh-CN"/>
              </w:rPr>
              <w:t>2</w:t>
            </w:r>
            <w:bookmarkStart w:id="1" w:name="_GoBack"/>
            <w:bookmarkEnd w:id="1"/>
          </w:p>
        </w:tc>
        <w:tc>
          <w:tcPr>
            <w:tcW w:w="4998" w:type="dxa"/>
            <w:tcBorders>
              <w:top w:val="single" w:color="000000" w:sz="4" w:space="0"/>
              <w:left w:val="nil"/>
              <w:bottom w:val="single" w:color="000000" w:sz="4" w:space="0"/>
              <w:right w:val="single" w:color="000000" w:sz="4" w:space="0"/>
            </w:tcBorders>
            <w:vAlign w:val="center"/>
          </w:tcPr>
          <w:p w14:paraId="11C06E81">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b/>
                <w:bCs/>
                <w:sz w:val="24"/>
                <w:szCs w:val="24"/>
                <w:highlight w:val="none"/>
                <w:lang w:val="en-US" w:eastAsia="zh-CN"/>
              </w:rPr>
              <w:t>形象展示与主动迎送：</w:t>
            </w:r>
            <w:r>
              <w:rPr>
                <w:rFonts w:hint="eastAsia" w:asciiTheme="minorEastAsia" w:hAnsiTheme="minorEastAsia" w:eastAsiaTheme="minorEastAsia" w:cstheme="minorEastAsia"/>
                <w:sz w:val="24"/>
                <w:szCs w:val="24"/>
                <w:highlight w:val="none"/>
              </w:rPr>
              <w:t>主动迎送所有进出客户与访客，提供规范的问候与指引服务。</w:t>
            </w:r>
          </w:p>
          <w:p w14:paraId="06BA29B5">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b/>
                <w:bCs/>
                <w:sz w:val="24"/>
                <w:szCs w:val="24"/>
                <w:highlight w:val="none"/>
                <w:lang w:val="en-US" w:eastAsia="zh-CN"/>
              </w:rPr>
              <w:t>大型活动支持：</w:t>
            </w:r>
            <w:r>
              <w:rPr>
                <w:rFonts w:hint="eastAsia" w:asciiTheme="minorEastAsia" w:hAnsiTheme="minorEastAsia" w:eastAsiaTheme="minorEastAsia" w:cstheme="minorEastAsia"/>
                <w:sz w:val="24"/>
                <w:szCs w:val="24"/>
                <w:highlight w:val="none"/>
                <w:lang w:val="en-US" w:eastAsia="zh-CN"/>
              </w:rPr>
              <w:t>在园区举办大型庆典或重要活动时提供礼仪服务，提升活动整体形象。</w:t>
            </w:r>
          </w:p>
          <w:p w14:paraId="74A8AA10">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Style w:val="11"/>
                <w:rFonts w:ascii="宋体" w:hAnsi="宋体" w:eastAsia="宋体" w:cs="宋体"/>
                <w:kern w:val="0"/>
                <w:sz w:val="24"/>
                <w:szCs w:val="24"/>
                <w:highlight w:val="none"/>
                <w:lang w:val="en-US" w:eastAsia="zh-CN" w:bidi="ar"/>
              </w:rPr>
              <w:t>访客全流程接待</w:t>
            </w:r>
            <w:r>
              <w:rPr>
                <w:rFonts w:ascii="宋体" w:hAnsi="宋体" w:eastAsia="宋体" w:cs="宋体"/>
                <w:kern w:val="0"/>
                <w:sz w:val="24"/>
                <w:szCs w:val="24"/>
                <w:highlight w:val="none"/>
                <w:lang w:val="en-US" w:eastAsia="zh-CN" w:bidi="ar"/>
              </w:rPr>
              <w:t>：负责所有来访人员的接待、问询、身份核实与信息登记，熟练操作前台访客登记系统，并按要求做好来访记录。</w:t>
            </w:r>
          </w:p>
          <w:p w14:paraId="3EC29E22">
            <w:pPr>
              <w:keepNext w:val="0"/>
              <w:keepLines w:val="0"/>
              <w:pageBreakBefore w:val="0"/>
              <w:widowControl/>
              <w:suppressLineNumbers w:val="0"/>
              <w:kinsoku/>
              <w:wordWrap/>
              <w:overflowPunct/>
              <w:topLinePunct w:val="0"/>
              <w:autoSpaceDE/>
              <w:bidi w:val="0"/>
              <w:adjustRightInd/>
              <w:spacing w:line="360" w:lineRule="atLeast"/>
              <w:jc w:val="left"/>
              <w:rPr>
                <w:rFonts w:ascii="宋体" w:hAnsi="宋体" w:eastAsia="宋体" w:cs="宋体"/>
                <w:kern w:val="0"/>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Style w:val="11"/>
                <w:rFonts w:ascii="宋体" w:hAnsi="宋体" w:eastAsia="宋体" w:cs="宋体"/>
                <w:kern w:val="0"/>
                <w:sz w:val="24"/>
                <w:szCs w:val="24"/>
                <w:highlight w:val="none"/>
                <w:lang w:val="en-US" w:eastAsia="zh-CN" w:bidi="ar"/>
              </w:rPr>
              <w:t>信息服务与金钥匙服务</w:t>
            </w:r>
            <w:r>
              <w:rPr>
                <w:rFonts w:ascii="宋体" w:hAnsi="宋体" w:eastAsia="宋体" w:cs="宋体"/>
                <w:kern w:val="0"/>
                <w:sz w:val="24"/>
                <w:szCs w:val="24"/>
                <w:highlight w:val="none"/>
                <w:lang w:val="en-US" w:eastAsia="zh-CN" w:bidi="ar"/>
              </w:rPr>
              <w:t>：为有需要的客户准确介绍大厦内部功能分区、服务设施及周边商务、交通、生活信息。在授权范围内，提供基础的“金钥匙”式委托代办服务（如信息查询、简单协调等</w:t>
            </w:r>
          </w:p>
          <w:p w14:paraId="32FD4B7A">
            <w:pPr>
              <w:keepNext w:val="0"/>
              <w:keepLines w:val="0"/>
              <w:pageBreakBefore w:val="0"/>
              <w:widowControl/>
              <w:suppressLineNumbers w:val="0"/>
              <w:kinsoku/>
              <w:wordWrap/>
              <w:overflowPunct/>
              <w:topLinePunct w:val="0"/>
              <w:autoSpaceDE/>
              <w:bidi w:val="0"/>
              <w:adjustRightInd/>
              <w:spacing w:line="360" w:lineRule="atLeast"/>
              <w:jc w:val="left"/>
              <w:rPr>
                <w:rFonts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w:t>
            </w:r>
            <w:r>
              <w:rPr>
                <w:rStyle w:val="11"/>
                <w:rFonts w:ascii="宋体" w:hAnsi="宋体" w:eastAsia="宋体" w:cs="宋体"/>
                <w:kern w:val="0"/>
                <w:sz w:val="24"/>
                <w:szCs w:val="24"/>
                <w:highlight w:val="none"/>
                <w:lang w:val="en-US" w:eastAsia="zh-CN" w:bidi="ar"/>
              </w:rPr>
              <w:t>意见收集与反馈</w:t>
            </w:r>
            <w:r>
              <w:rPr>
                <w:rFonts w:ascii="宋体" w:hAnsi="宋体" w:eastAsia="宋体" w:cs="宋体"/>
                <w:kern w:val="0"/>
                <w:sz w:val="24"/>
                <w:szCs w:val="24"/>
                <w:highlight w:val="none"/>
                <w:lang w:val="en-US" w:eastAsia="zh-CN" w:bidi="ar"/>
              </w:rPr>
              <w:t>：主动倾听、收集客户在到访过程中提出的意见与需求，并准确、及时地记录与反馈给上级或相关部门。</w:t>
            </w:r>
          </w:p>
          <w:p w14:paraId="353AD754">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highlight w:val="none"/>
                <w:lang w:val="en-US" w:eastAsia="zh-CN"/>
              </w:rPr>
              <w:t>6、</w:t>
            </w:r>
            <w:r>
              <w:rPr>
                <w:rStyle w:val="11"/>
                <w:rFonts w:ascii="宋体" w:hAnsi="宋体" w:eastAsia="宋体" w:cs="宋体"/>
                <w:kern w:val="0"/>
                <w:sz w:val="24"/>
                <w:szCs w:val="24"/>
                <w:highlight w:val="none"/>
                <w:lang w:val="en-US" w:eastAsia="zh-CN" w:bidi="ar"/>
              </w:rPr>
              <w:t>物品与资产管理</w:t>
            </w:r>
            <w:r>
              <w:rPr>
                <w:rFonts w:ascii="宋体" w:hAnsi="宋体" w:eastAsia="宋体" w:cs="宋体"/>
                <w:kern w:val="0"/>
                <w:sz w:val="24"/>
                <w:szCs w:val="24"/>
                <w:highlight w:val="none"/>
                <w:lang w:val="en-US" w:eastAsia="zh-CN" w:bidi="ar"/>
              </w:rPr>
              <w:t>：负责个性化服务物资（如雨伞、轮椅、常用工具等）的借用、回收、保管与盘点工作。协助安管部核对与登记客户的大件物品放行。</w:t>
            </w:r>
          </w:p>
          <w:p w14:paraId="5DD29064">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highlight w:val="none"/>
                <w:lang w:val="en-US" w:eastAsia="zh-CN"/>
              </w:rPr>
              <w:t>7、</w:t>
            </w:r>
            <w:r>
              <w:rPr>
                <w:rStyle w:val="11"/>
                <w:rFonts w:ascii="宋体" w:hAnsi="宋体" w:eastAsia="宋体" w:cs="宋体"/>
                <w:kern w:val="0"/>
                <w:sz w:val="24"/>
                <w:szCs w:val="24"/>
                <w:highlight w:val="none"/>
                <w:lang w:val="en-US" w:eastAsia="zh-CN" w:bidi="ar"/>
              </w:rPr>
              <w:t>环境监督与报事</w:t>
            </w:r>
            <w:r>
              <w:rPr>
                <w:rFonts w:ascii="宋体" w:hAnsi="宋体" w:eastAsia="宋体" w:cs="宋体"/>
                <w:kern w:val="0"/>
                <w:sz w:val="24"/>
                <w:szCs w:val="24"/>
                <w:highlight w:val="none"/>
                <w:lang w:val="en-US" w:eastAsia="zh-CN" w:bidi="ar"/>
              </w:rPr>
              <w:t>：负责大堂内、外公共区域的可视化巡查，监督环境卫生、绿植状态、设备设施及秩序异常，任何异常情况立即与物业前台或相关部门联系，并跟进处理结果。</w:t>
            </w:r>
          </w:p>
          <w:p w14:paraId="4B7E0253">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highlight w:val="none"/>
                <w:lang w:val="en-US" w:eastAsia="zh-CN"/>
              </w:rPr>
              <w:t>8、</w:t>
            </w:r>
            <w:r>
              <w:rPr>
                <w:rStyle w:val="11"/>
                <w:rFonts w:ascii="宋体" w:hAnsi="宋体" w:eastAsia="宋体" w:cs="宋体"/>
                <w:kern w:val="0"/>
                <w:sz w:val="24"/>
                <w:szCs w:val="24"/>
                <w:highlight w:val="none"/>
                <w:lang w:val="en-US" w:eastAsia="zh-CN" w:bidi="ar"/>
              </w:rPr>
              <w:t>安全协防与应急配合</w:t>
            </w:r>
            <w:r>
              <w:rPr>
                <w:rFonts w:ascii="宋体" w:hAnsi="宋体" w:eastAsia="宋体" w:cs="宋体"/>
                <w:kern w:val="0"/>
                <w:sz w:val="24"/>
                <w:szCs w:val="24"/>
                <w:highlight w:val="none"/>
                <w:lang w:val="en-US" w:eastAsia="zh-CN" w:bidi="ar"/>
              </w:rPr>
              <w:t>：作为安全网络的一环，密切关注大堂动态，发现可疑情况及时上报。积极配合礼宾司及安管部处理各类突发事件。</w:t>
            </w:r>
          </w:p>
          <w:p w14:paraId="4767BFBC">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highlight w:val="none"/>
                <w:lang w:val="en-US" w:eastAsia="zh-CN"/>
              </w:rPr>
              <w:t>9、</w:t>
            </w:r>
            <w:r>
              <w:rPr>
                <w:rStyle w:val="11"/>
                <w:rFonts w:ascii="宋体" w:hAnsi="宋体" w:eastAsia="宋体" w:cs="宋体"/>
                <w:kern w:val="0"/>
                <w:sz w:val="24"/>
                <w:szCs w:val="24"/>
                <w:highlight w:val="none"/>
                <w:lang w:val="en-US" w:eastAsia="zh-CN" w:bidi="ar"/>
              </w:rPr>
              <w:t>服务记录与交接</w:t>
            </w:r>
            <w:r>
              <w:rPr>
                <w:rFonts w:ascii="宋体" w:hAnsi="宋体" w:eastAsia="宋体" w:cs="宋体"/>
                <w:kern w:val="0"/>
                <w:sz w:val="24"/>
                <w:szCs w:val="24"/>
                <w:highlight w:val="none"/>
                <w:lang w:val="en-US" w:eastAsia="zh-CN" w:bidi="ar"/>
              </w:rPr>
              <w:t>：准确、完整地填写各类服务表格（如访客登记、物品借用、意见记录等），对需延续性跟进的服务做好交接。规范撰写大堂交班日志，详实记录当班期间的重要事件。</w:t>
            </w:r>
          </w:p>
          <w:p w14:paraId="49478D60">
            <w:pPr>
              <w:keepNext w:val="0"/>
              <w:keepLines w:val="0"/>
              <w:pageBreakBefore w:val="0"/>
              <w:widowControl/>
              <w:suppressLineNumbers w:val="0"/>
              <w:kinsoku/>
              <w:wordWrap/>
              <w:overflowPunct/>
              <w:topLinePunct w:val="0"/>
              <w:autoSpaceDE/>
              <w:bidi w:val="0"/>
              <w:adjustRightInd/>
              <w:spacing w:line="360" w:lineRule="atLeast"/>
              <w:jc w:val="left"/>
              <w:rPr>
                <w:highlight w:val="none"/>
              </w:rPr>
            </w:pPr>
            <w:r>
              <w:rPr>
                <w:rFonts w:hint="eastAsia"/>
                <w:highlight w:val="none"/>
                <w:lang w:val="en-US" w:eastAsia="zh-CN"/>
              </w:rPr>
              <w:t>10、</w:t>
            </w:r>
            <w:r>
              <w:rPr>
                <w:rStyle w:val="11"/>
                <w:rFonts w:ascii="宋体" w:hAnsi="宋体" w:eastAsia="宋体" w:cs="宋体"/>
                <w:kern w:val="0"/>
                <w:sz w:val="24"/>
                <w:szCs w:val="24"/>
                <w:highlight w:val="none"/>
                <w:lang w:val="en-US" w:eastAsia="zh-CN" w:bidi="ar"/>
              </w:rPr>
              <w:t>跨部门协同</w:t>
            </w:r>
            <w:r>
              <w:rPr>
                <w:rFonts w:ascii="宋体" w:hAnsi="宋体" w:eastAsia="宋体" w:cs="宋体"/>
                <w:kern w:val="0"/>
                <w:sz w:val="24"/>
                <w:szCs w:val="24"/>
                <w:highlight w:val="none"/>
                <w:lang w:val="en-US" w:eastAsia="zh-CN" w:bidi="ar"/>
              </w:rPr>
              <w:t>：积极配合物业、安管、礼宾司等部门的工作指令与协作要求，共同维护大堂整体运营品质。</w:t>
            </w:r>
          </w:p>
          <w:p w14:paraId="4361AFB5">
            <w:pPr>
              <w:pageBreakBefore w:val="0"/>
              <w:widowControl/>
              <w:kinsoku/>
              <w:wordWrap/>
              <w:overflowPunct/>
              <w:topLinePunct w:val="0"/>
              <w:autoSpaceDE/>
              <w:bidi w:val="0"/>
              <w:adjustRightInd/>
              <w:spacing w:line="360" w:lineRule="atLeas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highlight w:val="none"/>
                <w:lang w:val="en-US" w:eastAsia="zh-CN"/>
              </w:rPr>
              <w:t>11、</w:t>
            </w:r>
            <w:r>
              <w:rPr>
                <w:rStyle w:val="11"/>
                <w:rFonts w:ascii="宋体" w:hAnsi="宋体" w:eastAsia="宋体" w:cs="宋体"/>
                <w:kern w:val="0"/>
                <w:sz w:val="24"/>
                <w:szCs w:val="24"/>
                <w:highlight w:val="none"/>
                <w:lang w:val="en-US" w:eastAsia="zh-CN" w:bidi="ar"/>
              </w:rPr>
              <w:t>临时性工作</w:t>
            </w:r>
            <w:r>
              <w:rPr>
                <w:rFonts w:ascii="宋体" w:hAnsi="宋体" w:eastAsia="宋体" w:cs="宋体"/>
                <w:kern w:val="0"/>
                <w:sz w:val="24"/>
                <w:szCs w:val="24"/>
                <w:highlight w:val="none"/>
                <w:lang w:val="en-US" w:eastAsia="zh-CN" w:bidi="ar"/>
              </w:rPr>
              <w:t>：高效完成上级领导交办的其他临时性工作任务。</w:t>
            </w:r>
          </w:p>
        </w:tc>
        <w:tc>
          <w:tcPr>
            <w:tcW w:w="3354" w:type="dxa"/>
            <w:tcBorders>
              <w:top w:val="single" w:color="auto" w:sz="4" w:space="0"/>
              <w:left w:val="nil"/>
              <w:bottom w:val="single" w:color="000000" w:sz="4" w:space="0"/>
              <w:right w:val="single" w:color="000000" w:sz="4" w:space="0"/>
            </w:tcBorders>
            <w:vAlign w:val="center"/>
          </w:tcPr>
          <w:p w14:paraId="53167614">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①大专或以上学历，具备相关工作经验的优秀人员可适当降低学历要求；</w:t>
            </w:r>
          </w:p>
          <w:p w14:paraId="36B87D35">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②女性身高165CM以上，男性身高173CM以上形象好，气质佳</w:t>
            </w:r>
            <w:r>
              <w:rPr>
                <w:rFonts w:hint="eastAsia" w:asciiTheme="minorEastAsia" w:hAnsiTheme="minorEastAsia" w:eastAsiaTheme="minorEastAsia" w:cstheme="minorEastAsia"/>
                <w:sz w:val="24"/>
                <w:szCs w:val="24"/>
                <w:highlight w:val="none"/>
                <w:lang w:eastAsia="zh-CN"/>
              </w:rPr>
              <w:t>；</w:t>
            </w:r>
          </w:p>
          <w:p w14:paraId="55FA6100">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③具备良好的沟通表达能力和亲和力，熟悉接待礼仪和流程。</w:t>
            </w:r>
          </w:p>
          <w:p w14:paraId="16FCB6DC">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④熟练操作办公软件（尤其Excel），能规范填写各类服务表格；</w:t>
            </w:r>
          </w:p>
          <w:p w14:paraId="79E8C7B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highlight w:val="none"/>
              </w:rPr>
              <w:t>⑤普通话流利，观察力强，有良好的服务意识和应急处理能力。</w:t>
            </w:r>
          </w:p>
        </w:tc>
      </w:tr>
    </w:tbl>
    <w:p w14:paraId="7CC3092B">
      <w:pPr>
        <w:pageBreakBefore w:val="0"/>
        <w:widowControl/>
        <w:kinsoku/>
        <w:wordWrap/>
        <w:overflowPunct/>
        <w:topLinePunct w:val="0"/>
        <w:autoSpaceDE/>
        <w:bidi w:val="0"/>
        <w:adjustRightInd/>
        <w:snapToGrid w:val="0"/>
        <w:spacing w:before="156" w:line="360" w:lineRule="atLeast"/>
        <w:ind w:firstLine="482" w:firstLineChars="200"/>
        <w:jc w:val="left"/>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3.4.2</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岗位职责与素质要求仅作为素质模版，具体岗位配置以实际对项目的岗位评估为准</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w:t>
      </w:r>
    </w:p>
    <w:p w14:paraId="7BC4DF66">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培训</w:t>
      </w:r>
    </w:p>
    <w:p w14:paraId="50AF1B15">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乙方应该独立完成本项目配备人员的岗位培训，并确保各个岗位的人员符合该岗位要求的专业资质。</w:t>
      </w:r>
    </w:p>
    <w:p w14:paraId="6EED8F68">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人员流动率</w:t>
      </w:r>
    </w:p>
    <w:p w14:paraId="1256DCB0">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乙方安排人员所有通过面试人员在通过面试后的2个月内为试用期，未通过试用须更换该岗位人员。项目人员缺编率超过10%需提前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书面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知会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；关键岗位更换前，须提前1个月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书面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并由甲方</w:t>
      </w:r>
      <w:r>
        <w:rPr>
          <w:rFonts w:hint="default" w:asciiTheme="minorEastAsia" w:hAnsiTheme="minorEastAsia" w:eastAsiaTheme="minorEastAsia" w:cstheme="minorEastAsia"/>
          <w:color w:val="000000" w:themeColor="text1"/>
          <w:sz w:val="24"/>
          <w:szCs w:val="24"/>
          <w:highlight w:val="none"/>
          <w:lang w:val="en-US"/>
          <w14:textFill>
            <w14:solidFill>
              <w14:schemeClr w14:val="tx1"/>
            </w14:solidFill>
          </w14:textFill>
        </w:rPr>
        <w:t>面试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面试及试用评估结果需要保留甲方确认的纸件备查。</w:t>
      </w:r>
    </w:p>
    <w:p w14:paraId="6393418C">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7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合规性</w:t>
      </w:r>
    </w:p>
    <w:p w14:paraId="31E5C77A">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乙方将确保自己员工和服务商，无论在任何甲方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场所及设施，1）遵守所有设施，国家、地方关于健康、安全的法律法规。当其员工在甲方设施进行工作时，应保证他们的工作不影响甲方人员和设施设备的安全性，甲方公司或其客户的便利性；2）遵守甲方关于个人职业操守的合理要求。此外，乙方应保留所有的可记录伤害或疾病记录，并根据甲方合理要求提供，以便甲方了解情况，规避风险。</w:t>
      </w:r>
    </w:p>
    <w:p w14:paraId="19EB4EC4">
      <w:pPr>
        <w:pageBreakBefore w:val="0"/>
        <w:widowControl/>
        <w:suppressLineNumbers w:val="0"/>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8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无论</w:t>
      </w:r>
      <w:r>
        <w:rPr>
          <w:rFonts w:hint="eastAsia" w:asciiTheme="minorEastAsia" w:hAnsiTheme="minorEastAsia" w:eastAsiaTheme="minorEastAsia" w:cstheme="minorEastAsia"/>
          <w:sz w:val="24"/>
          <w:szCs w:val="24"/>
          <w:highlight w:val="none"/>
        </w:rPr>
        <w:t>因</w:t>
      </w:r>
      <w:r>
        <w:rPr>
          <w:rFonts w:hint="eastAsia" w:asciiTheme="minorEastAsia" w:hAnsiTheme="minorEastAsia" w:eastAsiaTheme="minorEastAsia" w:cstheme="minorEastAsia"/>
          <w:sz w:val="24"/>
          <w:szCs w:val="24"/>
          <w:highlight w:val="none"/>
          <w:lang w:val="en-US" w:eastAsia="zh-CN"/>
        </w:rPr>
        <w:t>何种</w:t>
      </w:r>
      <w:r>
        <w:rPr>
          <w:rFonts w:hint="eastAsia" w:asciiTheme="minorEastAsia" w:hAnsiTheme="minorEastAsia" w:eastAsiaTheme="minorEastAsia" w:cstheme="minorEastAsia"/>
          <w:sz w:val="24"/>
          <w:szCs w:val="24"/>
          <w:highlight w:val="none"/>
        </w:rPr>
        <w:t>原因</w:t>
      </w:r>
      <w:r>
        <w:rPr>
          <w:rFonts w:hint="eastAsia" w:asciiTheme="minorEastAsia" w:hAnsiTheme="minorEastAsia" w:eastAsiaTheme="minorEastAsia" w:cstheme="minorEastAsia"/>
          <w:sz w:val="24"/>
          <w:szCs w:val="24"/>
          <w:highlight w:val="none"/>
          <w:lang w:bidi="ar"/>
        </w:rPr>
        <w:t>导致乙方解除或终止与项目员工的劳动合同而发生的经济补偿金或赔偿金等费用，均由乙方承担，乙方应与乙方员工签订或续签《劳动合同》,《劳动合同》内容不得违反国家</w:t>
      </w:r>
      <w:r>
        <w:rPr>
          <w:rFonts w:hint="eastAsia" w:asciiTheme="minorEastAsia" w:hAnsiTheme="minorEastAsia" w:eastAsiaTheme="minorEastAsia" w:cstheme="minorEastAsia"/>
          <w:sz w:val="24"/>
          <w:szCs w:val="24"/>
          <w:highlight w:val="none"/>
          <w:lang w:eastAsia="zh-CN" w:bidi="ar"/>
        </w:rPr>
        <w:t>法律法规</w:t>
      </w:r>
      <w:r>
        <w:rPr>
          <w:rFonts w:hint="eastAsia" w:asciiTheme="minorEastAsia" w:hAnsiTheme="minorEastAsia" w:eastAsiaTheme="minorEastAsia" w:cstheme="minorEastAsia"/>
          <w:sz w:val="24"/>
          <w:szCs w:val="24"/>
          <w:highlight w:val="none"/>
          <w:lang w:bidi="ar"/>
        </w:rPr>
        <w:t>，提供一切法律规定的劳动条件和保障，如因乙方未妥善处理其与员工造成甲方被追诉的，产生的责任和费用均由乙方自行承担。</w:t>
      </w:r>
    </w:p>
    <w:p w14:paraId="568C6E0F">
      <w:pPr>
        <w:pageBreakBefore w:val="0"/>
        <w:widowControl/>
        <w:kinsoku/>
        <w:wordWrap/>
        <w:overflowPunct/>
        <w:topLinePunct w:val="0"/>
        <w:autoSpaceDE/>
        <w:bidi w:val="0"/>
        <w:adjustRightInd/>
        <w:snapToGrid w:val="0"/>
        <w:spacing w:line="360" w:lineRule="atLeast"/>
        <w:ind w:firstLine="482" w:firstLineChars="200"/>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z w:val="24"/>
          <w:szCs w:val="24"/>
          <w:highlight w:val="none"/>
          <w:lang w:val="en-US" w:eastAsia="zh-CN" w:bidi="ar"/>
        </w:rPr>
        <w:t xml:space="preserve">第四条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沟通与关系管理</w:t>
      </w:r>
    </w:p>
    <w:p w14:paraId="1EB8622E">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 例会制度</w:t>
      </w:r>
    </w:p>
    <w:p w14:paraId="2B8A7434">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周例会、月度例会（一般由项目礼宾司以上人员参加，根据项目的频次，区域首席每月应至少参与一次项目例会）在各个层面，特别是执行层面，甲乙双方将通过例会进行日常的工作信息交流和就系统性的问题提出解决方案。</w:t>
      </w:r>
    </w:p>
    <w:p w14:paraId="4E5B87EA">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乙方应在例会上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甲方汇报月度重点工作计划（年度重点计划）及计划完成总结，并根据甲方的发展战略做出调整。</w:t>
      </w:r>
    </w:p>
    <w:p w14:paraId="2813CC91">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 报告</w:t>
      </w:r>
    </w:p>
    <w:p w14:paraId="20B0031A">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针对典型的服务事件或者是事故，乙方有责任通过书面报告在事后进行总结汇报， 并提出针对类似问题的长期管理方法。</w:t>
      </w:r>
    </w:p>
    <w:p w14:paraId="2C99F8ED">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4.3工作记录</w:t>
      </w:r>
    </w:p>
    <w:p w14:paraId="7EE6320A">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服务线应该如实做好各个岗位的工作记录，包括并不限于前台岗位的来访人员登记、会议室巡查记录、故障报修记录等等，所有这些记录将根据重要性保存半个月到2年；乙方将尊重甲方进入乙方的工作场所进行抽查权利。</w:t>
      </w:r>
    </w:p>
    <w:p w14:paraId="4EB956F6">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4.4信息同步</w:t>
      </w:r>
    </w:p>
    <w:p w14:paraId="1D0D2298">
      <w:pPr>
        <w:pageBreakBefore w:val="0"/>
        <w:widowControl/>
        <w:numPr>
          <w:ilvl w:val="-1"/>
          <w:numId w:val="0"/>
        </w:numPr>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乙方应将工作重要信息（重要接待、风险、危机、关系处理、架构调整、工作汇报、外接、新接或工作界面变更等工作）与客户方专项沟通及时与项目沟通及知会；</w:t>
      </w:r>
    </w:p>
    <w:p w14:paraId="023053F7">
      <w:pPr>
        <w:pageBreakBefore w:val="0"/>
        <w:widowControl/>
        <w:numPr>
          <w:ilvl w:val="-1"/>
          <w:numId w:val="0"/>
        </w:numPr>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项目经邮件正式告知礼宾需礼宾协同开展的工作，礼宾应按时间节点反馈完成情况；项目或甲方需要的报告、数据等，与客户方沟通的专项工作应及时反馈项目。</w:t>
      </w:r>
    </w:p>
    <w:p w14:paraId="7001B9FC">
      <w:pPr>
        <w:pageBreakBefore w:val="0"/>
        <w:widowControl/>
        <w:numPr>
          <w:ilvl w:val="0"/>
          <w:numId w:val="0"/>
        </w:numPr>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4.5 非正式沟通渠道</w:t>
      </w:r>
    </w:p>
    <w:p w14:paraId="5754E776">
      <w:pPr>
        <w:pageBreakBefore w:val="0"/>
        <w:widowControl/>
        <w:numPr>
          <w:ilvl w:val="0"/>
          <w:numId w:val="0"/>
        </w:numPr>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为提高沟通效率，鼓励甲乙双方的营运点执行人员在合作过程中增进互信，通过灵活快捷的方式方法进行沟通，解决一般性问题。</w:t>
      </w:r>
    </w:p>
    <w:p w14:paraId="46BDDA38">
      <w:pPr>
        <w:pageBreakBefore w:val="0"/>
        <w:widowControl/>
        <w:numPr>
          <w:ilvl w:val="0"/>
          <w:numId w:val="0"/>
        </w:numPr>
        <w:kinsoku/>
        <w:wordWrap/>
        <w:overflowPunct/>
        <w:topLinePunct w:val="0"/>
        <w:autoSpaceDE/>
        <w:bidi w:val="0"/>
        <w:adjustRightInd/>
        <w:snapToGrid w:val="0"/>
        <w:spacing w:before="0" w:line="360" w:lineRule="atLeast"/>
        <w:ind w:firstLine="482" w:firstLineChars="200"/>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第五条</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合同开始及期限</w:t>
      </w:r>
    </w:p>
    <w:p w14:paraId="65E8DF0E">
      <w:pPr>
        <w:pageBreakBefore w:val="0"/>
        <w:widowControl/>
        <w:kinsoku/>
        <w:wordWrap/>
        <w:overflowPunct/>
        <w:topLinePunct w:val="0"/>
        <w:autoSpaceDE/>
        <w:bidi w:val="0"/>
        <w:adjustRightInd/>
        <w:snapToGrid w:val="0"/>
        <w:spacing w:before="156"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5.1 本合同有效期自</w:t>
      </w:r>
      <w:r>
        <w:rPr>
          <w:rFonts w:hint="eastAsia" w:asciiTheme="minorEastAsia" w:hAnsiTheme="minorEastAsia" w:eastAsiaTheme="minorEastAsia" w:cstheme="minorEastAsia"/>
          <w:color w:val="000000" w:themeColor="text1"/>
          <w:sz w:val="24"/>
          <w:szCs w:val="24"/>
          <w:highlight w:val="yellow"/>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日至</w:t>
      </w:r>
      <w:r>
        <w:rPr>
          <w:rFonts w:hint="eastAsia" w:asciiTheme="minorEastAsia" w:hAnsiTheme="minorEastAsia" w:eastAsiaTheme="minorEastAsia" w:cstheme="minorEastAsia"/>
          <w:color w:val="000000" w:themeColor="text1"/>
          <w:sz w:val="24"/>
          <w:szCs w:val="24"/>
          <w:highlight w:val="yellow"/>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日止。</w:t>
      </w:r>
    </w:p>
    <w:p w14:paraId="5C8D1079">
      <w:pPr>
        <w:pageBreakBefore w:val="0"/>
        <w:widowControl/>
        <w:kinsoku/>
        <w:wordWrap/>
        <w:overflowPunct/>
        <w:topLinePunct w:val="0"/>
        <w:autoSpaceDE/>
        <w:bidi w:val="0"/>
        <w:adjustRightInd/>
        <w:snapToGrid w:val="0"/>
        <w:spacing w:line="360" w:lineRule="atLeast"/>
        <w:ind w:firstLine="482" w:firstLineChars="200"/>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第六条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服务费用及支付</w:t>
      </w:r>
    </w:p>
    <w:p w14:paraId="10A31A6D">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6.1本合同的年度物业服务费（含税）：暂定总价为人民币：</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元。本合同为综合单价合同，综合单价包含费用包括但不限于服务工作的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住宿、</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人工综合费用、服装配饰、团建费、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、利润等完成本项目所需的一切费用。合同期限内综合单价不因任何原因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调整。成交服务单位的响应总价为暂定合同总价，报价单所报人数为暂定人数，按响应单位所报综合单价及实际上岗人数进行结算，最终结算金额不超过暂定合同总价。</w:t>
      </w:r>
    </w:p>
    <w:p w14:paraId="18BE9EB1">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服务费用支付：服务费按月度结算。每月度结束后，乙方应根据实际服务情况，向甲方提交上期经双方确认的服务项目明细、费用结算申请及相应的履约报告。甲方根据本合同约定及《业务考核月度评价表》（附件三）对乙方上月服务进行考评。若考评导致发生扣款项,应在当月结算费用中扣除。</w:t>
      </w:r>
    </w:p>
    <w:p w14:paraId="14B94D0B">
      <w:pPr>
        <w:pStyle w:val="5"/>
        <w:pageBreakBefore w:val="0"/>
        <w:kinsoku/>
        <w:wordWrap/>
        <w:overflowPunct/>
        <w:topLinePunct w:val="0"/>
        <w:autoSpaceDE/>
        <w:bidi w:val="0"/>
        <w:adjustRightInd/>
        <w:spacing w:line="360" w:lineRule="atLeast"/>
        <w:ind w:firstLine="480" w:firstLineChars="200"/>
        <w:rPr>
          <w:rFonts w:hint="default" w:eastAsiaTheme="minorEastAsia"/>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6.3每月经双方确认的应付服务费，甲方在收到乙方开具的合法有效等额增值税专用发票后，于次月【10】日前向乙方支付至当月经考评后应付服务费的95%。</w:t>
      </w:r>
    </w:p>
    <w:p w14:paraId="59EC6267">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剩余5%的合同暂定总价部分，将作为履约质量保证金。该保证金金额以暂定总价为计算基数，但最终支付金额将根据本合同期内实际发生的服务费总额的5%进行结算。本合同期限届满后，甲方将根据整个合同期内的履约评价结果（特别是附件三的月度考核及年度综合评价）进行最终结算。甲方应在合同期满且完成最终履约评价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】个工作日内，根据评价结果支付剩余款项。若因乙方原因导致合同提前终止，甲方有权根据已完成的履约评价情况，酌情支付或扣除该部分保证金。</w:t>
      </w:r>
    </w:p>
    <w:p w14:paraId="758BB689">
      <w:pPr>
        <w:keepNext w:val="0"/>
        <w:keepLines w:val="0"/>
        <w:pageBreakBefore w:val="0"/>
        <w:widowControl/>
        <w:suppressLineNumbers w:val="0"/>
        <w:kinsoku/>
        <w:wordWrap/>
        <w:overflowPunct/>
        <w:topLinePunct w:val="0"/>
        <w:autoSpaceDE/>
        <w:bidi w:val="0"/>
        <w:adjustRightInd/>
        <w:spacing w:line="360" w:lineRule="atLeast"/>
        <w:ind w:firstLine="480" w:firstLineChars="200"/>
        <w:jc w:val="left"/>
        <w:rPr>
          <w:highlight w:val="none"/>
        </w:rPr>
      </w:pPr>
      <w:r>
        <w:rPr>
          <w:rFonts w:ascii="宋体" w:hAnsi="宋体" w:eastAsia="宋体" w:cs="宋体"/>
          <w:kern w:val="0"/>
          <w:sz w:val="24"/>
          <w:szCs w:val="24"/>
          <w:highlight w:val="none"/>
          <w:lang w:val="en-US" w:eastAsia="zh-CN" w:bidi="ar"/>
        </w:rPr>
        <w:t>最终结算时，甲方将根据整个合同期内的月度考核平均分，形成年度综合评价得分（满分100分），作为支付剩余5%履约质量保证金的依据：</w:t>
      </w:r>
    </w:p>
    <w:p w14:paraId="38FCF5C4">
      <w:pPr>
        <w:keepNext w:val="0"/>
        <w:keepLines w:val="0"/>
        <w:pageBreakBefore w:val="0"/>
        <w:widowControl/>
        <w:suppressLineNumbers w:val="0"/>
        <w:kinsoku/>
        <w:wordWrap/>
        <w:overflowPunct/>
        <w:topLinePunct w:val="0"/>
        <w:autoSpaceDE/>
        <w:bidi w:val="0"/>
        <w:adjustRightInd/>
        <w:spacing w:line="360" w:lineRule="atLeast"/>
        <w:ind w:firstLine="480" w:firstLineChars="200"/>
        <w:jc w:val="left"/>
        <w:rPr>
          <w:highlight w:val="none"/>
        </w:rPr>
      </w:pPr>
      <w:r>
        <w:rPr>
          <w:rFonts w:hint="eastAsia" w:ascii="宋体" w:hAnsi="宋体" w:eastAsia="宋体" w:cs="宋体"/>
          <w:kern w:val="0"/>
          <w:sz w:val="24"/>
          <w:szCs w:val="24"/>
          <w:highlight w:val="none"/>
          <w:lang w:val="en-US" w:eastAsia="zh-CN" w:bidi="ar"/>
        </w:rPr>
        <w:t>6.4.1</w:t>
      </w:r>
      <w:r>
        <w:rPr>
          <w:rFonts w:ascii="宋体" w:hAnsi="宋体" w:eastAsia="宋体" w:cs="宋体"/>
          <w:kern w:val="0"/>
          <w:sz w:val="24"/>
          <w:szCs w:val="24"/>
          <w:highlight w:val="none"/>
          <w:lang w:val="en-US" w:eastAsia="zh-CN" w:bidi="ar"/>
        </w:rPr>
        <w:t>综合评价得分在90分（含）以上的，甲方应支付剩余5%履约质量保证金的100%；</w:t>
      </w:r>
    </w:p>
    <w:p w14:paraId="14D70B88">
      <w:pPr>
        <w:keepNext w:val="0"/>
        <w:keepLines w:val="0"/>
        <w:pageBreakBefore w:val="0"/>
        <w:widowControl/>
        <w:suppressLineNumbers w:val="0"/>
        <w:kinsoku/>
        <w:wordWrap/>
        <w:overflowPunct/>
        <w:topLinePunct w:val="0"/>
        <w:autoSpaceDE/>
        <w:bidi w:val="0"/>
        <w:adjustRightInd/>
        <w:spacing w:line="360" w:lineRule="atLeast"/>
        <w:ind w:firstLine="480" w:firstLineChars="200"/>
        <w:jc w:val="left"/>
        <w:rPr>
          <w:highlight w:val="none"/>
        </w:rPr>
      </w:pPr>
      <w:r>
        <w:rPr>
          <w:rFonts w:hint="eastAsia" w:ascii="宋体" w:hAnsi="宋体" w:eastAsia="宋体" w:cs="宋体"/>
          <w:kern w:val="0"/>
          <w:sz w:val="24"/>
          <w:szCs w:val="24"/>
          <w:highlight w:val="none"/>
          <w:lang w:val="en-US" w:eastAsia="zh-CN" w:bidi="ar"/>
        </w:rPr>
        <w:t>6.4.2</w:t>
      </w:r>
      <w:r>
        <w:rPr>
          <w:rFonts w:ascii="宋体" w:hAnsi="宋体" w:eastAsia="宋体" w:cs="宋体"/>
          <w:kern w:val="0"/>
          <w:sz w:val="24"/>
          <w:szCs w:val="24"/>
          <w:highlight w:val="none"/>
          <w:lang w:val="en-US" w:eastAsia="zh-CN" w:bidi="ar"/>
        </w:rPr>
        <w:t>综合评价得分在80分（含）至90分的，甲方应支付剩余5%履约质量保证金的【</w:t>
      </w:r>
      <w:r>
        <w:rPr>
          <w:rFonts w:hint="eastAsia" w:ascii="宋体" w:hAnsi="宋体" w:eastAsia="宋体" w:cs="宋体"/>
          <w:kern w:val="0"/>
          <w:sz w:val="24"/>
          <w:szCs w:val="24"/>
          <w:highlight w:val="none"/>
          <w:lang w:val="en-US" w:eastAsia="zh-CN" w:bidi="ar"/>
        </w:rPr>
        <w:t>80</w:t>
      </w:r>
      <w:r>
        <w:rPr>
          <w:rFonts w:ascii="宋体" w:hAnsi="宋体" w:eastAsia="宋体" w:cs="宋体"/>
          <w:kern w:val="0"/>
          <w:sz w:val="24"/>
          <w:szCs w:val="24"/>
          <w:highlight w:val="none"/>
          <w:lang w:val="en-US" w:eastAsia="zh-CN" w:bidi="ar"/>
        </w:rPr>
        <w:t>】%；</w:t>
      </w:r>
    </w:p>
    <w:p w14:paraId="1F422EC8">
      <w:pPr>
        <w:keepNext w:val="0"/>
        <w:keepLines w:val="0"/>
        <w:pageBreakBefore w:val="0"/>
        <w:widowControl/>
        <w:suppressLineNumbers w:val="0"/>
        <w:kinsoku/>
        <w:wordWrap/>
        <w:overflowPunct/>
        <w:topLinePunct w:val="0"/>
        <w:autoSpaceDE/>
        <w:bidi w:val="0"/>
        <w:adjustRightInd/>
        <w:spacing w:line="360" w:lineRule="atLeast"/>
        <w:ind w:firstLine="480" w:firstLineChars="200"/>
        <w:jc w:val="left"/>
        <w:rPr>
          <w:rFonts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6.4.3</w:t>
      </w:r>
      <w:r>
        <w:rPr>
          <w:rFonts w:ascii="宋体" w:hAnsi="宋体" w:eastAsia="宋体" w:cs="宋体"/>
          <w:kern w:val="0"/>
          <w:sz w:val="24"/>
          <w:szCs w:val="24"/>
          <w:highlight w:val="none"/>
          <w:lang w:val="en-US" w:eastAsia="zh-CN" w:bidi="ar"/>
        </w:rPr>
        <w:t>综合评价得分在80分以下的，甲方可不予支付剩余履约质量保证金。具体支付比例由双方在合同附件中另行约定或在每次月度考核中明确。</w:t>
      </w:r>
    </w:p>
    <w:p w14:paraId="2844BD96">
      <w:pPr>
        <w:keepNext w:val="0"/>
        <w:keepLines w:val="0"/>
        <w:pageBreakBefore w:val="0"/>
        <w:widowControl/>
        <w:suppressLineNumbers w:val="0"/>
        <w:kinsoku/>
        <w:wordWrap/>
        <w:overflowPunct/>
        <w:topLinePunct w:val="0"/>
        <w:autoSpaceDE/>
        <w:bidi w:val="0"/>
        <w:adjustRightInd/>
        <w:spacing w:line="360" w:lineRule="atLeast"/>
        <w:ind w:firstLine="480" w:firstLineChars="200"/>
        <w:jc w:val="left"/>
        <w:rPr>
          <w:rFonts w:hint="default"/>
          <w:highlight w:val="none"/>
          <w:lang w:val="en-US" w:eastAsia="zh-CN"/>
        </w:rPr>
      </w:pPr>
      <w:r>
        <w:rPr>
          <w:rFonts w:hint="eastAsia" w:ascii="宋体" w:hAnsi="宋体" w:eastAsia="宋体" w:cs="宋体"/>
          <w:kern w:val="0"/>
          <w:sz w:val="24"/>
          <w:szCs w:val="24"/>
          <w:highlight w:val="none"/>
          <w:lang w:val="en-US" w:eastAsia="zh-CN" w:bidi="ar"/>
        </w:rPr>
        <w:t>6.5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合同期满后【15】个工作日内，甲方应向乙方提供书面的年度综合评价结果。如乙方对该评价结果有异议，应在收到后【5】个工作日内提出书面异议并附相关依据，双方应友好协商解决。若乙方未在规定期限内提出异议，则视为认可该评价结果。甲方应在双方确认最终评价结果或无异议期届满后【10】个工作日内，根据前述约定支付相应款项。</w:t>
      </w:r>
    </w:p>
    <w:p w14:paraId="46713114">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银行账户信息如下，甲方以银行转账的方式将应付款项汇至乙方指定的银行账户。乙方应当按照合同规定如期开具合格等额合法发票，乙方延期开具发票、开具不合格发票或不开具发票的，甲方有权相应延期付款或不付款，但乙方仍应按期履行合同约定的义务。</w:t>
      </w:r>
    </w:p>
    <w:p w14:paraId="5CF6DE4E">
      <w:pPr>
        <w:pageBreakBefore w:val="0"/>
        <w:widowControl/>
        <w:suppressLineNumbers w:val="0"/>
        <w:kinsoku/>
        <w:wordWrap/>
        <w:overflowPunct/>
        <w:topLinePunct w:val="0"/>
        <w:autoSpaceDE/>
        <w:bidi w:val="0"/>
        <w:adjustRightInd/>
        <w:snapToGrid w:val="0"/>
        <w:spacing w:before="0" w:beforeLines="-2147483648" w:after="0" w:afterLines="-2147483648" w:line="360" w:lineRule="atLeast"/>
        <w:ind w:left="0" w:firstLine="480" w:firstLineChars="200"/>
        <w:jc w:val="left"/>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开户银行：</w:t>
      </w:r>
    </w:p>
    <w:p w14:paraId="45B36F8E">
      <w:pPr>
        <w:pageBreakBefore w:val="0"/>
        <w:widowControl/>
        <w:suppressLineNumbers w:val="0"/>
        <w:kinsoku/>
        <w:wordWrap/>
        <w:overflowPunct/>
        <w:topLinePunct w:val="0"/>
        <w:autoSpaceDE/>
        <w:bidi w:val="0"/>
        <w:adjustRightInd/>
        <w:snapToGrid w:val="0"/>
        <w:spacing w:before="0" w:beforeLines="-2147483648" w:after="0" w:afterLines="-2147483648" w:line="360" w:lineRule="atLeast"/>
        <w:ind w:left="0" w:firstLine="480" w:firstLineChars="200"/>
        <w:jc w:val="left"/>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开户名称：</w:t>
      </w:r>
    </w:p>
    <w:p w14:paraId="5A5A5B00">
      <w:pPr>
        <w:pageBreakBefore w:val="0"/>
        <w:widowControl/>
        <w:suppressLineNumbers w:val="0"/>
        <w:kinsoku/>
        <w:wordWrap/>
        <w:overflowPunct/>
        <w:topLinePunct w:val="0"/>
        <w:autoSpaceDE/>
        <w:bidi w:val="0"/>
        <w:adjustRightInd/>
        <w:snapToGrid w:val="0"/>
        <w:spacing w:before="0" w:beforeLines="-2147483648" w:after="0" w:afterLines="-2147483648" w:line="360" w:lineRule="atLeast"/>
        <w:ind w:left="0" w:firstLine="480" w:firstLineChars="200"/>
        <w:jc w:val="left"/>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开户账号：</w:t>
      </w:r>
    </w:p>
    <w:p w14:paraId="6EAC3606">
      <w:pPr>
        <w:pageBreakBefore w:val="0"/>
        <w:widowControl/>
        <w:kinsoku/>
        <w:wordWrap/>
        <w:overflowPunct/>
        <w:topLinePunct w:val="0"/>
        <w:autoSpaceDE/>
        <w:bidi w:val="0"/>
        <w:adjustRightInd/>
        <w:snapToGrid w:val="0"/>
        <w:spacing w:before="0" w:beforeLines="-2147483648" w:after="0" w:afterLines="-2147483648" w:line="360" w:lineRule="atLeast"/>
        <w:ind w:left="0" w:firstLine="482" w:firstLineChars="200"/>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第七条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违约责任</w:t>
      </w:r>
    </w:p>
    <w:p w14:paraId="72829BC3">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7.1 若乙方提供服务不符合本合同要求的，甲方有权要求乙方立即改正，给甲方造成损失的由乙方赔偿，甲方有权从应付服务费中直接扣除，乙方拒不改正或逾期改正的，甲方可解除合同并要求乙方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按</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合同暂定总价1%承担违约金。</w:t>
      </w:r>
    </w:p>
    <w:p w14:paraId="23766BB5">
      <w:pPr>
        <w:pageBreakBefore w:val="0"/>
        <w:widowControl/>
        <w:suppressLineNumbers w:val="0"/>
        <w:kinsoku/>
        <w:wordWrap/>
        <w:overflowPunct/>
        <w:topLinePunct w:val="0"/>
        <w:autoSpaceDE/>
        <w:bidi w:val="0"/>
        <w:adjustRightInd/>
        <w:snapToGrid w:val="0"/>
        <w:spacing w:before="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7.2因乙方或乙方安排的项目人员造成甲方或第三方人身、财产损害的，由乙方负责全部的赔偿责任，如因此造成甲方被投诉/被</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索赔</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甲方有权向乙方追偿。</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甲方可根据事态的程度扣减相应的服务费，情节严重的，甲方有权解除合同并要求乙方赔偿损失。</w:t>
      </w:r>
    </w:p>
    <w:p w14:paraId="3722ADE6">
      <w:pPr>
        <w:pageBreakBefore w:val="0"/>
        <w:widowControl/>
        <w:kinsoku/>
        <w:wordWrap/>
        <w:overflowPunct/>
        <w:topLinePunct w:val="0"/>
        <w:autoSpaceDE/>
        <w:bidi w:val="0"/>
        <w:adjustRightInd/>
        <w:snapToGrid w:val="0"/>
        <w:spacing w:before="0" w:line="360" w:lineRule="atLeast"/>
        <w:ind w:firstLine="482" w:firstLineChars="200"/>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 xml:space="preserve">第八条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其他事项</w:t>
      </w:r>
    </w:p>
    <w:p w14:paraId="6FFA6DB2">
      <w:pPr>
        <w:pStyle w:val="5"/>
        <w:pageBreakBefore w:val="0"/>
        <w:kinsoku/>
        <w:wordWrap/>
        <w:overflowPunct/>
        <w:topLinePunct w:val="0"/>
        <w:autoSpaceDE/>
        <w:bidi w:val="0"/>
        <w:adjustRightInd/>
        <w:spacing w:line="360" w:lineRule="atLeast"/>
        <w:ind w:firstLine="480" w:firstLineChars="200"/>
        <w:rPr>
          <w:rFonts w:hint="default" w:eastAsiaTheme="minorEastAsia"/>
          <w:highlight w:val="none"/>
          <w:lang w:val="en-US" w:eastAsia="zh-CN"/>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8.1</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在合同期满后，乙方应无条件配合</w:t>
      </w:r>
      <w:r>
        <w:rPr>
          <w:rFonts w:hint="eastAsia" w:asciiTheme="minorEastAsia" w:hAnsiTheme="minorEastAsia" w:cstheme="minorEastAsia"/>
          <w:color w:val="000000" w:themeColor="text1"/>
          <w:kern w:val="0"/>
          <w:sz w:val="24"/>
          <w:szCs w:val="24"/>
          <w:highlight w:val="none"/>
          <w:lang w:val="en-US" w:eastAsia="zh-CN" w:bidi="ar-SA"/>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及新的中标供应商，做好服务项目的无缝交接。所有交接手续（含人员培训交接、证件变更手续等）均应在</w:t>
      </w:r>
      <w:r>
        <w:rPr>
          <w:rFonts w:hint="eastAsia" w:asciiTheme="minorEastAsia" w:hAnsiTheme="minorEastAsia" w:cstheme="minorEastAsia"/>
          <w:color w:val="000000" w:themeColor="text1"/>
          <w:kern w:val="0"/>
          <w:sz w:val="24"/>
          <w:szCs w:val="24"/>
          <w:highlight w:val="none"/>
          <w:lang w:val="en-US" w:eastAsia="zh-CN" w:bidi="ar-SA"/>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与新中标供应商签订合同之日起</w:t>
      </w:r>
      <w:r>
        <w:rPr>
          <w:rFonts w:hint="eastAsia" w:asciiTheme="minorEastAsia" w:hAnsiTheme="minorEastAsia" w:cstheme="minorEastAsia"/>
          <w:color w:val="000000" w:themeColor="text1"/>
          <w:kern w:val="0"/>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10</w:t>
      </w:r>
      <w:r>
        <w:rPr>
          <w:rFonts w:hint="eastAsia" w:asciiTheme="minorEastAsia" w:hAnsiTheme="minorEastAsia" w:cstheme="minorEastAsia"/>
          <w:color w:val="000000" w:themeColor="text1"/>
          <w:kern w:val="0"/>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个工作日内全部办理完毕。</w:t>
      </w:r>
    </w:p>
    <w:p w14:paraId="7145DA29">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合同期内，甲方与相关单位或人员签署的《物业管理合同》终止的，本合同自动终止，双方不承担任何责任。</w:t>
      </w:r>
    </w:p>
    <w:p w14:paraId="018AEADD">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其他未尽事宜，由双方协商解决，并可另行签订补充协议。若协商不成，将争议提交深圳市龙岗区人民法院诉讼解决。</w:t>
      </w:r>
    </w:p>
    <w:p w14:paraId="38B81918">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本合同自各方授权代表签字并加盖公章后生效。对本合同任何条款的变更均须以书面形式签署，本合同如有未尽事宜，由双方协商解决或签订补充协议，补充协议与本合同具有同等效力。</w:t>
      </w:r>
    </w:p>
    <w:p w14:paraId="7439158C">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本合同连同附件</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叁</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份，甲方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份，乙方持</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份，并具有同等法律效力，自双方签字盖章之日起生效。</w:t>
      </w:r>
    </w:p>
    <w:p w14:paraId="55851A31">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8.6</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本合同所有附件及补充协议均为本合同之组成部分，具有同等法律效力。</w:t>
      </w:r>
    </w:p>
    <w:p w14:paraId="6996A5A0">
      <w:pPr>
        <w:pageBreakBefore w:val="0"/>
        <w:widowControl/>
        <w:kinsoku/>
        <w:wordWrap/>
        <w:overflowPunct/>
        <w:topLinePunct w:val="0"/>
        <w:autoSpaceDE/>
        <w:bidi w:val="0"/>
        <w:adjustRightInd/>
        <w:snapToGrid w:val="0"/>
        <w:spacing w:before="0" w:after="0" w:line="360" w:lineRule="atLeast"/>
        <w:ind w:firstLine="482" w:firstLineChars="200"/>
        <w:jc w:val="lef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 xml:space="preserve">第九条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合同附件</w:t>
      </w:r>
    </w:p>
    <w:p w14:paraId="39E118B5">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附件一：</w:t>
      </w:r>
      <w:r>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t>组织结构配置方案及岗位说明（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根据中标供应商提供方案为准）</w:t>
      </w:r>
    </w:p>
    <w:p w14:paraId="082A7B68">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附件二：</w:t>
      </w:r>
      <w:r>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t>物业服务内容与标准</w:t>
      </w:r>
    </w:p>
    <w:p w14:paraId="603CD23F">
      <w:pPr>
        <w:pageBreakBefore w:val="0"/>
        <w:widowControl/>
        <w:suppressLineNumbers w:val="0"/>
        <w:kinsoku/>
        <w:wordWrap/>
        <w:overflowPunct/>
        <w:topLinePunct w:val="0"/>
        <w:autoSpaceDE/>
        <w:bidi w:val="0"/>
        <w:adjustRightInd/>
        <w:snapToGrid w:val="0"/>
        <w:spacing w:before="0" w:after="0" w:line="360" w:lineRule="atLeast"/>
        <w:ind w:left="0" w:firstLine="480" w:firstLineChars="200"/>
        <w:jc w:val="left"/>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附件三：业务考核月度评价表（考核结果作为年度合同主要履约评价依据）</w:t>
      </w:r>
    </w:p>
    <w:p w14:paraId="7F9859E8">
      <w:pPr>
        <w:pageBreakBefore w:val="0"/>
        <w:widowControl/>
        <w:suppressLineNumbers w:val="0"/>
        <w:kinsoku/>
        <w:wordWrap/>
        <w:overflowPunct/>
        <w:topLinePunct w:val="0"/>
        <w:autoSpaceDE/>
        <w:bidi w:val="0"/>
        <w:adjustRightInd/>
        <w:snapToGrid w:val="0"/>
        <w:spacing w:before="0" w:after="0" w:line="360" w:lineRule="atLeas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附件四：</w:t>
      </w:r>
      <w:r>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t>服务费用</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报价单</w:t>
      </w:r>
    </w:p>
    <w:p w14:paraId="1A3FE70B">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p w14:paraId="4C346BEB">
      <w:pPr>
        <w:pStyle w:val="5"/>
        <w:pageBreakBefore w:val="0"/>
        <w:kinsoku/>
        <w:wordWrap/>
        <w:overflowPunct/>
        <w:topLinePunct w:val="0"/>
        <w:autoSpaceDE/>
        <w:bidi w:val="0"/>
        <w:adjustRightInd/>
        <w:spacing w:line="360" w:lineRule="atLeast"/>
        <w:rPr>
          <w:rFonts w:hint="eastAsia"/>
          <w:highlight w:val="none"/>
        </w:rPr>
      </w:pPr>
    </w:p>
    <w:p w14:paraId="6B17A98D">
      <w:pPr>
        <w:pageBreakBefore w:val="0"/>
        <w:widowControl/>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（以下无正文）</w:t>
      </w:r>
    </w:p>
    <w:p w14:paraId="758845F8">
      <w:pPr>
        <w:pStyle w:val="5"/>
        <w:pageBreakBefore w:val="0"/>
        <w:kinsoku/>
        <w:wordWrap/>
        <w:overflowPunct/>
        <w:topLinePunct w:val="0"/>
        <w:autoSpaceDE/>
        <w:bidi w:val="0"/>
        <w:adjustRightInd/>
        <w:spacing w:line="360" w:lineRule="atLeast"/>
        <w:rPr>
          <w:rFonts w:hint="eastAsia"/>
          <w:highlight w:val="none"/>
        </w:rPr>
      </w:pPr>
    </w:p>
    <w:tbl>
      <w:tblPr>
        <w:tblStyle w:val="8"/>
        <w:tblW w:w="9039" w:type="dxa"/>
        <w:jc w:val="center"/>
        <w:tblLayout w:type="fixed"/>
        <w:tblCellMar>
          <w:top w:w="0" w:type="dxa"/>
          <w:left w:w="108" w:type="dxa"/>
          <w:bottom w:w="0" w:type="dxa"/>
          <w:right w:w="108" w:type="dxa"/>
        </w:tblCellMar>
      </w:tblPr>
      <w:tblGrid>
        <w:gridCol w:w="1173"/>
        <w:gridCol w:w="3286"/>
        <w:gridCol w:w="1173"/>
        <w:gridCol w:w="3407"/>
      </w:tblGrid>
      <w:tr w14:paraId="4E4F566E">
        <w:tblPrEx>
          <w:tblCellMar>
            <w:top w:w="0" w:type="dxa"/>
            <w:left w:w="108" w:type="dxa"/>
            <w:bottom w:w="0" w:type="dxa"/>
            <w:right w:w="108" w:type="dxa"/>
          </w:tblCellMar>
        </w:tblPrEx>
        <w:trPr>
          <w:trHeight w:val="442" w:hRule="atLeast"/>
          <w:jc w:val="center"/>
        </w:trPr>
        <w:tc>
          <w:tcPr>
            <w:tcW w:w="1173" w:type="dxa"/>
            <w:tcBorders>
              <w:top w:val="dotted" w:color="000000" w:sz="4" w:space="0"/>
              <w:left w:val="dotted" w:color="000000" w:sz="4" w:space="0"/>
              <w:bottom w:val="dotted" w:color="000000" w:sz="4" w:space="0"/>
              <w:right w:val="dotted" w:color="000000" w:sz="4" w:space="0"/>
            </w:tcBorders>
            <w:vAlign w:val="center"/>
          </w:tcPr>
          <w:p w14:paraId="3879B74B">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甲</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方：</w:t>
            </w:r>
          </w:p>
        </w:tc>
        <w:tc>
          <w:tcPr>
            <w:tcW w:w="3286" w:type="dxa"/>
            <w:tcBorders>
              <w:top w:val="dotted" w:color="000000" w:sz="4" w:space="0"/>
              <w:left w:val="nil"/>
              <w:bottom w:val="dotted" w:color="000000" w:sz="4" w:space="0"/>
              <w:right w:val="dotted" w:color="000000" w:sz="4" w:space="0"/>
            </w:tcBorders>
            <w:vAlign w:val="center"/>
          </w:tcPr>
          <w:p w14:paraId="32DD7A20">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73" w:type="dxa"/>
            <w:tcBorders>
              <w:top w:val="dotted" w:color="000000" w:sz="4" w:space="0"/>
              <w:left w:val="nil"/>
              <w:bottom w:val="dotted" w:color="000000" w:sz="4" w:space="0"/>
              <w:right w:val="dotted" w:color="000000" w:sz="4" w:space="0"/>
            </w:tcBorders>
            <w:vAlign w:val="center"/>
          </w:tcPr>
          <w:p w14:paraId="3D981BBD">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方：</w:t>
            </w:r>
          </w:p>
        </w:tc>
        <w:tc>
          <w:tcPr>
            <w:tcW w:w="3407" w:type="dxa"/>
            <w:tcBorders>
              <w:top w:val="dotted" w:color="000000" w:sz="4" w:space="0"/>
              <w:left w:val="nil"/>
              <w:bottom w:val="dotted" w:color="000000" w:sz="4" w:space="0"/>
              <w:right w:val="dotted" w:color="000000" w:sz="4" w:space="0"/>
            </w:tcBorders>
            <w:vAlign w:val="center"/>
          </w:tcPr>
          <w:p w14:paraId="35DB108F">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tc>
      </w:tr>
      <w:tr w14:paraId="3C0105EB">
        <w:tblPrEx>
          <w:tblCellMar>
            <w:top w:w="0" w:type="dxa"/>
            <w:left w:w="108" w:type="dxa"/>
            <w:bottom w:w="0" w:type="dxa"/>
            <w:right w:w="108" w:type="dxa"/>
          </w:tblCellMar>
        </w:tblPrEx>
        <w:trPr>
          <w:trHeight w:val="2279" w:hRule="atLeast"/>
          <w:jc w:val="center"/>
        </w:trPr>
        <w:tc>
          <w:tcPr>
            <w:tcW w:w="1173" w:type="dxa"/>
            <w:tcBorders>
              <w:top w:val="dotted" w:color="000000" w:sz="4" w:space="0"/>
              <w:left w:val="dotted" w:color="000000" w:sz="4" w:space="0"/>
              <w:bottom w:val="dotted" w:color="000000" w:sz="4" w:space="0"/>
              <w:right w:val="dotted" w:color="000000" w:sz="4" w:space="0"/>
            </w:tcBorders>
            <w:vAlign w:val="center"/>
          </w:tcPr>
          <w:p w14:paraId="61D0CC91">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（公</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章</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p>
        </w:tc>
        <w:tc>
          <w:tcPr>
            <w:tcW w:w="3286" w:type="dxa"/>
            <w:tcBorders>
              <w:top w:val="dotted" w:color="000000" w:sz="4" w:space="0"/>
              <w:left w:val="nil"/>
              <w:bottom w:val="dotted" w:color="000000" w:sz="4" w:space="0"/>
              <w:right w:val="dotted" w:color="000000" w:sz="4" w:space="0"/>
            </w:tcBorders>
            <w:vAlign w:val="center"/>
          </w:tcPr>
          <w:p w14:paraId="79B23EB5">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tc>
        <w:tc>
          <w:tcPr>
            <w:tcW w:w="1173" w:type="dxa"/>
            <w:tcBorders>
              <w:top w:val="dotted" w:color="000000" w:sz="4" w:space="0"/>
              <w:left w:val="nil"/>
              <w:bottom w:val="dotted" w:color="000000" w:sz="4" w:space="0"/>
              <w:right w:val="dotted" w:color="000000" w:sz="4" w:space="0"/>
            </w:tcBorders>
            <w:vAlign w:val="center"/>
          </w:tcPr>
          <w:p w14:paraId="5B0A44C0">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（公</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章</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p>
        </w:tc>
        <w:tc>
          <w:tcPr>
            <w:tcW w:w="3407" w:type="dxa"/>
            <w:tcBorders>
              <w:top w:val="dotted" w:color="000000" w:sz="4" w:space="0"/>
              <w:left w:val="nil"/>
              <w:bottom w:val="dotted" w:color="000000" w:sz="4" w:space="0"/>
              <w:right w:val="dotted" w:color="000000" w:sz="4" w:space="0"/>
            </w:tcBorders>
            <w:vAlign w:val="center"/>
          </w:tcPr>
          <w:p w14:paraId="23E04AC4">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tc>
      </w:tr>
      <w:tr w14:paraId="381481D1">
        <w:tblPrEx>
          <w:tblCellMar>
            <w:top w:w="0" w:type="dxa"/>
            <w:left w:w="108" w:type="dxa"/>
            <w:bottom w:w="0" w:type="dxa"/>
            <w:right w:w="108" w:type="dxa"/>
          </w:tblCellMar>
        </w:tblPrEx>
        <w:trPr>
          <w:trHeight w:val="870" w:hRule="atLeast"/>
          <w:jc w:val="center"/>
        </w:trPr>
        <w:tc>
          <w:tcPr>
            <w:tcW w:w="1173" w:type="dxa"/>
            <w:tcBorders>
              <w:top w:val="dotted" w:color="000000" w:sz="4" w:space="0"/>
              <w:left w:val="dotted" w:color="000000" w:sz="4" w:space="0"/>
              <w:bottom w:val="dotted" w:color="000000" w:sz="4" w:space="0"/>
              <w:right w:val="dotted" w:color="000000" w:sz="4" w:space="0"/>
            </w:tcBorders>
            <w:vAlign w:val="center"/>
          </w:tcPr>
          <w:p w14:paraId="3128CE58">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法定代表人或委托人签字：</w:t>
            </w:r>
          </w:p>
        </w:tc>
        <w:tc>
          <w:tcPr>
            <w:tcW w:w="3286" w:type="dxa"/>
            <w:tcBorders>
              <w:top w:val="dotted" w:color="000000" w:sz="4" w:space="0"/>
              <w:left w:val="nil"/>
              <w:bottom w:val="dotted" w:color="000000" w:sz="4" w:space="0"/>
              <w:right w:val="dotted" w:color="000000" w:sz="4" w:space="0"/>
            </w:tcBorders>
            <w:vAlign w:val="center"/>
          </w:tcPr>
          <w:p w14:paraId="28B3262F">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tc>
        <w:tc>
          <w:tcPr>
            <w:tcW w:w="1173" w:type="dxa"/>
            <w:tcBorders>
              <w:top w:val="dotted" w:color="000000" w:sz="4" w:space="0"/>
              <w:left w:val="nil"/>
              <w:bottom w:val="dotted" w:color="000000" w:sz="4" w:space="0"/>
              <w:right w:val="dotted" w:color="000000" w:sz="4" w:space="0"/>
            </w:tcBorders>
            <w:vAlign w:val="center"/>
          </w:tcPr>
          <w:p w14:paraId="15495E63">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法定代表人或委托人签字：</w:t>
            </w:r>
          </w:p>
        </w:tc>
        <w:tc>
          <w:tcPr>
            <w:tcW w:w="3407" w:type="dxa"/>
            <w:tcBorders>
              <w:top w:val="dotted" w:color="000000" w:sz="4" w:space="0"/>
              <w:left w:val="nil"/>
              <w:bottom w:val="dotted" w:color="000000" w:sz="4" w:space="0"/>
              <w:right w:val="dotted" w:color="000000" w:sz="4" w:space="0"/>
            </w:tcBorders>
            <w:vAlign w:val="center"/>
          </w:tcPr>
          <w:p w14:paraId="7137499B">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tc>
      </w:tr>
      <w:tr w14:paraId="27AD81A8">
        <w:tblPrEx>
          <w:tblCellMar>
            <w:top w:w="0" w:type="dxa"/>
            <w:left w:w="108" w:type="dxa"/>
            <w:bottom w:w="0" w:type="dxa"/>
            <w:right w:w="108" w:type="dxa"/>
          </w:tblCellMar>
        </w:tblPrEx>
        <w:trPr>
          <w:trHeight w:val="738" w:hRule="atLeast"/>
          <w:jc w:val="center"/>
        </w:trPr>
        <w:tc>
          <w:tcPr>
            <w:tcW w:w="1173" w:type="dxa"/>
            <w:tcBorders>
              <w:top w:val="dotted" w:color="000000" w:sz="4" w:space="0"/>
              <w:left w:val="dotted" w:color="000000" w:sz="4" w:space="0"/>
              <w:bottom w:val="dotted" w:color="000000" w:sz="4" w:space="0"/>
              <w:right w:val="dotted" w:color="000000" w:sz="4" w:space="0"/>
            </w:tcBorders>
            <w:vAlign w:val="center"/>
          </w:tcPr>
          <w:p w14:paraId="63F623EF">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签署日期：</w:t>
            </w:r>
          </w:p>
        </w:tc>
        <w:tc>
          <w:tcPr>
            <w:tcW w:w="3286" w:type="dxa"/>
            <w:tcBorders>
              <w:top w:val="dotted" w:color="000000" w:sz="4" w:space="0"/>
              <w:left w:val="nil"/>
              <w:bottom w:val="dotted" w:color="000000" w:sz="4" w:space="0"/>
              <w:right w:val="dotted" w:color="000000" w:sz="4" w:space="0"/>
            </w:tcBorders>
            <w:vAlign w:val="center"/>
          </w:tcPr>
          <w:p w14:paraId="614410E3">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年    月    日</w:t>
            </w:r>
          </w:p>
        </w:tc>
        <w:tc>
          <w:tcPr>
            <w:tcW w:w="1173" w:type="dxa"/>
            <w:tcBorders>
              <w:top w:val="dotted" w:color="000000" w:sz="4" w:space="0"/>
              <w:left w:val="nil"/>
              <w:bottom w:val="dotted" w:color="000000" w:sz="4" w:space="0"/>
              <w:right w:val="dotted" w:color="000000" w:sz="4" w:space="0"/>
            </w:tcBorders>
            <w:vAlign w:val="center"/>
          </w:tcPr>
          <w:p w14:paraId="11CC0174">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签署日期：</w:t>
            </w:r>
          </w:p>
        </w:tc>
        <w:tc>
          <w:tcPr>
            <w:tcW w:w="3407" w:type="dxa"/>
            <w:tcBorders>
              <w:top w:val="dotted" w:color="000000" w:sz="4" w:space="0"/>
              <w:left w:val="nil"/>
              <w:bottom w:val="dotted" w:color="000000" w:sz="4" w:space="0"/>
              <w:right w:val="dotted" w:color="000000" w:sz="4" w:space="0"/>
            </w:tcBorders>
            <w:vAlign w:val="center"/>
          </w:tcPr>
          <w:p w14:paraId="248632F8">
            <w:pPr>
              <w:pageBreakBefore w:val="0"/>
              <w:widowControl/>
              <w:kinsoku/>
              <w:wordWrap/>
              <w:overflowPunct/>
              <w:topLinePunct w:val="0"/>
              <w:autoSpaceDE/>
              <w:bidi w:val="0"/>
              <w:adjustRightInd/>
              <w:spacing w:line="360" w:lineRule="atLeas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年    月    日</w:t>
            </w:r>
          </w:p>
        </w:tc>
      </w:tr>
    </w:tbl>
    <w:p w14:paraId="5BB5D6FA">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93194F1">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附件一：</w:t>
      </w:r>
      <w: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t>组织结构配置方案及岗位说明</w:t>
      </w:r>
    </w:p>
    <w:p w14:paraId="5FA70776">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sectPr>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根据中标供应商提供方案为准）</w:t>
      </w:r>
    </w:p>
    <w:p w14:paraId="6950168B">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附件二：</w:t>
      </w:r>
      <w: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t>物业服务内容与标准</w:t>
      </w:r>
    </w:p>
    <w:tbl>
      <w:tblPr>
        <w:tblStyle w:val="9"/>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5670"/>
        <w:gridCol w:w="3276"/>
      </w:tblGrid>
      <w:tr w14:paraId="312C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78" w:type="dxa"/>
          </w:tcPr>
          <w:p w14:paraId="206DA8AE">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项目</w:t>
            </w:r>
          </w:p>
        </w:tc>
        <w:tc>
          <w:tcPr>
            <w:tcW w:w="5670" w:type="dxa"/>
          </w:tcPr>
          <w:p w14:paraId="7991FB2D">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需求内容</w:t>
            </w:r>
          </w:p>
        </w:tc>
        <w:tc>
          <w:tcPr>
            <w:tcW w:w="3276" w:type="dxa"/>
          </w:tcPr>
          <w:p w14:paraId="7F7CE747">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达到标准</w:t>
            </w:r>
          </w:p>
        </w:tc>
      </w:tr>
      <w:tr w14:paraId="0BCB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678" w:type="dxa"/>
            <w:vMerge w:val="restart"/>
            <w:vAlign w:val="center"/>
          </w:tcPr>
          <w:p w14:paraId="1632E8B6">
            <w:pPr>
              <w:pStyle w:val="13"/>
              <w:pageBreakBefore w:val="0"/>
              <w:kinsoku/>
              <w:wordWrap/>
              <w:overflowPunct/>
              <w:topLinePunct w:val="0"/>
              <w:autoSpaceDE/>
              <w:bidi w:val="0"/>
              <w:adjustRightInd/>
              <w:snapToGrid w:val="0"/>
              <w:spacing w:before="156" w:after="156" w:line="360" w:lineRule="atLeast"/>
              <w:ind w:left="0" w:firstLine="0"/>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大堂礼宾服务</w:t>
            </w:r>
          </w:p>
        </w:tc>
        <w:tc>
          <w:tcPr>
            <w:tcW w:w="5670" w:type="dxa"/>
            <w:vAlign w:val="center"/>
          </w:tcPr>
          <w:p w14:paraId="5A095FB7">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1、晨迎礼遇服务：时刻保持微笑服务及良好的服务态度接待每一位客人</w:t>
            </w:r>
            <w:r>
              <w:rPr>
                <w:rFonts w:hint="eastAsia" w:asciiTheme="minorEastAsia" w:hAnsiTheme="minorEastAsia" w:eastAsiaTheme="minorEastAsia" w:cstheme="minorEastAsia"/>
                <w:sz w:val="24"/>
                <w:szCs w:val="24"/>
                <w:highlight w:val="none"/>
                <w:lang w:eastAsia="zh-CN"/>
              </w:rPr>
              <w:t>。</w:t>
            </w:r>
          </w:p>
        </w:tc>
        <w:tc>
          <w:tcPr>
            <w:tcW w:w="3276" w:type="dxa"/>
            <w:vAlign w:val="center"/>
          </w:tcPr>
          <w:p w14:paraId="45F83A01">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客户服务满意度98%</w:t>
            </w:r>
          </w:p>
        </w:tc>
      </w:tr>
      <w:tr w14:paraId="6B94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678" w:type="dxa"/>
            <w:vMerge w:val="continue"/>
            <w:vAlign w:val="center"/>
          </w:tcPr>
          <w:p w14:paraId="57978D1C">
            <w:pPr>
              <w:pStyle w:val="13"/>
              <w:pageBreakBefore w:val="0"/>
              <w:kinsoku/>
              <w:wordWrap/>
              <w:overflowPunct/>
              <w:topLinePunct w:val="0"/>
              <w:autoSpaceDE/>
              <w:bidi w:val="0"/>
              <w:adjustRightInd/>
              <w:snapToGrid w:val="0"/>
              <w:spacing w:before="156" w:after="156" w:line="360" w:lineRule="atLeast"/>
              <w:ind w:left="0" w:firstLine="0"/>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p>
        </w:tc>
        <w:tc>
          <w:tcPr>
            <w:tcW w:w="5670" w:type="dxa"/>
            <w:vAlign w:val="center"/>
          </w:tcPr>
          <w:p w14:paraId="20BA197F">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2、来访接待登记服务：负责来人来访登记工作，协作安管部大堂区域出入人员管理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以及</w:t>
            </w:r>
            <w:r>
              <w:rPr>
                <w:rFonts w:hint="eastAsia" w:asciiTheme="minorEastAsia" w:hAnsiTheme="minorEastAsia" w:eastAsiaTheme="minorEastAsia" w:cstheme="minorEastAsia"/>
                <w:sz w:val="24"/>
                <w:szCs w:val="24"/>
                <w:highlight w:val="none"/>
              </w:rPr>
              <w:t>求助、报修、建议、导向咨询、质疑投诉、与业主的沟通、无偿服务和有偿服务的接待等各类信息的收集和反馈工作，并及时处理，有回访制度和记录。</w:t>
            </w:r>
          </w:p>
        </w:tc>
        <w:tc>
          <w:tcPr>
            <w:tcW w:w="3276" w:type="dxa"/>
            <w:vAlign w:val="center"/>
          </w:tcPr>
          <w:p w14:paraId="4B2DA9A8">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现场抽查信息记录准确完整，达到98%</w:t>
            </w:r>
          </w:p>
        </w:tc>
      </w:tr>
      <w:tr w14:paraId="26C5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78" w:type="dxa"/>
            <w:vMerge w:val="continue"/>
            <w:vAlign w:val="center"/>
          </w:tcPr>
          <w:p w14:paraId="43881208">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vAlign w:val="center"/>
          </w:tcPr>
          <w:p w14:paraId="40491795">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3、电梯指引服务：负责高峰期时段（早、中、晚）电梯指引和疏导服务。</w:t>
            </w:r>
          </w:p>
        </w:tc>
        <w:tc>
          <w:tcPr>
            <w:tcW w:w="3276" w:type="dxa"/>
            <w:vAlign w:val="center"/>
          </w:tcPr>
          <w:p w14:paraId="67266BC4">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客户服务满意度98%</w:t>
            </w:r>
          </w:p>
        </w:tc>
      </w:tr>
      <w:tr w14:paraId="0670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78" w:type="dxa"/>
            <w:vMerge w:val="continue"/>
            <w:vAlign w:val="center"/>
          </w:tcPr>
          <w:p w14:paraId="10C211F5">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vAlign w:val="center"/>
          </w:tcPr>
          <w:p w14:paraId="4C9E6A0F">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4、个性化服务：礼宾服务（雨具借用、问询指引、电话转接、应急药品等无偿提供、免费借用服务）</w:t>
            </w:r>
            <w:r>
              <w:rPr>
                <w:rFonts w:hint="eastAsia" w:asciiTheme="minorEastAsia" w:hAnsiTheme="minorEastAsia" w:eastAsiaTheme="minorEastAsia" w:cstheme="minorEastAsia"/>
                <w:sz w:val="24"/>
                <w:szCs w:val="24"/>
                <w:highlight w:val="none"/>
                <w:lang w:eastAsia="zh-CN"/>
              </w:rPr>
              <w:t>。</w:t>
            </w:r>
          </w:p>
        </w:tc>
        <w:tc>
          <w:tcPr>
            <w:tcW w:w="3276" w:type="dxa"/>
            <w:vAlign w:val="center"/>
          </w:tcPr>
          <w:p w14:paraId="51C5708C">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礼仪服务标准达标98%；</w:t>
            </w:r>
          </w:p>
        </w:tc>
      </w:tr>
      <w:tr w14:paraId="55E4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78" w:type="dxa"/>
            <w:vMerge w:val="continue"/>
            <w:vAlign w:val="center"/>
          </w:tcPr>
          <w:p w14:paraId="78427E78">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vAlign w:val="center"/>
          </w:tcPr>
          <w:p w14:paraId="65DD968E">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5、物品转交、寄存服务</w:t>
            </w:r>
            <w:r>
              <w:rPr>
                <w:rFonts w:hint="eastAsia" w:asciiTheme="minorEastAsia" w:hAnsiTheme="minorEastAsia" w:eastAsiaTheme="minorEastAsia" w:cstheme="minorEastAsia"/>
                <w:sz w:val="24"/>
                <w:szCs w:val="24"/>
                <w:highlight w:val="none"/>
                <w:lang w:eastAsia="zh-CN"/>
              </w:rPr>
              <w:t>。</w:t>
            </w:r>
          </w:p>
        </w:tc>
        <w:tc>
          <w:tcPr>
            <w:tcW w:w="3276" w:type="dxa"/>
            <w:vAlign w:val="center"/>
          </w:tcPr>
          <w:p w14:paraId="3AFCA823">
            <w:pPr>
              <w:pStyle w:val="13"/>
              <w:pageBreakBefore w:val="0"/>
              <w:kinsoku/>
              <w:wordWrap/>
              <w:overflowPunct/>
              <w:topLinePunct w:val="0"/>
              <w:autoSpaceDE/>
              <w:bidi w:val="0"/>
              <w:adjustRightInd/>
              <w:snapToGrid w:val="0"/>
              <w:spacing w:before="156" w:after="156" w:line="360" w:lineRule="atLeast"/>
              <w:jc w:val="both"/>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访客员工寄存转接物品丢失率为0；</w:t>
            </w:r>
          </w:p>
        </w:tc>
      </w:tr>
      <w:tr w14:paraId="5F08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8" w:type="dxa"/>
            <w:vMerge w:val="continue"/>
            <w:vAlign w:val="center"/>
          </w:tcPr>
          <w:p w14:paraId="40435281">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vAlign w:val="center"/>
          </w:tcPr>
          <w:p w14:paraId="351D8A8E">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6、客户关系维护：协助顺利开展各项社区文化活动及增值服务活动，定期开展客户拜访活动，重点关注客户满意度</w:t>
            </w:r>
            <w:r>
              <w:rPr>
                <w:rFonts w:hint="eastAsia" w:asciiTheme="minorEastAsia" w:hAnsiTheme="minorEastAsia" w:eastAsiaTheme="minorEastAsia" w:cstheme="minorEastAsia"/>
                <w:sz w:val="24"/>
                <w:szCs w:val="24"/>
                <w:highlight w:val="none"/>
                <w:lang w:eastAsia="zh-CN"/>
              </w:rPr>
              <w:t>。</w:t>
            </w:r>
          </w:p>
        </w:tc>
        <w:tc>
          <w:tcPr>
            <w:tcW w:w="3276" w:type="dxa"/>
            <w:vAlign w:val="center"/>
          </w:tcPr>
          <w:p w14:paraId="745E7966">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客户满意度98%</w:t>
            </w:r>
          </w:p>
        </w:tc>
      </w:tr>
      <w:tr w14:paraId="752F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678" w:type="dxa"/>
            <w:vMerge w:val="restart"/>
            <w:vAlign w:val="center"/>
          </w:tcPr>
          <w:p w14:paraId="5585302B">
            <w:pPr>
              <w:pStyle w:val="13"/>
              <w:pageBreakBefore w:val="0"/>
              <w:kinsoku/>
              <w:wordWrap/>
              <w:overflowPunct/>
              <w:topLinePunct w:val="0"/>
              <w:autoSpaceDE/>
              <w:bidi w:val="0"/>
              <w:adjustRightInd/>
              <w:snapToGrid w:val="0"/>
              <w:spacing w:before="156" w:after="156" w:line="360" w:lineRule="atLeast"/>
              <w:ind w:left="0" w:firstLine="0"/>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大堂日常管理</w:t>
            </w:r>
          </w:p>
        </w:tc>
        <w:tc>
          <w:tcPr>
            <w:tcW w:w="5670" w:type="dxa"/>
          </w:tcPr>
          <w:p w14:paraId="03FB8DA3">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1、环境管理：</w:t>
            </w:r>
            <w:r>
              <w:rPr>
                <w:rFonts w:hint="eastAsia" w:asciiTheme="minorEastAsia" w:hAnsiTheme="minorEastAsia" w:eastAsiaTheme="minorEastAsia" w:cstheme="minorEastAsia"/>
                <w:sz w:val="24"/>
                <w:szCs w:val="24"/>
                <w:highlight w:val="none"/>
                <w:lang w:eastAsia="zh-CN"/>
              </w:rPr>
              <w:t>协助</w:t>
            </w:r>
            <w:r>
              <w:rPr>
                <w:rFonts w:hint="eastAsia" w:asciiTheme="minorEastAsia" w:hAnsiTheme="minorEastAsia" w:eastAsiaTheme="minorEastAsia" w:cstheme="minorEastAsia"/>
                <w:sz w:val="24"/>
                <w:szCs w:val="24"/>
                <w:highlight w:val="none"/>
              </w:rPr>
              <w:t>物业部大堂区域日常巡查（包括绿化、环境、大堂背景音乐等），定期抽查大厦其他公共区域客户接触点服务形象与标准。对不及格项，通知相关部门整改，并记录存档，确保大堂整洁度和舒适度</w:t>
            </w:r>
          </w:p>
        </w:tc>
        <w:tc>
          <w:tcPr>
            <w:tcW w:w="3276" w:type="dxa"/>
            <w:vMerge w:val="restart"/>
            <w:vAlign w:val="center"/>
          </w:tcPr>
          <w:p w14:paraId="7B0FBE64">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内部满意度98%</w:t>
            </w:r>
          </w:p>
        </w:tc>
      </w:tr>
      <w:tr w14:paraId="2AD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678" w:type="dxa"/>
            <w:vMerge w:val="continue"/>
          </w:tcPr>
          <w:p w14:paraId="550EC292">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tcPr>
          <w:p w14:paraId="576B065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2、协助管理：协助大堂工作区域物品摆放、进出工作，并与相关部门知会；协作物业部大堂区域突发事件处理与上报相关部门；协助安管部处理大堂物品放行及核查管理；协助突发事件的处理等</w:t>
            </w:r>
          </w:p>
        </w:tc>
        <w:tc>
          <w:tcPr>
            <w:tcW w:w="3276" w:type="dxa"/>
            <w:vMerge w:val="continue"/>
          </w:tcPr>
          <w:p w14:paraId="0E8D2495">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p>
        </w:tc>
      </w:tr>
      <w:tr w14:paraId="5E1B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678" w:type="dxa"/>
            <w:vMerge w:val="restart"/>
            <w:vAlign w:val="center"/>
          </w:tcPr>
          <w:p w14:paraId="2F3EC3BF">
            <w:pPr>
              <w:pStyle w:val="13"/>
              <w:pageBreakBefore w:val="0"/>
              <w:kinsoku/>
              <w:wordWrap/>
              <w:overflowPunct/>
              <w:topLinePunct w:val="0"/>
              <w:autoSpaceDE/>
              <w:bidi w:val="0"/>
              <w:adjustRightInd/>
              <w:snapToGrid w:val="0"/>
              <w:spacing w:before="156" w:after="156" w:line="360" w:lineRule="atLeast"/>
              <w:ind w:left="0" w:firstLine="0"/>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会务接待</w:t>
            </w:r>
          </w:p>
        </w:tc>
        <w:tc>
          <w:tcPr>
            <w:tcW w:w="5670" w:type="dxa"/>
          </w:tcPr>
          <w:p w14:paraId="58238577">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会前工作：</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负责会务的安排和服务，及时向有关会务管理办公室通报会务安排情况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会议前做好提前确认工作，确保会议如期召开。</w:t>
            </w:r>
          </w:p>
          <w:p w14:paraId="6EB9C684">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及时接收会议信息：时间、会议类型、</w:t>
            </w:r>
            <w:r>
              <w:rPr>
                <w:rFonts w:hint="eastAsia" w:asciiTheme="minorEastAsia" w:hAnsiTheme="minorEastAsia" w:eastAsiaTheme="minorEastAsia" w:cstheme="minorEastAsia"/>
                <w:sz w:val="24"/>
                <w:szCs w:val="24"/>
                <w:highlight w:val="none"/>
                <w:lang w:val="en-US" w:eastAsia="zh-CN"/>
              </w:rPr>
              <w:t>桌椅摆放类型、</w:t>
            </w:r>
            <w:r>
              <w:rPr>
                <w:rFonts w:hint="eastAsia" w:asciiTheme="minorEastAsia" w:hAnsiTheme="minorEastAsia" w:eastAsiaTheme="minorEastAsia" w:cstheme="minorEastAsia"/>
                <w:sz w:val="24"/>
                <w:szCs w:val="24"/>
                <w:highlight w:val="none"/>
              </w:rPr>
              <w:t>参会领导、人员数量、有无投影和电子设备（笔记本电脑或平板）需求，会标；</w:t>
            </w:r>
          </w:p>
          <w:p w14:paraId="658EA6F5">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常规情况下提前一天预订会议室，记录好预订单位、预订人、会议名称、使用时间、参会人数、会议台型、茶水类型、是否需要投影、音响、签到簿、资料、名牌等摆放工作</w:t>
            </w:r>
          </w:p>
          <w:p w14:paraId="69CF6B71">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准备水牌：打印水牌（核实水牌姓名、公司名称等确保每个字准确无误）摆好水牌位置；</w:t>
            </w:r>
          </w:p>
          <w:p w14:paraId="12E966F3">
            <w:pPr>
              <w:pageBreakBefore w:val="0"/>
              <w:numPr>
                <w:ilvl w:val="0"/>
                <w:numId w:val="0"/>
              </w:numPr>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提前1-2小时将会议室布置完毕,布置会议室同时开窗通风：</w:t>
            </w:r>
          </w:p>
          <w:p w14:paraId="651D667F">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①打开照明、空调、投影、音响等设备；</w:t>
            </w:r>
          </w:p>
          <w:p w14:paraId="5CF8B20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②测试电子设备是否正常使用，话筒音量；</w:t>
            </w:r>
          </w:p>
          <w:p w14:paraId="09CFBA87">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③根据会议需求摆放桌椅、水牌位置；</w:t>
            </w:r>
          </w:p>
          <w:p w14:paraId="23151955">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④会议材料、支装水、茶水、纸巾等；</w:t>
            </w:r>
          </w:p>
          <w:p w14:paraId="39362B03">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⑤摆完向会议负责人确认水牌位置是否正确；</w:t>
            </w:r>
          </w:p>
          <w:p w14:paraId="0B63036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会前1小时请会议预定人到场检查,会前40分钟开启会议室空调</w:t>
            </w:r>
          </w:p>
          <w:p w14:paraId="0A3A6F50">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指引：有外来参会人员时，及时在电梯口等候指引至会议室；</w:t>
            </w:r>
          </w:p>
        </w:tc>
        <w:tc>
          <w:tcPr>
            <w:tcW w:w="3276" w:type="dxa"/>
            <w:vMerge w:val="restart"/>
            <w:vAlign w:val="center"/>
          </w:tcPr>
          <w:p w14:paraId="70D092D0">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客户满意度98%</w:t>
            </w:r>
          </w:p>
          <w:p w14:paraId="517E50D6">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内部满意度98%</w:t>
            </w:r>
          </w:p>
        </w:tc>
      </w:tr>
      <w:tr w14:paraId="220F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678" w:type="dxa"/>
            <w:vMerge w:val="continue"/>
          </w:tcPr>
          <w:p w14:paraId="6460863B">
            <w:pPr>
              <w:pStyle w:val="13"/>
              <w:pageBreakBefore w:val="0"/>
              <w:kinsoku/>
              <w:wordWrap/>
              <w:overflowPunct/>
              <w:topLinePunct w:val="0"/>
              <w:autoSpaceDE/>
              <w:bidi w:val="0"/>
              <w:adjustRightInd/>
              <w:snapToGrid w:val="0"/>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vAlign w:val="center"/>
          </w:tcPr>
          <w:p w14:paraId="0326BE34">
            <w:pPr>
              <w:pStyle w:val="5"/>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会议期间工作：</w:t>
            </w:r>
          </w:p>
          <w:p w14:paraId="44B58CF3">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1.做好验证、签到及引导座位工作。</w:t>
            </w:r>
          </w:p>
          <w:p w14:paraId="09DCEE6A">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 茶水服务</w:t>
            </w:r>
          </w:p>
          <w:p w14:paraId="04174420">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A.茶叶存放于洁净、干燥的边柜内。</w:t>
            </w:r>
          </w:p>
          <w:p w14:paraId="1A371F36">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B.各种茶叶分别装在不同的容器内，防止串味。</w:t>
            </w:r>
          </w:p>
          <w:p w14:paraId="4FBF9EA1">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C.会前准备各种茶，并检查茶包是否有破裂，散茶是否新鲜。</w:t>
            </w:r>
          </w:p>
          <w:p w14:paraId="269AC3EA">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D.茶杯清洗干净、无污迹、无水迹、经过消毒处理。</w:t>
            </w:r>
          </w:p>
          <w:p w14:paraId="7B1563A7">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E.左手持茶杯，右手倒水，从客人右侧，顺时针服务。</w:t>
            </w:r>
          </w:p>
          <w:p w14:paraId="5654593C">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F.水倒七分为满。</w:t>
            </w:r>
          </w:p>
          <w:p w14:paraId="15498BEE">
            <w:pPr>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G.每半小时加水一次。</w:t>
            </w:r>
          </w:p>
          <w:p w14:paraId="4CC14259">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3.根据会议需要，每15分钟巡视，妥善安排后勤服务事宜（做好会场的通风、空调、文具及茶水供应工作，满足其要求）。</w:t>
            </w:r>
          </w:p>
          <w:p w14:paraId="328B8E0D">
            <w:pP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做好内外联系、传递信息工作、完成会议主持人及主要与会人员交办的查找资料文件、临时找人、增加会议人员任务、尽可能注意与会人员、特别是主席台就座人员的情绪、态度，从他们的手势、眼神中尽快领会其意图，及时处理突发事件，确保会议顺利进行。</w:t>
            </w:r>
          </w:p>
          <w:p w14:paraId="4E828C65">
            <w:pPr>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5.做好会议服务的保密工作。</w:t>
            </w:r>
          </w:p>
        </w:tc>
        <w:tc>
          <w:tcPr>
            <w:tcW w:w="3276" w:type="dxa"/>
            <w:vMerge w:val="continue"/>
          </w:tcPr>
          <w:p w14:paraId="234C532C">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p>
        </w:tc>
      </w:tr>
      <w:tr w14:paraId="329A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678" w:type="dxa"/>
            <w:vMerge w:val="continue"/>
          </w:tcPr>
          <w:p w14:paraId="62FDF73E">
            <w:pPr>
              <w:pStyle w:val="13"/>
              <w:pageBreakBefore w:val="0"/>
              <w:kinsoku/>
              <w:wordWrap/>
              <w:overflowPunct/>
              <w:topLinePunct w:val="0"/>
              <w:autoSpaceDE/>
              <w:bidi w:val="0"/>
              <w:adjustRightInd/>
              <w:snapToGrid w:val="0"/>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pPr>
          </w:p>
        </w:tc>
        <w:tc>
          <w:tcPr>
            <w:tcW w:w="5670" w:type="dxa"/>
            <w:vAlign w:val="center"/>
          </w:tcPr>
          <w:p w14:paraId="61D055ED">
            <w:pPr>
              <w:pageBreakBefore w:val="0"/>
              <w:numPr>
                <w:ilvl w:val="0"/>
                <w:numId w:val="0"/>
              </w:numPr>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会后收场：</w:t>
            </w:r>
          </w:p>
          <w:p w14:paraId="6B20AFF5">
            <w:pPr>
              <w:pageBreakBefore w:val="0"/>
              <w:numPr>
                <w:ilvl w:val="0"/>
                <w:numId w:val="0"/>
              </w:numPr>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1.完成会议资料的收退工作，</w:t>
            </w:r>
            <w:r>
              <w:rPr>
                <w:rFonts w:hint="eastAsia" w:asciiTheme="minorEastAsia" w:hAnsiTheme="minorEastAsia" w:eastAsiaTheme="minorEastAsia" w:cstheme="minorEastAsia"/>
                <w:sz w:val="24"/>
                <w:szCs w:val="24"/>
                <w:highlight w:val="none"/>
              </w:rPr>
              <w:t>会场的所有资料必须回收</w:t>
            </w:r>
            <w:r>
              <w:rPr>
                <w:rFonts w:hint="eastAsia" w:asciiTheme="minorEastAsia" w:hAnsiTheme="minorEastAsia" w:eastAsiaTheme="minorEastAsia" w:cstheme="minorEastAsia"/>
                <w:sz w:val="24"/>
                <w:szCs w:val="24"/>
                <w:highlight w:val="none"/>
                <w:lang w:eastAsia="zh-CN"/>
              </w:rPr>
              <w:t>交予</w:t>
            </w:r>
            <w:r>
              <w:rPr>
                <w:rFonts w:hint="eastAsia" w:asciiTheme="minorEastAsia" w:hAnsiTheme="minorEastAsia" w:eastAsiaTheme="minorEastAsia" w:cstheme="minorEastAsia"/>
                <w:sz w:val="24"/>
                <w:szCs w:val="24"/>
                <w:highlight w:val="none"/>
              </w:rPr>
              <w:t>办公室；</w:t>
            </w:r>
          </w:p>
          <w:p w14:paraId="25B66FF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回收水牌、支装水、收拾茶具并清洗；</w:t>
            </w:r>
          </w:p>
          <w:p w14:paraId="3290B9CE">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关闭投影、音响、话筒、照明、空调等设备；</w:t>
            </w:r>
          </w:p>
          <w:p w14:paraId="32906DCD">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通知环境部清理桌面以及地面卫生</w:t>
            </w:r>
          </w:p>
          <w:p w14:paraId="72CD8D1A">
            <w:pPr>
              <w:pStyle w:val="5"/>
              <w:rPr>
                <w:rFonts w:hint="default" w:eastAsiaTheme="minorEastAsia"/>
                <w:highlight w:val="none"/>
                <w:lang w:val="en-US" w:eastAsia="zh-CN"/>
              </w:rPr>
            </w:pPr>
            <w:r>
              <w:rPr>
                <w:rFonts w:hint="eastAsia" w:asciiTheme="minorEastAsia" w:hAnsiTheme="minorEastAsia" w:cstheme="minorEastAsia"/>
                <w:kern w:val="2"/>
                <w:sz w:val="24"/>
                <w:szCs w:val="24"/>
                <w:highlight w:val="none"/>
                <w:lang w:val="en-US" w:eastAsia="zh-CN" w:bidi="ar-SA"/>
              </w:rPr>
              <w:t>5.检查会场，特别注意有无物品遗漏，若有，应及时查找、送还失主。</w:t>
            </w:r>
          </w:p>
        </w:tc>
        <w:tc>
          <w:tcPr>
            <w:tcW w:w="3276" w:type="dxa"/>
            <w:vMerge w:val="continue"/>
          </w:tcPr>
          <w:p w14:paraId="6DF94849">
            <w:pPr>
              <w:pStyle w:val="13"/>
              <w:pageBreakBefore w:val="0"/>
              <w:kinsoku/>
              <w:wordWrap/>
              <w:overflowPunct/>
              <w:topLinePunct w:val="0"/>
              <w:autoSpaceDE/>
              <w:bidi w:val="0"/>
              <w:adjustRightInd/>
              <w:snapToGrid w:val="0"/>
              <w:spacing w:before="156" w:after="156" w:line="360" w:lineRule="atLeast"/>
              <w:jc w:val="cente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p>
        </w:tc>
      </w:tr>
    </w:tbl>
    <w:p w14:paraId="318C2708">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br w:type="page"/>
      </w:r>
    </w:p>
    <w:p w14:paraId="4DC58469">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附件三：业务考核月度评价表（考核结果作为年度合同主要履约评价依据）</w:t>
      </w:r>
    </w:p>
    <w:tbl>
      <w:tblPr>
        <w:tblStyle w:val="8"/>
        <w:tblW w:w="10741" w:type="dxa"/>
        <w:tblInd w:w="96" w:type="dxa"/>
        <w:tblLayout w:type="fixed"/>
        <w:tblCellMar>
          <w:top w:w="0" w:type="dxa"/>
          <w:left w:w="108" w:type="dxa"/>
          <w:bottom w:w="0" w:type="dxa"/>
          <w:right w:w="108" w:type="dxa"/>
        </w:tblCellMar>
      </w:tblPr>
      <w:tblGrid>
        <w:gridCol w:w="1182"/>
        <w:gridCol w:w="582"/>
        <w:gridCol w:w="3900"/>
        <w:gridCol w:w="2214"/>
        <w:gridCol w:w="1977"/>
        <w:gridCol w:w="886"/>
      </w:tblGrid>
      <w:tr w14:paraId="53D26554">
        <w:tblPrEx>
          <w:tblCellMar>
            <w:top w:w="0" w:type="dxa"/>
            <w:left w:w="108" w:type="dxa"/>
            <w:bottom w:w="0" w:type="dxa"/>
            <w:right w:w="108" w:type="dxa"/>
          </w:tblCellMar>
        </w:tblPrEx>
        <w:trPr>
          <w:trHeight w:val="528" w:hRule="atLeast"/>
        </w:trPr>
        <w:tc>
          <w:tcPr>
            <w:tcW w:w="10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4BD9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val="0"/>
                <w:color w:val="000000" w:themeColor="text1"/>
                <w:kern w:val="0"/>
                <w:sz w:val="24"/>
                <w:szCs w:val="24"/>
                <w:highlight w:val="none"/>
                <w:lang w:val="en-US" w:eastAsia="zh-CN"/>
                <w14:textFill>
                  <w14:solidFill>
                    <w14:schemeClr w14:val="tx1"/>
                  </w14:solidFill>
                </w14:textFill>
              </w:rPr>
              <w:t>项目：深圳工业软件园                                                              日期：</w:t>
            </w:r>
          </w:p>
        </w:tc>
      </w:tr>
      <w:tr w14:paraId="54962DA0">
        <w:tblPrEx>
          <w:tblCellMar>
            <w:top w:w="0" w:type="dxa"/>
            <w:left w:w="108" w:type="dxa"/>
            <w:bottom w:w="0" w:type="dxa"/>
            <w:right w:w="108" w:type="dxa"/>
          </w:tblCellMar>
        </w:tblPrEx>
        <w:trPr>
          <w:trHeight w:val="465"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578">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b/>
                <w:bCs/>
                <w:color w:val="000000"/>
                <w:kern w:val="0"/>
                <w:sz w:val="24"/>
                <w:szCs w:val="24"/>
                <w:highlight w:val="none"/>
                <w:lang w:bidi="ar"/>
              </w:rPr>
            </w:pPr>
            <w:r>
              <w:rPr>
                <w:rFonts w:hint="eastAsia" w:asciiTheme="minorEastAsia" w:hAnsiTheme="minorEastAsia" w:eastAsiaTheme="minorEastAsia" w:cstheme="minorEastAsia"/>
                <w:b/>
                <w:bCs/>
                <w:color w:val="000000"/>
                <w:kern w:val="0"/>
                <w:sz w:val="24"/>
                <w:szCs w:val="24"/>
                <w:highlight w:val="none"/>
                <w:lang w:bidi="ar"/>
              </w:rPr>
              <w:br w:type="page"/>
            </w:r>
            <w:r>
              <w:rPr>
                <w:rFonts w:hint="eastAsia" w:asciiTheme="minorEastAsia" w:hAnsiTheme="minorEastAsia" w:eastAsiaTheme="minorEastAsia" w:cstheme="minorEastAsia"/>
                <w:b/>
                <w:bCs/>
                <w:color w:val="000000"/>
                <w:kern w:val="0"/>
                <w:sz w:val="24"/>
                <w:szCs w:val="24"/>
                <w:highlight w:val="none"/>
                <w:lang w:bidi="ar"/>
              </w:rPr>
              <w:t>检查项目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8253">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分值</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830C">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检查标准</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BA35">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扣分标准</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FCE9">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结果记录</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4C0">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得分</w:t>
            </w:r>
          </w:p>
        </w:tc>
      </w:tr>
      <w:tr w14:paraId="3FF2EB7C">
        <w:tblPrEx>
          <w:tblCellMar>
            <w:top w:w="0" w:type="dxa"/>
            <w:left w:w="108" w:type="dxa"/>
            <w:bottom w:w="0" w:type="dxa"/>
            <w:right w:w="108" w:type="dxa"/>
          </w:tblCellMar>
        </w:tblPrEx>
        <w:trPr>
          <w:trHeight w:val="662" w:hRule="atLeast"/>
        </w:trPr>
        <w:tc>
          <w:tcPr>
            <w:tcW w:w="1182" w:type="dxa"/>
            <w:vMerge w:val="restart"/>
            <w:tcBorders>
              <w:top w:val="single" w:color="000000" w:sz="4" w:space="0"/>
              <w:left w:val="single" w:color="000000" w:sz="4" w:space="0"/>
              <w:right w:val="single" w:color="000000" w:sz="4" w:space="0"/>
            </w:tcBorders>
            <w:shd w:val="clear" w:color="auto" w:fill="FFFFFF" w:themeFill="background1"/>
            <w:vAlign w:val="center"/>
          </w:tcPr>
          <w:p w14:paraId="21A1402F">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工作计划</w:t>
            </w:r>
          </w:p>
        </w:tc>
        <w:tc>
          <w:tcPr>
            <w:tcW w:w="582" w:type="dxa"/>
            <w:vMerge w:val="restart"/>
            <w:tcBorders>
              <w:top w:val="single" w:color="000000" w:sz="4" w:space="0"/>
              <w:left w:val="single" w:color="000000" w:sz="4" w:space="0"/>
              <w:bottom w:val="nil"/>
              <w:right w:val="single" w:color="000000" w:sz="4" w:space="0"/>
            </w:tcBorders>
            <w:shd w:val="clear" w:color="auto" w:fill="auto"/>
            <w:noWrap/>
            <w:vAlign w:val="center"/>
          </w:tcPr>
          <w:p w14:paraId="44DCEE2A">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10</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ACD0">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每年须向项目提交《年度工作总结》及次年的《年度工作计划》；</w:t>
            </w:r>
          </w:p>
        </w:tc>
        <w:tc>
          <w:tcPr>
            <w:tcW w:w="2214" w:type="dxa"/>
            <w:vMerge w:val="restart"/>
            <w:tcBorders>
              <w:top w:val="single" w:color="000000" w:sz="4" w:space="0"/>
              <w:left w:val="single" w:color="000000" w:sz="4" w:space="0"/>
              <w:bottom w:val="nil"/>
              <w:right w:val="single" w:color="000000" w:sz="4" w:space="0"/>
            </w:tcBorders>
            <w:shd w:val="clear" w:color="auto" w:fill="auto"/>
            <w:vAlign w:val="center"/>
          </w:tcPr>
          <w:p w14:paraId="26D45FCD">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未按照要求提交每项扣2分，扣完为止</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9F85">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E6533">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0E891AB3">
        <w:tblPrEx>
          <w:tblCellMar>
            <w:top w:w="0" w:type="dxa"/>
            <w:left w:w="108" w:type="dxa"/>
            <w:bottom w:w="0" w:type="dxa"/>
            <w:right w:w="108" w:type="dxa"/>
          </w:tblCellMar>
        </w:tblPrEx>
        <w:trPr>
          <w:trHeight w:val="424" w:hRule="atLeast"/>
        </w:trPr>
        <w:tc>
          <w:tcPr>
            <w:tcW w:w="1182" w:type="dxa"/>
            <w:vMerge w:val="continue"/>
            <w:tcBorders>
              <w:left w:val="single" w:color="000000" w:sz="4" w:space="0"/>
              <w:right w:val="single" w:color="000000" w:sz="4" w:space="0"/>
            </w:tcBorders>
            <w:shd w:val="clear" w:color="auto" w:fill="FFFFFF" w:themeFill="background1"/>
            <w:vAlign w:val="center"/>
          </w:tcPr>
          <w:p w14:paraId="1064261A">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650BE24">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3E0A">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每年须向项目提交《年度培训总结》及次年的《年度培训计划》；</w:t>
            </w:r>
          </w:p>
        </w:tc>
        <w:tc>
          <w:tcPr>
            <w:tcW w:w="2214" w:type="dxa"/>
            <w:vMerge w:val="continue"/>
            <w:tcBorders>
              <w:top w:val="single" w:color="000000" w:sz="4" w:space="0"/>
              <w:left w:val="single" w:color="000000" w:sz="4" w:space="0"/>
              <w:bottom w:val="nil"/>
              <w:right w:val="single" w:color="000000" w:sz="4" w:space="0"/>
            </w:tcBorders>
            <w:shd w:val="clear" w:color="auto" w:fill="auto"/>
            <w:vAlign w:val="center"/>
          </w:tcPr>
          <w:p w14:paraId="1DBE32A8">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A7C7">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6DA1A">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27AF1440">
        <w:tblPrEx>
          <w:tblCellMar>
            <w:top w:w="0" w:type="dxa"/>
            <w:left w:w="108" w:type="dxa"/>
            <w:bottom w:w="0" w:type="dxa"/>
            <w:right w:w="108" w:type="dxa"/>
          </w:tblCellMar>
        </w:tblPrEx>
        <w:trPr>
          <w:trHeight w:val="224" w:hRule="atLeast"/>
        </w:trPr>
        <w:tc>
          <w:tcPr>
            <w:tcW w:w="1182" w:type="dxa"/>
            <w:vMerge w:val="continue"/>
            <w:tcBorders>
              <w:left w:val="single" w:color="000000" w:sz="4" w:space="0"/>
              <w:right w:val="single" w:color="000000" w:sz="4" w:space="0"/>
            </w:tcBorders>
            <w:shd w:val="clear" w:color="auto" w:fill="FFFFFF" w:themeFill="background1"/>
            <w:vAlign w:val="center"/>
          </w:tcPr>
          <w:p w14:paraId="0FC6A245">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2FD2F0">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8171">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每季度最后一个月的25日前须向项目提交下季度的《增值服务计划》；</w:t>
            </w:r>
          </w:p>
        </w:tc>
        <w:tc>
          <w:tcPr>
            <w:tcW w:w="2214" w:type="dxa"/>
            <w:vMerge w:val="continue"/>
            <w:tcBorders>
              <w:top w:val="single" w:color="000000" w:sz="4" w:space="0"/>
              <w:left w:val="single" w:color="000000" w:sz="4" w:space="0"/>
              <w:bottom w:val="nil"/>
              <w:right w:val="single" w:color="000000" w:sz="4" w:space="0"/>
            </w:tcBorders>
            <w:shd w:val="clear" w:color="auto" w:fill="auto"/>
            <w:vAlign w:val="center"/>
          </w:tcPr>
          <w:p w14:paraId="48A78EF3">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E6A9">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38F7C">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5B07EBBF">
        <w:tblPrEx>
          <w:tblCellMar>
            <w:top w:w="0" w:type="dxa"/>
            <w:left w:w="108" w:type="dxa"/>
            <w:bottom w:w="0" w:type="dxa"/>
            <w:right w:w="108" w:type="dxa"/>
          </w:tblCellMar>
        </w:tblPrEx>
        <w:trPr>
          <w:trHeight w:val="699" w:hRule="atLeast"/>
        </w:trPr>
        <w:tc>
          <w:tcPr>
            <w:tcW w:w="1182" w:type="dxa"/>
            <w:vMerge w:val="continue"/>
            <w:tcBorders>
              <w:left w:val="single" w:color="000000" w:sz="4" w:space="0"/>
              <w:right w:val="single" w:color="000000" w:sz="4" w:space="0"/>
            </w:tcBorders>
            <w:shd w:val="clear" w:color="auto" w:fill="FFFFFF" w:themeFill="background1"/>
            <w:vAlign w:val="center"/>
          </w:tcPr>
          <w:p w14:paraId="1353881D">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B86B24">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B39">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每月25日前须向项目提交当月的《月度培训总结》及次月的《月度培训计划》；</w:t>
            </w:r>
          </w:p>
        </w:tc>
        <w:tc>
          <w:tcPr>
            <w:tcW w:w="2214" w:type="dxa"/>
            <w:vMerge w:val="continue"/>
            <w:tcBorders>
              <w:top w:val="single" w:color="000000" w:sz="4" w:space="0"/>
              <w:left w:val="single" w:color="000000" w:sz="4" w:space="0"/>
              <w:bottom w:val="nil"/>
              <w:right w:val="single" w:color="000000" w:sz="4" w:space="0"/>
            </w:tcBorders>
            <w:shd w:val="clear" w:color="auto" w:fill="auto"/>
            <w:vAlign w:val="center"/>
          </w:tcPr>
          <w:p w14:paraId="4B0ABC11">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71F8">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FF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0EEB">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FF0000"/>
                <w:sz w:val="24"/>
                <w:szCs w:val="24"/>
                <w:highlight w:val="none"/>
              </w:rPr>
            </w:pPr>
          </w:p>
        </w:tc>
      </w:tr>
      <w:tr w14:paraId="2F3A30FA">
        <w:tblPrEx>
          <w:tblCellMar>
            <w:top w:w="0" w:type="dxa"/>
            <w:left w:w="108" w:type="dxa"/>
            <w:bottom w:w="0" w:type="dxa"/>
            <w:right w:w="108" w:type="dxa"/>
          </w:tblCellMar>
        </w:tblPrEx>
        <w:trPr>
          <w:trHeight w:val="673" w:hRule="atLeast"/>
        </w:trPr>
        <w:tc>
          <w:tcPr>
            <w:tcW w:w="1182" w:type="dxa"/>
            <w:vMerge w:val="continue"/>
            <w:tcBorders>
              <w:left w:val="single" w:color="000000" w:sz="4" w:space="0"/>
              <w:right w:val="single" w:color="000000" w:sz="4" w:space="0"/>
            </w:tcBorders>
            <w:shd w:val="clear" w:color="auto" w:fill="FFFFFF" w:themeFill="background1"/>
            <w:vAlign w:val="center"/>
          </w:tcPr>
          <w:p w14:paraId="2FE0F457">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0E54299">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FE6">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每月25日前须向项目提交当月的《月度工作总结》及次月的《月度工作计划》；</w:t>
            </w:r>
          </w:p>
        </w:tc>
        <w:tc>
          <w:tcPr>
            <w:tcW w:w="2214" w:type="dxa"/>
            <w:vMerge w:val="continue"/>
            <w:tcBorders>
              <w:top w:val="single" w:color="000000" w:sz="4" w:space="0"/>
              <w:left w:val="single" w:color="000000" w:sz="4" w:space="0"/>
              <w:bottom w:val="nil"/>
              <w:right w:val="single" w:color="000000" w:sz="4" w:space="0"/>
            </w:tcBorders>
            <w:shd w:val="clear" w:color="auto" w:fill="auto"/>
            <w:vAlign w:val="center"/>
          </w:tcPr>
          <w:p w14:paraId="6D6473CA">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A76D">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BBE94">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4B7E0DE5">
        <w:tblPrEx>
          <w:tblCellMar>
            <w:top w:w="0" w:type="dxa"/>
            <w:left w:w="108" w:type="dxa"/>
            <w:bottom w:w="0" w:type="dxa"/>
            <w:right w:w="108" w:type="dxa"/>
          </w:tblCellMar>
        </w:tblPrEx>
        <w:trPr>
          <w:trHeight w:val="701" w:hRule="atLeast"/>
        </w:trPr>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58BA5">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关键客户</w:t>
            </w:r>
          </w:p>
          <w:p w14:paraId="0966B2CD">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有效投诉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AE99">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15</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7228">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集团或物业高管、重点客户投诉以及普通客户的有效投诉（礼宾主责的投诉方计入）；</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5A09">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集团物业高管、重点客户投诉10分/次；普通客户2分/次</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57C8B">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15778">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2FA2B853">
        <w:tblPrEx>
          <w:tblCellMar>
            <w:top w:w="0" w:type="dxa"/>
            <w:left w:w="108" w:type="dxa"/>
            <w:bottom w:w="0" w:type="dxa"/>
            <w:right w:w="108" w:type="dxa"/>
          </w:tblCellMar>
        </w:tblPrEx>
        <w:trPr>
          <w:trHeight w:val="47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A2C471">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人员在岗率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3444">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5</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F8DB">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人员缺编率超过10%需提前邮件知会项目；</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0F8">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不合格扣1分/次</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379A8">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3829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3A7F93AD">
        <w:tblPrEx>
          <w:tblCellMar>
            <w:top w:w="0" w:type="dxa"/>
            <w:left w:w="108" w:type="dxa"/>
            <w:bottom w:w="0" w:type="dxa"/>
            <w:right w:w="108" w:type="dxa"/>
          </w:tblCellMar>
        </w:tblPrEx>
        <w:trPr>
          <w:trHeight w:val="799" w:hRule="atLeast"/>
        </w:trPr>
        <w:tc>
          <w:tcPr>
            <w:tcW w:w="1182" w:type="dxa"/>
            <w:vMerge w:val="restart"/>
            <w:tcBorders>
              <w:top w:val="single" w:color="000000" w:sz="4" w:space="0"/>
              <w:left w:val="single" w:color="000000" w:sz="4" w:space="0"/>
              <w:right w:val="single" w:color="000000" w:sz="4" w:space="0"/>
            </w:tcBorders>
            <w:shd w:val="clear" w:color="auto" w:fill="FFFFFF" w:themeFill="background1"/>
            <w:vAlign w:val="center"/>
          </w:tcPr>
          <w:p w14:paraId="38868E54">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协同管理</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80736">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15</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322">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经邮件正式告知礼宾项目需礼宾协同开展的工作，未按照要求和时间完成和反馈，也未提前报备和沟通的；</w:t>
            </w:r>
          </w:p>
        </w:tc>
        <w:tc>
          <w:tcPr>
            <w:tcW w:w="2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A035F">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未及时沟通，3分/次</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CE164">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8D5F5">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22D4080D">
        <w:tblPrEx>
          <w:tblCellMar>
            <w:top w:w="0" w:type="dxa"/>
            <w:left w:w="108" w:type="dxa"/>
            <w:bottom w:w="0" w:type="dxa"/>
            <w:right w:w="108" w:type="dxa"/>
          </w:tblCellMar>
        </w:tblPrEx>
        <w:trPr>
          <w:trHeight w:val="799" w:hRule="atLeast"/>
        </w:trPr>
        <w:tc>
          <w:tcPr>
            <w:tcW w:w="1182" w:type="dxa"/>
            <w:vMerge w:val="continue"/>
            <w:tcBorders>
              <w:left w:val="single" w:color="000000" w:sz="4" w:space="0"/>
              <w:right w:val="single" w:color="000000" w:sz="4" w:space="0"/>
            </w:tcBorders>
            <w:shd w:val="clear" w:color="auto" w:fill="FFFFFF" w:themeFill="background1"/>
            <w:vAlign w:val="center"/>
          </w:tcPr>
          <w:p w14:paraId="5A8A4FC9">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767B">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768">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 xml:space="preserve">重要信息（风险、危机、关系处理、架构调整、工作汇报、外接、新接或工作界面变更等工作）与甲方专项沟通及时与项目沟通及知会；    </w:t>
            </w:r>
          </w:p>
        </w:tc>
        <w:tc>
          <w:tcPr>
            <w:tcW w:w="2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08E8">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54DF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1352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5476DBDE">
        <w:tblPrEx>
          <w:tblCellMar>
            <w:top w:w="0" w:type="dxa"/>
            <w:left w:w="108" w:type="dxa"/>
            <w:bottom w:w="0" w:type="dxa"/>
            <w:right w:w="108" w:type="dxa"/>
          </w:tblCellMar>
        </w:tblPrEx>
        <w:trPr>
          <w:trHeight w:val="799" w:hRule="atLeast"/>
        </w:trPr>
        <w:tc>
          <w:tcPr>
            <w:tcW w:w="1182" w:type="dxa"/>
            <w:vMerge w:val="continue"/>
            <w:tcBorders>
              <w:left w:val="single" w:color="000000" w:sz="4" w:space="0"/>
              <w:right w:val="single" w:color="000000" w:sz="4" w:space="0"/>
            </w:tcBorders>
            <w:shd w:val="clear" w:color="auto" w:fill="FFFFFF" w:themeFill="background1"/>
            <w:vAlign w:val="center"/>
          </w:tcPr>
          <w:p w14:paraId="0F5CA448">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E621">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B2D3">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项目或甲方需要的报告、数据等内容未按照时间或要求提交的，出现逾期或困难未提前报备或沟通的；</w:t>
            </w:r>
          </w:p>
        </w:tc>
        <w:tc>
          <w:tcPr>
            <w:tcW w:w="2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D340">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E0CB">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D91BE">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6B2E4BA1">
        <w:tblPrEx>
          <w:tblCellMar>
            <w:top w:w="0" w:type="dxa"/>
            <w:left w:w="108" w:type="dxa"/>
            <w:bottom w:w="0" w:type="dxa"/>
            <w:right w:w="108" w:type="dxa"/>
          </w:tblCellMar>
        </w:tblPrEx>
        <w:trPr>
          <w:trHeight w:val="686" w:hRule="atLeast"/>
        </w:trPr>
        <w:tc>
          <w:tcPr>
            <w:tcW w:w="1182" w:type="dxa"/>
            <w:vMerge w:val="restart"/>
            <w:tcBorders>
              <w:top w:val="nil"/>
              <w:left w:val="single" w:color="000000" w:sz="4" w:space="0"/>
              <w:right w:val="single" w:color="000000" w:sz="4" w:space="0"/>
            </w:tcBorders>
            <w:shd w:val="clear" w:color="auto" w:fill="auto"/>
            <w:vAlign w:val="center"/>
          </w:tcPr>
          <w:p w14:paraId="76762F62">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客户关系</w:t>
            </w:r>
          </w:p>
          <w:p w14:paraId="1071745D">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维护</w:t>
            </w:r>
          </w:p>
        </w:tc>
        <w:tc>
          <w:tcPr>
            <w:tcW w:w="582" w:type="dxa"/>
            <w:vMerge w:val="restart"/>
            <w:tcBorders>
              <w:top w:val="nil"/>
              <w:left w:val="single" w:color="000000" w:sz="4" w:space="0"/>
              <w:bottom w:val="single" w:color="000000" w:sz="4" w:space="0"/>
              <w:right w:val="single" w:color="000000" w:sz="4" w:space="0"/>
            </w:tcBorders>
            <w:shd w:val="clear" w:color="auto" w:fill="auto"/>
            <w:vAlign w:val="center"/>
          </w:tcPr>
          <w:p w14:paraId="24EB27DD">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9</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18B3">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礼宾部每</w:t>
            </w:r>
            <w:r>
              <w:rPr>
                <w:rFonts w:hint="eastAsia" w:asciiTheme="minorEastAsia" w:hAnsiTheme="minorEastAsia" w:eastAsiaTheme="minorEastAsia" w:cstheme="minorEastAsia"/>
                <w:color w:val="000000"/>
                <w:kern w:val="0"/>
                <w:sz w:val="24"/>
                <w:szCs w:val="24"/>
                <w:highlight w:val="none"/>
                <w:lang w:eastAsia="zh-CN" w:bidi="ar"/>
              </w:rPr>
              <w:t>半年</w:t>
            </w:r>
            <w:r>
              <w:rPr>
                <w:rFonts w:hint="eastAsia" w:asciiTheme="minorEastAsia" w:hAnsiTheme="minorEastAsia" w:eastAsiaTheme="minorEastAsia" w:cstheme="minorEastAsia"/>
                <w:color w:val="000000"/>
                <w:kern w:val="0"/>
                <w:sz w:val="24"/>
                <w:szCs w:val="24"/>
                <w:highlight w:val="none"/>
                <w:lang w:bidi="ar"/>
              </w:rPr>
              <w:t>须对项目重点客户进行梳理，形成VP客户清单；</w:t>
            </w:r>
          </w:p>
        </w:tc>
        <w:tc>
          <w:tcPr>
            <w:tcW w:w="2214" w:type="dxa"/>
            <w:vMerge w:val="restart"/>
            <w:tcBorders>
              <w:top w:val="nil"/>
              <w:left w:val="single" w:color="000000" w:sz="4" w:space="0"/>
              <w:bottom w:val="single" w:color="000000" w:sz="4" w:space="0"/>
              <w:right w:val="single" w:color="000000" w:sz="4" w:space="0"/>
            </w:tcBorders>
            <w:shd w:val="clear" w:color="auto" w:fill="auto"/>
            <w:vAlign w:val="center"/>
          </w:tcPr>
          <w:p w14:paraId="6C4AB057">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每项未完成，每次扣3分；</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B5476">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67ACE">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3DB72187">
        <w:tblPrEx>
          <w:tblCellMar>
            <w:top w:w="0" w:type="dxa"/>
            <w:left w:w="108" w:type="dxa"/>
            <w:bottom w:w="0" w:type="dxa"/>
            <w:right w:w="108" w:type="dxa"/>
          </w:tblCellMar>
        </w:tblPrEx>
        <w:trPr>
          <w:trHeight w:val="799" w:hRule="atLeast"/>
        </w:trPr>
        <w:tc>
          <w:tcPr>
            <w:tcW w:w="1182" w:type="dxa"/>
            <w:vMerge w:val="continue"/>
            <w:tcBorders>
              <w:left w:val="single" w:color="000000" w:sz="4" w:space="0"/>
              <w:right w:val="single" w:color="000000" w:sz="4" w:space="0"/>
            </w:tcBorders>
            <w:shd w:val="clear" w:color="auto" w:fill="auto"/>
            <w:vAlign w:val="center"/>
          </w:tcPr>
          <w:p w14:paraId="5FBFEEC4">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nil"/>
              <w:left w:val="single" w:color="000000" w:sz="4" w:space="0"/>
              <w:bottom w:val="single" w:color="000000" w:sz="4" w:space="0"/>
              <w:right w:val="single" w:color="000000" w:sz="4" w:space="0"/>
            </w:tcBorders>
            <w:shd w:val="clear" w:color="auto" w:fill="auto"/>
            <w:vAlign w:val="center"/>
          </w:tcPr>
          <w:p w14:paraId="45F23D0F">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240">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礼宾部礼宾司每季度拜访不少于5个重点客户，并形成客户拜访记录，</w:t>
            </w:r>
            <w:r>
              <w:rPr>
                <w:rFonts w:hint="eastAsia" w:asciiTheme="minorEastAsia" w:hAnsiTheme="minorEastAsia" w:eastAsiaTheme="minorEastAsia" w:cstheme="minorEastAsia"/>
                <w:color w:val="000000"/>
                <w:kern w:val="0"/>
                <w:sz w:val="24"/>
                <w:szCs w:val="24"/>
                <w:highlight w:val="none"/>
                <w:lang w:val="en-US" w:eastAsia="zh-CN" w:bidi="ar"/>
              </w:rPr>
              <w:t>每</w:t>
            </w:r>
            <w:r>
              <w:rPr>
                <w:rFonts w:hint="eastAsia" w:asciiTheme="minorEastAsia" w:hAnsiTheme="minorEastAsia" w:eastAsiaTheme="minorEastAsia" w:cstheme="minorEastAsia"/>
                <w:color w:val="000000"/>
                <w:kern w:val="0"/>
                <w:sz w:val="24"/>
                <w:szCs w:val="24"/>
                <w:highlight w:val="none"/>
                <w:lang w:bidi="ar"/>
              </w:rPr>
              <w:t>季度输出客户拜访报告；</w:t>
            </w:r>
          </w:p>
        </w:tc>
        <w:tc>
          <w:tcPr>
            <w:tcW w:w="2214" w:type="dxa"/>
            <w:vMerge w:val="continue"/>
            <w:tcBorders>
              <w:top w:val="nil"/>
              <w:left w:val="single" w:color="000000" w:sz="4" w:space="0"/>
              <w:bottom w:val="single" w:color="000000" w:sz="4" w:space="0"/>
              <w:right w:val="single" w:color="000000" w:sz="4" w:space="0"/>
            </w:tcBorders>
            <w:shd w:val="clear" w:color="auto" w:fill="auto"/>
            <w:vAlign w:val="center"/>
          </w:tcPr>
          <w:p w14:paraId="2BA7E704">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C5212">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0B3A6">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506DA092">
        <w:tblPrEx>
          <w:tblCellMar>
            <w:top w:w="0" w:type="dxa"/>
            <w:left w:w="108" w:type="dxa"/>
            <w:bottom w:w="0" w:type="dxa"/>
            <w:right w:w="108" w:type="dxa"/>
          </w:tblCellMar>
        </w:tblPrEx>
        <w:trPr>
          <w:trHeight w:val="799" w:hRule="atLeast"/>
        </w:trPr>
        <w:tc>
          <w:tcPr>
            <w:tcW w:w="1182" w:type="dxa"/>
            <w:vMerge w:val="continue"/>
            <w:tcBorders>
              <w:left w:val="single" w:color="000000" w:sz="4" w:space="0"/>
              <w:right w:val="single" w:color="000000" w:sz="4" w:space="0"/>
            </w:tcBorders>
            <w:shd w:val="clear" w:color="auto" w:fill="auto"/>
            <w:vAlign w:val="center"/>
          </w:tcPr>
          <w:p w14:paraId="40764B73">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p>
        </w:tc>
        <w:tc>
          <w:tcPr>
            <w:tcW w:w="582" w:type="dxa"/>
            <w:vMerge w:val="continue"/>
            <w:tcBorders>
              <w:top w:val="nil"/>
              <w:left w:val="single" w:color="000000" w:sz="4" w:space="0"/>
              <w:bottom w:val="single" w:color="000000" w:sz="4" w:space="0"/>
              <w:right w:val="single" w:color="000000" w:sz="4" w:space="0"/>
            </w:tcBorders>
            <w:shd w:val="clear" w:color="auto" w:fill="auto"/>
            <w:vAlign w:val="center"/>
          </w:tcPr>
          <w:p w14:paraId="00AF9E51">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2C1">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项目大型活动支持与安排：对于搬迁、大型接待、大型活动的保障或增值服务未按照需要执行或出现重大负面影响的情况；</w:t>
            </w:r>
          </w:p>
        </w:tc>
        <w:tc>
          <w:tcPr>
            <w:tcW w:w="2214" w:type="dxa"/>
            <w:vMerge w:val="continue"/>
            <w:tcBorders>
              <w:top w:val="nil"/>
              <w:left w:val="single" w:color="000000" w:sz="4" w:space="0"/>
              <w:bottom w:val="single" w:color="000000" w:sz="4" w:space="0"/>
              <w:right w:val="single" w:color="000000" w:sz="4" w:space="0"/>
            </w:tcBorders>
            <w:shd w:val="clear" w:color="auto" w:fill="auto"/>
            <w:vAlign w:val="center"/>
          </w:tcPr>
          <w:p w14:paraId="0EA16ECC">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CCC79">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8C18">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3F91FD14">
        <w:tblPrEx>
          <w:tblCellMar>
            <w:top w:w="0" w:type="dxa"/>
            <w:left w:w="108" w:type="dxa"/>
            <w:bottom w:w="0" w:type="dxa"/>
            <w:right w:w="108" w:type="dxa"/>
          </w:tblCellMar>
        </w:tblPrEx>
        <w:trPr>
          <w:trHeight w:val="799"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C9AB">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管理记录</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78B9">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6</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CE9">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每月对质量管理或运营数据进行检查，清晰合理</w:t>
            </w:r>
            <w:r>
              <w:rPr>
                <w:rFonts w:hint="eastAsia" w:asciiTheme="minorEastAsia" w:hAnsiTheme="minorEastAsia" w:eastAsiaTheme="minorEastAsia" w:cstheme="minorEastAsia"/>
                <w:color w:val="000000"/>
                <w:kern w:val="0"/>
                <w:sz w:val="24"/>
                <w:szCs w:val="24"/>
                <w:highlight w:val="none"/>
                <w:lang w:eastAsia="zh-CN" w:bidi="ar"/>
              </w:rPr>
              <w:t>地</w:t>
            </w:r>
            <w:r>
              <w:rPr>
                <w:rFonts w:hint="eastAsia" w:asciiTheme="minorEastAsia" w:hAnsiTheme="minorEastAsia" w:eastAsiaTheme="minorEastAsia" w:cstheme="minorEastAsia"/>
                <w:color w:val="000000"/>
                <w:kern w:val="0"/>
                <w:sz w:val="24"/>
                <w:szCs w:val="24"/>
                <w:highlight w:val="none"/>
                <w:lang w:bidi="ar"/>
              </w:rPr>
              <w:t>记录各岗位运营情况；</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FE5">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不合格每项扣1分；</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5337C">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CE196">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1B02B001">
        <w:tblPrEx>
          <w:tblCellMar>
            <w:top w:w="0" w:type="dxa"/>
            <w:left w:w="108" w:type="dxa"/>
            <w:bottom w:w="0" w:type="dxa"/>
            <w:right w:w="108" w:type="dxa"/>
          </w:tblCellMar>
        </w:tblPrEx>
        <w:trPr>
          <w:trHeight w:val="863"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26E6">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客户满意度调查或神秘客户调查</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C3BC">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40</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2AA">
            <w:pPr>
              <w:pageBreakBefore w:val="0"/>
              <w:widowControl/>
              <w:kinsoku/>
              <w:wordWrap/>
              <w:overflowPunct/>
              <w:topLinePunct w:val="0"/>
              <w:autoSpaceDE/>
              <w:bidi w:val="0"/>
              <w:adjustRightInd/>
              <w:spacing w:line="360" w:lineRule="atLeast"/>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客户满意度或神秘客户调查考核结果直接引用</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1E8">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季度客户满意度或神秘客户调查考核得分（百分制）*权重40%</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75696">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899EE">
            <w:pPr>
              <w:pageBreakBefore w:val="0"/>
              <w:kinsoku/>
              <w:wordWrap/>
              <w:overflowPunct/>
              <w:topLinePunct w:val="0"/>
              <w:autoSpaceDE/>
              <w:bidi w:val="0"/>
              <w:adjustRightInd/>
              <w:spacing w:line="360" w:lineRule="atLeast"/>
              <w:rPr>
                <w:rFonts w:hint="eastAsia" w:asciiTheme="minorEastAsia" w:hAnsiTheme="minorEastAsia" w:eastAsiaTheme="minorEastAsia" w:cstheme="minorEastAsia"/>
                <w:color w:val="000000"/>
                <w:sz w:val="24"/>
                <w:szCs w:val="24"/>
                <w:highlight w:val="none"/>
              </w:rPr>
            </w:pPr>
          </w:p>
        </w:tc>
      </w:tr>
      <w:tr w14:paraId="2BB07A9C">
        <w:tblPrEx>
          <w:tblCellMar>
            <w:top w:w="0" w:type="dxa"/>
            <w:left w:w="108" w:type="dxa"/>
            <w:bottom w:w="0" w:type="dxa"/>
            <w:right w:w="108" w:type="dxa"/>
          </w:tblCellMar>
        </w:tblPrEx>
        <w:trPr>
          <w:trHeight w:val="622"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56A">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合计</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8F05">
            <w:pPr>
              <w:pageBreakBefore w:val="0"/>
              <w:widowControl/>
              <w:kinsoku/>
              <w:wordWrap/>
              <w:overflowPunct/>
              <w:topLinePunct w:val="0"/>
              <w:autoSpaceDE/>
              <w:bidi w:val="0"/>
              <w:adjustRightInd/>
              <w:spacing w:line="360" w:lineRule="atLeas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100</w:t>
            </w:r>
          </w:p>
        </w:tc>
        <w:tc>
          <w:tcPr>
            <w:tcW w:w="6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60110">
            <w:pPr>
              <w:pageBreakBefore w:val="0"/>
              <w:kinsoku/>
              <w:wordWrap/>
              <w:overflowPunct/>
              <w:topLinePunct w:val="0"/>
              <w:autoSpaceDE/>
              <w:bidi w:val="0"/>
              <w:adjustRightInd/>
              <w:spacing w:line="360" w:lineRule="atLeast"/>
              <w:jc w:val="left"/>
              <w:rPr>
                <w:rFonts w:hint="eastAsia" w:asciiTheme="minorEastAsia" w:hAnsiTheme="minorEastAsia" w:eastAsiaTheme="minorEastAsia" w:cstheme="minorEastAsia"/>
                <w:color w:val="000000"/>
                <w:sz w:val="24"/>
                <w:szCs w:val="24"/>
                <w:highlight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8784">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000000"/>
                <w:sz w:val="24"/>
                <w:szCs w:val="24"/>
                <w:highlight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6081">
            <w:pPr>
              <w:pageBreakBefore w:val="0"/>
              <w:kinsoku/>
              <w:wordWrap/>
              <w:overflowPunct/>
              <w:topLinePunct w:val="0"/>
              <w:autoSpaceDE/>
              <w:bidi w:val="0"/>
              <w:adjustRightInd/>
              <w:spacing w:line="360" w:lineRule="atLeast"/>
              <w:jc w:val="center"/>
              <w:rPr>
                <w:rFonts w:hint="eastAsia" w:asciiTheme="minorEastAsia" w:hAnsiTheme="minorEastAsia" w:eastAsiaTheme="minorEastAsia" w:cstheme="minorEastAsia"/>
                <w:color w:val="FF0000"/>
                <w:sz w:val="24"/>
                <w:szCs w:val="24"/>
                <w:highlight w:val="none"/>
              </w:rPr>
            </w:pPr>
          </w:p>
        </w:tc>
      </w:tr>
    </w:tbl>
    <w:p w14:paraId="198C6471">
      <w:pPr>
        <w:pageBreakBefore w:val="0"/>
        <w:kinsoku/>
        <w:wordWrap/>
        <w:overflowPunct/>
        <w:topLinePunct w:val="0"/>
        <w:autoSpaceDE/>
        <w:bidi w:val="0"/>
        <w:adjustRightInd/>
        <w:spacing w:line="360" w:lineRule="atLeast"/>
        <w:ind w:firstLine="960" w:firstLineChars="4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考核人：                  项目经理：              乙方确认人员：           时间：</w:t>
      </w:r>
    </w:p>
    <w:p w14:paraId="4D376384">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sectPr>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76B87B2">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附件四：</w:t>
      </w:r>
      <w:r>
        <w:rPr>
          <w:rFonts w:hint="eastAsia" w:asciiTheme="minorEastAsia" w:hAnsiTheme="minorEastAsia" w:eastAsiaTheme="minorEastAsia" w:cstheme="minorEastAsia"/>
          <w:b w:val="0"/>
          <w:color w:val="000000" w:themeColor="text1"/>
          <w:kern w:val="0"/>
          <w:sz w:val="24"/>
          <w:szCs w:val="24"/>
          <w:highlight w:val="none"/>
          <w:lang w:val="zh-CN"/>
          <w14:textFill>
            <w14:solidFill>
              <w14:schemeClr w14:val="tx1"/>
            </w14:solidFill>
          </w14:textFill>
        </w:rPr>
        <w:t>服务费用</w:t>
      </w:r>
      <w:r>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t>报价单</w:t>
      </w:r>
    </w:p>
    <w:p w14:paraId="438848A0">
      <w:pPr>
        <w:pStyle w:val="13"/>
        <w:pageBreakBefore w:val="0"/>
        <w:kinsoku/>
        <w:wordWrap/>
        <w:overflowPunct/>
        <w:topLinePunct w:val="0"/>
        <w:autoSpaceDE/>
        <w:bidi w:val="0"/>
        <w:adjustRightInd/>
        <w:spacing w:before="156" w:after="156" w:line="360" w:lineRule="atLeast"/>
        <w:ind w:left="0" w:firstLine="0"/>
        <w:rPr>
          <w:rFonts w:hint="eastAsia" w:asciiTheme="minorEastAsia" w:hAnsiTheme="minorEastAsia" w:eastAsiaTheme="minorEastAsia" w:cstheme="minorEastAsia"/>
          <w:b w:val="0"/>
          <w:color w:val="000000" w:themeColor="text1"/>
          <w:kern w:val="0"/>
          <w:sz w:val="24"/>
          <w:szCs w:val="24"/>
          <w:highlight w:val="none"/>
          <w14:textFill>
            <w14:solidFill>
              <w14:schemeClr w14:val="tx1"/>
            </w14:solidFill>
          </w14:textFill>
        </w:rPr>
      </w:pPr>
    </w:p>
    <w:p w14:paraId="7432AD1B">
      <w:pPr>
        <w:pStyle w:val="5"/>
        <w:pageBreakBefore w:val="0"/>
        <w:kinsoku/>
        <w:wordWrap/>
        <w:overflowPunct/>
        <w:topLinePunct w:val="0"/>
        <w:autoSpaceDE/>
        <w:bidi w:val="0"/>
        <w:adjustRightInd/>
        <w:spacing w:line="360" w:lineRule="atLeast"/>
        <w:rPr>
          <w:highlight w:val="none"/>
        </w:rPr>
      </w:pPr>
    </w:p>
    <w:p w14:paraId="532498AF">
      <w:pPr>
        <w:pStyle w:val="5"/>
        <w:pageBreakBefore w:val="0"/>
        <w:kinsoku/>
        <w:wordWrap/>
        <w:overflowPunct/>
        <w:topLinePunct w:val="0"/>
        <w:autoSpaceDE/>
        <w:bidi w:val="0"/>
        <w:adjustRightInd/>
        <w:spacing w:line="360" w:lineRule="atLeast"/>
        <w:rPr>
          <w:highlight w:val="none"/>
        </w:rPr>
      </w:pPr>
    </w:p>
    <w:p w14:paraId="356FD42B">
      <w:pPr>
        <w:pageBreakBefore w:val="0"/>
        <w:kinsoku/>
        <w:wordWrap/>
        <w:overflowPunct/>
        <w:topLinePunct w:val="0"/>
        <w:autoSpaceDE/>
        <w:bidi w:val="0"/>
        <w:adjustRightInd/>
        <w:spacing w:line="360" w:lineRule="atLeast"/>
        <w:rPr>
          <w:highlight w:val="none"/>
        </w:rPr>
      </w:pPr>
    </w:p>
    <w:sectPr>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38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37B0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037B0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NzkxMWQ5YzBlYWExOTI0YzI4Y2NlNzUzM2I2MTYifQ=="/>
  </w:docVars>
  <w:rsids>
    <w:rsidRoot w:val="73A22633"/>
    <w:rsid w:val="003A543A"/>
    <w:rsid w:val="005722C6"/>
    <w:rsid w:val="00596374"/>
    <w:rsid w:val="00B47D87"/>
    <w:rsid w:val="00C12DE3"/>
    <w:rsid w:val="00C33291"/>
    <w:rsid w:val="00C72D01"/>
    <w:rsid w:val="016623F6"/>
    <w:rsid w:val="02BE7E36"/>
    <w:rsid w:val="048D195A"/>
    <w:rsid w:val="04CB58C0"/>
    <w:rsid w:val="05AE43C7"/>
    <w:rsid w:val="082C13C4"/>
    <w:rsid w:val="09115566"/>
    <w:rsid w:val="09B66A37"/>
    <w:rsid w:val="0D80669F"/>
    <w:rsid w:val="0F0F009A"/>
    <w:rsid w:val="0F5A6659"/>
    <w:rsid w:val="104C1941"/>
    <w:rsid w:val="11FF0304"/>
    <w:rsid w:val="12D270D2"/>
    <w:rsid w:val="146B6E96"/>
    <w:rsid w:val="17824C23"/>
    <w:rsid w:val="17904DBF"/>
    <w:rsid w:val="18564E76"/>
    <w:rsid w:val="18DD08B8"/>
    <w:rsid w:val="19706CFD"/>
    <w:rsid w:val="19DC1D0F"/>
    <w:rsid w:val="1AA7315F"/>
    <w:rsid w:val="1B4D72F6"/>
    <w:rsid w:val="1D0D31E0"/>
    <w:rsid w:val="1EB560A0"/>
    <w:rsid w:val="1FF42436"/>
    <w:rsid w:val="20407FE0"/>
    <w:rsid w:val="24521E21"/>
    <w:rsid w:val="26A3390D"/>
    <w:rsid w:val="27CD03C3"/>
    <w:rsid w:val="27E86E74"/>
    <w:rsid w:val="2BC96E6C"/>
    <w:rsid w:val="2CDA6F87"/>
    <w:rsid w:val="2D493363"/>
    <w:rsid w:val="2D57692A"/>
    <w:rsid w:val="2E7B3D22"/>
    <w:rsid w:val="2EC73FC0"/>
    <w:rsid w:val="2F0329CC"/>
    <w:rsid w:val="2F2654D9"/>
    <w:rsid w:val="31F24FD0"/>
    <w:rsid w:val="321C6473"/>
    <w:rsid w:val="33044C2E"/>
    <w:rsid w:val="347D783B"/>
    <w:rsid w:val="354D466A"/>
    <w:rsid w:val="358A15BF"/>
    <w:rsid w:val="35D72186"/>
    <w:rsid w:val="36592B9B"/>
    <w:rsid w:val="37D66A75"/>
    <w:rsid w:val="37D90437"/>
    <w:rsid w:val="38E03F05"/>
    <w:rsid w:val="39557F91"/>
    <w:rsid w:val="3A1A0893"/>
    <w:rsid w:val="3AD824B3"/>
    <w:rsid w:val="3AF809D0"/>
    <w:rsid w:val="3BAE7D1F"/>
    <w:rsid w:val="468F0DEB"/>
    <w:rsid w:val="46AC64DE"/>
    <w:rsid w:val="47794E4B"/>
    <w:rsid w:val="47863A0C"/>
    <w:rsid w:val="47DD7AD0"/>
    <w:rsid w:val="49F00562"/>
    <w:rsid w:val="4A057BBA"/>
    <w:rsid w:val="4A241045"/>
    <w:rsid w:val="4C6023E1"/>
    <w:rsid w:val="4D095837"/>
    <w:rsid w:val="4D5C3245"/>
    <w:rsid w:val="4D6D629E"/>
    <w:rsid w:val="4E956D0F"/>
    <w:rsid w:val="4EA56E6D"/>
    <w:rsid w:val="4EB7C50B"/>
    <w:rsid w:val="4F056728"/>
    <w:rsid w:val="4FF010BD"/>
    <w:rsid w:val="4FFA1C4B"/>
    <w:rsid w:val="542E7456"/>
    <w:rsid w:val="54455968"/>
    <w:rsid w:val="54BE98F6"/>
    <w:rsid w:val="571406EC"/>
    <w:rsid w:val="571B05D1"/>
    <w:rsid w:val="58D11ECB"/>
    <w:rsid w:val="59701E3C"/>
    <w:rsid w:val="59D952BB"/>
    <w:rsid w:val="5A054C64"/>
    <w:rsid w:val="5ACE508A"/>
    <w:rsid w:val="5BDE403F"/>
    <w:rsid w:val="5D8201CD"/>
    <w:rsid w:val="5DDC1E8B"/>
    <w:rsid w:val="5EFD4DFA"/>
    <w:rsid w:val="5F25430E"/>
    <w:rsid w:val="60161979"/>
    <w:rsid w:val="64416899"/>
    <w:rsid w:val="64A13D8C"/>
    <w:rsid w:val="658253E4"/>
    <w:rsid w:val="6949691B"/>
    <w:rsid w:val="6F3FADA3"/>
    <w:rsid w:val="72181581"/>
    <w:rsid w:val="723F6B0D"/>
    <w:rsid w:val="73A22633"/>
    <w:rsid w:val="73AE605E"/>
    <w:rsid w:val="73C51294"/>
    <w:rsid w:val="73F5C443"/>
    <w:rsid w:val="744F6DB0"/>
    <w:rsid w:val="75FE37D1"/>
    <w:rsid w:val="762945A2"/>
    <w:rsid w:val="762B5DAB"/>
    <w:rsid w:val="7630676D"/>
    <w:rsid w:val="79ED796E"/>
    <w:rsid w:val="7B2621E4"/>
    <w:rsid w:val="7B6FB809"/>
    <w:rsid w:val="7BEF28FF"/>
    <w:rsid w:val="7BFB01FF"/>
    <w:rsid w:val="7C067BE7"/>
    <w:rsid w:val="7C75EF8F"/>
    <w:rsid w:val="7D0E5A5A"/>
    <w:rsid w:val="7DFBAEB2"/>
    <w:rsid w:val="7FBB64B0"/>
    <w:rsid w:val="7FE1E52B"/>
    <w:rsid w:val="7FFE8022"/>
    <w:rsid w:val="AFC9E57A"/>
    <w:rsid w:val="B3CED753"/>
    <w:rsid w:val="B7FD024D"/>
    <w:rsid w:val="BFB50373"/>
    <w:rsid w:val="CD7FF88A"/>
    <w:rsid w:val="DBC32795"/>
    <w:rsid w:val="DEF7E1AE"/>
    <w:rsid w:val="EEFBC07A"/>
    <w:rsid w:val="EFB79C88"/>
    <w:rsid w:val="F6F7B952"/>
    <w:rsid w:val="F9F37466"/>
    <w:rsid w:val="F9FF1FBB"/>
    <w:rsid w:val="FB357C13"/>
    <w:rsid w:val="FDFD2EC5"/>
    <w:rsid w:val="FFBB9038"/>
    <w:rsid w:val="FFBE8ACB"/>
    <w:rsid w:val="FFFF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asciiTheme="minorHAnsi" w:hAnsiTheme="minorHAnsi" w:eastAsiaTheme="minorEastAsia" w:cstheme="minorBidi"/>
      <w:sz w:val="28"/>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SH标题"/>
    <w:qFormat/>
    <w:uiPriority w:val="0"/>
    <w:pPr>
      <w:jc w:val="center"/>
    </w:pPr>
    <w:rPr>
      <w:rFonts w:ascii="Times New Roman" w:hAnsi="Times New Roman" w:eastAsia="黑体" w:cs="Times New Roman"/>
      <w:b/>
      <w:sz w:val="32"/>
      <w:lang w:val="en-US" w:eastAsia="zh-CN" w:bidi="ar-SA"/>
    </w:rPr>
  </w:style>
  <w:style w:type="paragraph" w:customStyle="1" w:styleId="13">
    <w:name w:val="SH标题1"/>
    <w:basedOn w:val="2"/>
    <w:qFormat/>
    <w:uiPriority w:val="0"/>
    <w:pPr>
      <w:spacing w:beforeLines="50" w:afterLines="50" w:line="360" w:lineRule="auto"/>
      <w:ind w:left="425" w:hanging="425"/>
    </w:pPr>
    <w:rPr>
      <w:sz w:val="24"/>
    </w:rPr>
  </w:style>
  <w:style w:type="paragraph" w:customStyle="1" w:styleId="14">
    <w:name w:val="SH标题1.1"/>
    <w:basedOn w:val="3"/>
    <w:qFormat/>
    <w:uiPriority w:val="0"/>
    <w:pPr>
      <w:spacing w:before="0" w:after="0" w:line="440" w:lineRule="exact"/>
      <w:ind w:left="992" w:hanging="567"/>
    </w:pPr>
    <w:rPr>
      <w:rFonts w:eastAsia="宋体"/>
      <w:b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ca129a91-e5e4-4c01-8ad0-5f204963f609</errorID>
      <errorWord>纬度</errorWord>
      <group>L1_Word</group>
      <groupName>字词问题</groupName>
      <ability>L2_Typo</ability>
      <abilityName>字词错误</abilityName>
      <candidateList>
        <item>维度</item>
      </candidateList>
      <explain/>
      <paraID>7AFF4AC8</paraID>
      <start>45</start>
      <end>47</end>
      <status>unmodified</status>
      <modifiedWord/>
      <trackRevisions>false</trackRevisions>
    </reviewItem>
    <reviewItem>
      <errorID>5ae39aae-ec5a-4435-be16-452bbc3ee829</errorID>
      <errorWord>技术指</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4DCD3C47</paraID>
      <start>203</start>
      <end>206</end>
      <status>unmodified</status>
      <modifiedWord/>
      <trackRevisions>false</trackRevisions>
    </reviewItem>
    <reviewItem>
      <errorID>d175e0f3-c32c-4af8-b1ac-144804d2f71b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4224BEE8</paraID>
      <start>134</start>
      <end>135</end>
      <status>unmodified</status>
      <modifiedWord/>
      <trackRevisions>false</trackRevisions>
    </reviewItem>
    <reviewItem>
      <errorID>7cb92a11-7dd8-4374-ac62-3019940b4316</errorID>
      <errorWord>雇佣</errorWord>
      <group>L1_Word</group>
      <groupName>字词问题</groupName>
      <ability>L2_Typo</ability>
      <abilityName>字词错误</abilityName>
      <candidateList>
        <item>雇用</item>
      </candidateList>
      <explain>存在发音相同字词的误用。</explain>
      <paraID>4DFA99F4</paraID>
      <start>23</start>
      <end>27</end>
      <status>modified</status>
      <modifiedWord>雇用</modifiedWord>
      <trackRevisions>true</trackRevisions>
    </reviewItem>
    <reviewItem>
      <errorID>afdac1a4-1ab0-4104-844a-7e112aa8e173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659C8134</paraID>
      <start>0</start>
      <end>2</end>
      <status>unmodified</status>
      <modifiedWord/>
      <trackRevisions>false</trackRevisions>
    </reviewItem>
    <reviewItem>
      <errorID>e3afc5c5-e1d4-47b9-9dfc-c90d55b02d07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51D68A90</paraID>
      <start>0</start>
      <end>2</end>
      <status>unmodified</status>
      <modifiedWord/>
      <trackRevisions>false</trackRevisions>
    </reviewItem>
    <reviewItem>
      <errorID>d4306fa5-9580-4230-a951-32ec11ad4534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523F391E</paraID>
      <start>0</start>
      <end>2</end>
      <status>unmodified</status>
      <modifiedWord/>
      <trackRevisions>false</trackRevisions>
    </reviewItem>
    <reviewItem>
      <errorID>2a72b7e0-e641-4f4f-b40a-d326ccbbf3b3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67607B39</paraID>
      <start>0</start>
      <end>2</end>
      <status>unmodified</status>
      <modifiedWord/>
      <trackRevisions>false</trackRevisions>
    </reviewItem>
    <reviewItem>
      <errorID>b5b701cd-7d31-44f8-b3c0-f7862f6abcad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47365C9</paraID>
      <start>0</start>
      <end>2</end>
      <status>unmodified</status>
      <modifiedWord/>
      <trackRevisions>false</trackRevisions>
    </reviewItem>
    <reviewItem>
      <errorID>15bc7a1b-4e5a-4607-993c-7d7050c585aa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89B145B</paraID>
      <start>0</start>
      <end>2</end>
      <status>unmodified</status>
      <modifiedWord/>
      <trackRevisions>false</trackRevisions>
    </reviewItem>
    <reviewItem>
      <errorID>b5bb55c5-3db0-4ee2-a207-00327ed43b45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5E975FEC</paraID>
      <start>0</start>
      <end>2</end>
      <status>unmodified</status>
      <modifiedWord/>
      <trackRevisions>false</trackRevisions>
    </reviewItem>
    <reviewItem>
      <errorID>c1e46b6f-8511-4ea0-ae52-ee39dcc321e8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51250F53</paraID>
      <start>0</start>
      <end>2</end>
      <status>unmodified</status>
      <modifiedWord/>
      <trackRevisions>false</trackRevisions>
    </reviewItem>
    <reviewItem>
      <errorID>ba771482-543d-43c5-a1c8-801a7d1726c2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53163AB1</paraID>
      <start>0</start>
      <end>2</end>
      <status>unmodified</status>
      <modifiedWord/>
      <trackRevisions>false</trackRevisions>
    </reviewItem>
    <reviewItem>
      <errorID>cc1a9559-e383-48f4-80c7-634c279695ab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14969FDF</paraID>
      <start>0</start>
      <end>2</end>
      <status>unmodified</status>
      <modifiedWord/>
      <trackRevisions>false</trackRevisions>
    </reviewItem>
    <reviewItem>
      <errorID>68496093-c7c0-440f-a79e-63ef0e309445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3E539F0F</paraID>
      <start>0</start>
      <end>2</end>
      <status>unmodified</status>
      <modifiedWord/>
      <trackRevisions>false</trackRevisions>
    </reviewItem>
    <reviewItem>
      <errorID>bad6b3ff-d801-4fc8-9f04-e40009592383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37EC1870</paraID>
      <start>0</start>
      <end>2</end>
      <status>unmodified</status>
      <modifiedWord/>
      <trackRevisions>false</trackRevisions>
    </reviewItem>
    <reviewItem>
      <errorID>cb0cbb46-93ac-46bc-9278-6cba1f88dbdb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61DFC315</paraID>
      <start>0</start>
      <end>2</end>
      <status>unmodified</status>
      <modifiedWord/>
      <trackRevisions>false</trackRevisions>
    </reviewItem>
    <reviewItem>
      <errorID>6c745ffd-33f9-43f1-95a4-bdac5936924d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2345271</paraID>
      <start>0</start>
      <end>2</end>
      <status>unmodified</status>
      <modifiedWord/>
      <trackRevisions>false</trackRevisions>
    </reviewItem>
    <reviewItem>
      <errorID>982462f3-ba10-4a17-9ffb-5034b0a5c24b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775A46F9</paraID>
      <start>0</start>
      <end>2</end>
      <status>unmodified</status>
      <modifiedWord/>
      <trackRevisions>false</trackRevisions>
    </reviewItem>
    <reviewItem>
      <errorID>9474c7a7-3671-425b-a7d3-b535d4715443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11C06E81</paraID>
      <start>0</start>
      <end>2</end>
      <status>unmodified</status>
      <modifiedWord/>
      <trackRevisions>false</trackRevisions>
    </reviewItem>
    <reviewItem>
      <errorID>b3ad7941-82ef-40a3-af3b-4e5f1f74bde6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6BA29B5</paraID>
      <start>0</start>
      <end>2</end>
      <status>unmodified</status>
      <modifiedWord/>
      <trackRevisions>false</trackRevisions>
    </reviewItem>
    <reviewItem>
      <errorID>5001fd59-06dc-4d06-a036-b63f489a3c19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74A8AA10</paraID>
      <start>0</start>
      <end>2</end>
      <status>unmodified</status>
      <modifiedWord/>
      <trackRevisions>false</trackRevisions>
    </reviewItem>
    <reviewItem>
      <errorID>c50de05f-1295-4ef6-ab96-95e7b349fb31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3EC29E22</paraID>
      <start>0</start>
      <end>2</end>
      <status>unmodified</status>
      <modifiedWord/>
      <trackRevisions>false</trackRevisions>
    </reviewItem>
    <reviewItem>
      <errorID>c06406a6-1f4d-45a1-9fd4-eaed56574144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49259A17</paraID>
      <start>0</start>
      <end>2</end>
      <status>unmodified</status>
      <modifiedWord/>
      <trackRevisions>false</trackRevisions>
    </reviewItem>
    <reviewItem>
      <errorID>56348fdb-05b7-4a49-b4bb-83e2b892a9de</errorID>
      <errorWord>）</errorWord>
      <group>L1_Punc</group>
      <groupName>标点问题</groupName>
      <ability>L2_Punc</ability>
      <abilityName>标点符号检查</abilityName>
      <candidateList/>
      <explain/>
      <paraID>32FD4B7A</paraID>
      <start>0</start>
      <end>1</end>
      <status>unmodified</status>
      <modifiedWord/>
      <trackRevisions>false</trackRevisions>
    </reviewItem>
    <reviewItem>
      <errorID>eaf6952a-6b57-4ace-a280-64628419c13d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353AD754</paraID>
      <start>0</start>
      <end>2</end>
      <status>unmodified</status>
      <modifiedWord/>
      <trackRevisions>false</trackRevisions>
    </reviewItem>
    <reviewItem>
      <errorID>35ecb388-a088-471c-b67d-299b4a6a29ed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5DD29064</paraID>
      <start>0</start>
      <end>2</end>
      <status>unmodified</status>
      <modifiedWord/>
      <trackRevisions>false</trackRevisions>
    </reviewItem>
    <reviewItem>
      <errorID>5760ae46-3402-40a7-bf35-f4e4e726824a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4B7E0253</paraID>
      <start>0</start>
      <end>2</end>
      <status>unmodified</status>
      <modifiedWord/>
      <trackRevisions>false</trackRevisions>
    </reviewItem>
    <reviewItem>
      <errorID>3ce7ff3b-2c7e-42e4-bb88-5442e19f498f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4767BFBC</paraID>
      <start>0</start>
      <end>2</end>
      <status>unmodified</status>
      <modifiedWord/>
      <trackRevisions>false</trackRevisions>
    </reviewItem>
    <reviewItem>
      <errorID>bbad001a-9099-425f-a440-8bc396306e92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49478D60</paraID>
      <start>0</start>
      <end>3</end>
      <status>unmodified</status>
      <modifiedWord/>
      <trackRevisions>false</trackRevisions>
    </reviewItem>
    <reviewItem>
      <errorID>d6c70780-8090-4f08-85a6-3a5f4844edf8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4361AFB5</paraID>
      <start>0</start>
      <end>3</end>
      <status>unmodified</status>
      <modifiedWord/>
      <trackRevisions>false</trackRevisions>
    </reviewItem>
    <reviewItem>
      <errorID>7b6a9fe1-7e4f-4810-94b9-ae588c83a00d</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7CC3092B</paraID>
      <start>19</start>
      <end>21</end>
      <status>unmodified</status>
      <modifiedWord/>
      <trackRevisions>false</trackRevisions>
    </reviewItem>
    <reviewItem>
      <errorID>2919c3a8-dfe1-43c3-b8d4-dd1d9857706a</errorID>
      <errorWord>须</errorWord>
      <group>L1_Word</group>
      <groupName>字词问题</groupName>
      <ability>L2_Typo</ability>
      <abilityName>字词错误</abilityName>
      <candidateList>
        <item>需</item>
      </candidateList>
      <explain>存在发音相同字词的误用。</explain>
      <paraID>1256DCB0</paraID>
      <start>35</start>
      <end>36</end>
      <status>unmodified</status>
      <modifiedWord/>
      <trackRevisions>false</trackRevisions>
    </reviewItem>
    <reviewItem>
      <errorID>049a1aac-f714-4a07-ac6b-f39464884940</errorID>
      <errorWord>,</errorWord>
      <group>L1_Format</group>
      <groupName>格式问题</groupName>
      <ability>L2_HalfPunc</ability>
      <abilityName>全半角检查</abilityName>
      <candidateList>
        <item>，</item>
      </candidateList>
      <explain>文本全半角错误。</explain>
      <paraID>19EB4EC4</paraID>
      <start>75</start>
      <end>76</end>
      <status>unmodified</status>
      <modifiedWord/>
      <trackRevisions>false</trackRevisions>
    </reviewItem>
    <reviewItem>
      <errorID>49a92067-3595-4c4e-b374-2d6807479ab5</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20B0031A</paraID>
      <start>9</start>
      <end>12</end>
      <status>unmodified</status>
      <modifiedWord/>
      <trackRevisions>false</trackRevisions>
    </reviewItem>
    <reviewItem>
      <errorID>3a64f4a8-fd7b-420b-8330-889535310e25</errorID>
      <errorWord>场所的</errorWord>
      <group>L1_Word</group>
      <groupName>字词问题</groupName>
      <ability>L2_Typo</ability>
      <abilityName>字词错误</abilityName>
      <candidateList>
        <item>场所</item>
      </candidateList>
      <explain/>
      <paraID>7EE6320A</paraID>
      <start>90</start>
      <end>93</end>
      <status>unmodified</status>
      <modifiedWord/>
      <trackRevisions>false</trackRevisions>
    </reviewItem>
    <reviewItem>
      <errorID>07616ad5-69bf-4660-a5dd-1ec8dc3b6ac7</errorID>
      <errorWord>,</errorWord>
      <group>L1_Format</group>
      <groupName>格式问题</groupName>
      <ability>L2_HalfPunc</ability>
      <abilityName>全半角检查</abilityName>
      <candidateList>
        <item>，</item>
      </candidateList>
      <explain>文本全半角错误。</explain>
      <paraID>18BE9EB1</paraID>
      <start>121</start>
      <end>122</end>
      <status>unmodified</status>
      <modifiedWord/>
      <trackRevisions>false</trackRevisions>
    </reviewItem>
    <reviewItem>
      <errorID>d33c8a37-72a9-4594-bb3a-0bcbc7144e1a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5A095FB7</paraID>
      <start>0</start>
      <end>2</end>
      <status>unmodified</status>
      <modifiedWord/>
      <trackRevisions>false</trackRevisions>
    </reviewItem>
    <reviewItem>
      <errorID>12fff56b-40ee-4504-800c-9fac6ea101a2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20BA197F</paraID>
      <start>0</start>
      <end>2</end>
      <status>unmodified</status>
      <modifiedWord/>
      <trackRevisions>false</trackRevisions>
    </reviewItem>
    <reviewItem>
      <errorID>7218d26a-2919-4ea6-9890-7d3883312d4c</errorID>
      <errorWord>协作</errorWord>
      <group>L1_Word</group>
      <groupName>字词问题</groupName>
      <ability>L2_Typo</ability>
      <abilityName>字词错误</abilityName>
      <candidateList>
        <item>协助</item>
      </candidateList>
      <explain/>
      <paraID>20BA197F</paraID>
      <start>22</start>
      <end>24</end>
      <status>unmodified</status>
      <modifiedWord/>
      <trackRevisions>false</trackRevisions>
    </reviewItem>
    <reviewItem>
      <errorID>cc2c1313-dd9e-4c95-9126-175ab6b2b843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40491795</paraID>
      <start>0</start>
      <end>2</end>
      <status>unmodified</status>
      <modifiedWord/>
      <trackRevisions>false</trackRevisions>
    </reviewItem>
    <reviewItem>
      <errorID>c1706c37-c0dc-45a6-bb8e-cc45ca639e12</errorID>
      <errorWord>高峰期</errorWord>
      <group>L1_Word</group>
      <groupName>字词问题</groupName>
      <ability>L2_Typo</ability>
      <abilityName>字词错误</abilityName>
      <candidateList>
        <item>高峰</item>
      </candidateList>
      <explain/>
      <paraID>40491795</paraID>
      <start>11</start>
      <end>14</end>
      <status>unmodified</status>
      <modifiedWord/>
      <trackRevisions>false</trackRevisions>
    </reviewItem>
    <reviewItem>
      <errorID>54e34b4f-19d3-40da-9450-6d33858b602c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4C9E6A0F</paraID>
      <start>0</start>
      <end>2</end>
      <status>unmodified</status>
      <modifiedWord/>
      <trackRevisions>false</trackRevisions>
    </reviewItem>
    <reviewItem>
      <errorID>801f3b0d-bf35-48d4-b2b3-0ccd6b79e5e9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65DD968E</paraID>
      <start>0</start>
      <end>2</end>
      <status>unmodified</status>
      <modifiedWord/>
      <trackRevisions>false</trackRevisions>
    </reviewItem>
    <reviewItem>
      <errorID>2f2bbab1-7d6c-474a-8a90-6f3f14e9381c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351D8A8E</paraID>
      <start>0</start>
      <end>2</end>
      <status>unmodified</status>
      <modifiedWord/>
      <trackRevisions>false</trackRevisions>
    </reviewItem>
    <reviewItem>
      <errorID>130e229a-6573-4e35-87d4-4d581f5c9ffa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3FB8DA3</paraID>
      <start>0</start>
      <end>2</end>
      <status>unmodified</status>
      <modifiedWord/>
      <trackRevisions>false</trackRevisions>
    </reviewItem>
    <reviewItem>
      <errorID>f2c7f383-4b8a-4bc9-ab20-f808767e466e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576B0652</paraID>
      <start>0</start>
      <end>2</end>
      <status>unmodified</status>
      <modifiedWord/>
      <trackRevisions>false</trackRevisions>
    </reviewItem>
    <reviewItem>
      <errorID>96542d70-fee6-427c-82eb-da271bba7818</errorID>
      <errorWord>协作</errorWord>
      <group>L1_Word</group>
      <groupName>字词问题</groupName>
      <ability>L2_Typo</ability>
      <abilityName>字词错误</abilityName>
      <candidateList>
        <item>协助</item>
      </candidateList>
      <explain/>
      <paraID>576B0652</paraID>
      <start>36</start>
      <end>38</end>
      <status>unmodified</status>
      <modifiedWord/>
      <trackRevisions>false</trackRevisions>
    </reviewItem>
    <reviewItem>
      <errorID>147075f3-288f-400b-9f9d-dfec6978cf09</errorID>
      <errorWord>部</errorWord>
      <group>L1_Word</group>
      <groupName>字词问题</groupName>
      <ability>L2_Typo</ability>
      <abilityName>字词错误</abilityName>
      <candidateList>
        <item>部对</item>
      </candidateList>
      <explain/>
      <paraID>576B0652</paraID>
      <start>40</start>
      <end>41</end>
      <status>unmodified</status>
      <modifiedWord/>
      <trackRevisions>false</trackRevisions>
    </reviewItem>
    <reviewItem>
      <errorID>5fb41325-6f53-47cc-a30a-ac1e510b3ec6</errorID>
      <errorWord>，</errorWord>
      <group>L1_Word</group>
      <groupName>字词问题</groupName>
      <ability>L2_Typo</ability>
      <abilityName>字词错误</abilityName>
      <candidateList>
        <item>，在</item>
      </candidateList>
      <explain/>
      <paraID>58238577</paraID>
      <start>39</start>
      <end>40</end>
      <status>unmodified</status>
      <modifiedWord/>
      <trackRevisions>false</trackRevisions>
    </reviewItem>
    <reviewItem>
      <errorID>4c3bbdd8-2471-493c-966e-ff19cf976e53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12E966F3</paraID>
      <start>5</start>
      <end>6</end>
      <status>unmodified</status>
      <modifiedWord/>
      <trackRevisions>false</trackRevisions>
    </reviewItem>
    <reviewItem>
      <errorID>094d596b-53b4-45a8-8a87-2b815f24d4f0</errorID>
      <errorWord>,</errorWord>
      <group>L1_Format</group>
      <groupName>格式问题</groupName>
      <ability>L2_HalfPunc</ability>
      <abilityName>全半角检查</abilityName>
      <candidateList>
        <item>，</item>
      </candidateList>
      <explain>文本全半角错误。</explain>
      <paraID>12E966F3</paraID>
      <start>17</start>
      <end>18</end>
      <status>unmodified</status>
      <modifiedWord/>
      <trackRevisions>false</trackRevisions>
    </reviewItem>
    <reviewItem>
      <errorID>9d1792df-d4eb-40b4-a4b3-7de81b92fc4d</errorID>
      <errorWord>预定</errorWord>
      <group>L1_Word</group>
      <groupName>字词问题</groupName>
      <ability>L2_Typo</ability>
      <abilityName>字词错误</abilityName>
      <candidateList>
        <item>预订</item>
      </candidateList>
      <explain>〈动〉预先订购：～报纸｜～酒席。</explain>
      <paraID> B630362</paraID>
      <start>10</start>
      <end>12</end>
      <status>unmodified</status>
      <modifiedWord/>
      <trackRevisions>false</trackRevisions>
    </reviewItem>
    <reviewItem>
      <errorID>273a7694-95bc-408a-aec3-631780c0112f</errorID>
      <errorWord>,</errorWord>
      <group>L1_Format</group>
      <groupName>格式问题</groupName>
      <ability>L2_HalfPunc</ability>
      <abilityName>全半角检查</abilityName>
      <candidateList>
        <item>，</item>
      </candidateList>
      <explain>文本全半角错误。</explain>
      <paraID> B630362</paraID>
      <start>17</start>
      <end>18</end>
      <status>unmodified</status>
      <modifiedWord/>
      <trackRevisions>false</trackRevisions>
    </reviewItem>
    <reviewItem>
      <errorID>58b6aab3-dac1-4592-9498-f830db573871</errorID>
      <errorWord>，</errorWord>
      <group>L1_Word</group>
      <groupName>字词问题</groupName>
      <ability>L2_Typo</ability>
      <abilityName>字词错误</abilityName>
      <candidateList>
        <item>，每</item>
      </candidateList>
      <explain/>
      <paraID> 3C82240</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bc402-3182-46f7-ae9d-c109b16c6d06}">
  <ds:schemaRefs/>
</ds:datastoreItem>
</file>

<file path=docProps/app.xml><?xml version="1.0" encoding="utf-8"?>
<Properties xmlns="http://schemas.openxmlformats.org/officeDocument/2006/extended-properties" xmlns:vt="http://schemas.openxmlformats.org/officeDocument/2006/docPropsVTypes">
  <Template>Normal</Template>
  <Pages>16</Pages>
  <Words>9215</Words>
  <Characters>9475</Characters>
  <Lines>58</Lines>
  <Paragraphs>16</Paragraphs>
  <TotalTime>0</TotalTime>
  <ScaleCrop>false</ScaleCrop>
  <LinksUpToDate>false</LinksUpToDate>
  <CharactersWithSpaces>9672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2023-04-14T01:00:00Z</dcterms:created>
  <dc:creator>Grace</dc:creator>
  <cp:lastModifiedBy>-</cp:lastModifiedBy>
  <dcterms:modified xsi:type="dcterms:W3CDTF">2026-04-03T01:45:14Z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FCA5834E17A090002AD7BC69D8706950_43</vt:lpwstr>
  </property>
  <property fmtid="{D5CDD505-2E9C-101B-9397-08002B2CF9AE}" pid="4" name="KSOTemplateDocerSaveRecord">
    <vt:lpwstr>eyJoZGlkIjoiMzEwNTM5NzYwMDRjMzkwZTVkZjY2ODkwMGIxNGU0OTUiLCJ1c2VySWQiOiIyODI0MTI0MTEifQ==</vt:lpwstr>
  </property>
</Properties>
</file>