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0"/>
        </w:tabs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综合评分表</w:t>
      </w:r>
    </w:p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kinsoku/>
        <w:autoSpaceDE/>
        <w:autoSpaceDN/>
        <w:adjustRightInd/>
        <w:snapToGrid/>
        <w:spacing w:before="0" w:beforeLines="0" w:afterLines="0" w:line="56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</w:rPr>
        <w:t>招标名称：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深圳市湾东物业服务有限公司2026年度员工体检</w:t>
      </w:r>
    </w:p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开标时间：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2026年X月X日</w:t>
      </w:r>
    </w:p>
    <w:p>
      <w:pPr>
        <w:spacing w:line="40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开标地点：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深圳市龙岗区天昊华庭西门服务大厅二楼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《商务标、技术标、价格标权重表和综合得分汇总》</w:t>
      </w:r>
    </w:p>
    <w:tbl>
      <w:tblPr>
        <w:tblStyle w:val="9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158"/>
        <w:gridCol w:w="2159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52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权重名称</w:t>
            </w:r>
          </w:p>
        </w:tc>
        <w:tc>
          <w:tcPr>
            <w:tcW w:w="2158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价格权重</w:t>
            </w:r>
          </w:p>
        </w:tc>
        <w:tc>
          <w:tcPr>
            <w:tcW w:w="2159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权重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5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2158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  <w:tc>
          <w:tcPr>
            <w:tcW w:w="2159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  <w:tc>
          <w:tcPr>
            <w:tcW w:w="2045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5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投标人综合得分</w:t>
            </w:r>
          </w:p>
        </w:tc>
        <w:tc>
          <w:tcPr>
            <w:tcW w:w="636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价格标得分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Cs w:val="21"/>
              </w:rPr>
              <w:t>商务得分+技术得分=100</w:t>
            </w:r>
          </w:p>
        </w:tc>
      </w:tr>
    </w:tbl>
    <w:p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0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35"/>
        <w:gridCol w:w="1504"/>
        <w:gridCol w:w="991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因素及权重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（30%）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2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1.价格分统一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采用</w:t>
            </w:r>
            <w:r>
              <w:rPr>
                <w:rFonts w:hint="eastAsia" w:ascii="仿宋" w:hAnsi="仿宋" w:eastAsia="仿宋" w:cs="仿宋"/>
                <w:color w:val="auto"/>
                <w:szCs w:val="21"/>
                <w:u w:val="single"/>
              </w:rPr>
              <w:t>低价优先法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计算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,即满足招标文件要求且投标价格最低的投标报价为评标基准价,其价格分为满分。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2.其他投标人的价格分统一按照下列公式计算：投标报价得分=(评标基准价/投标报价)×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（20%）</w:t>
            </w:r>
          </w:p>
        </w:tc>
        <w:tc>
          <w:tcPr>
            <w:tcW w:w="15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同类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28" w:type="dxa"/>
            <w:vAlign w:val="center"/>
          </w:tcPr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近三年（本项目公告截止日</w:t>
            </w: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倒推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）承接过单笔合同金额5万元以上或服务人数100人以上的团体体检服务案例，每提供1个得4分，满分20分。</w:t>
            </w:r>
          </w:p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证明材料：</w:t>
            </w:r>
          </w:p>
          <w:p>
            <w:pPr>
              <w:pStyle w:val="7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提供有效合同或中标通知书复印件，并加盖公章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（50%）</w:t>
            </w:r>
          </w:p>
        </w:tc>
        <w:tc>
          <w:tcPr>
            <w:tcW w:w="15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</w:t>
            </w:r>
            <w:bookmarkStart w:id="1" w:name="OLE_LINK3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  <w:bookmarkEnd w:id="1"/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2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bookmarkStart w:id="2" w:name="OLE_LINK2"/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bookmarkEnd w:id="2"/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体检流程安排、检前指导、检中服务、检后报告解读、异常结果跟踪等内容，综合评价方案的完整性、可操作性及服务保障能力。优（17—20分）：方案完整周密，各环节衔接顺畅，流程清晰，服务保障措施到位，可操作性强；良（12—16分）：方案较为完整，各环节基本到位，细节略有不足，整体可执行；中（7—11分）：方案基本满足要求，但存在明显疏漏或流程不够清晰；差（0—6分）：方案缺失严重，流程混乱，服务保障不足。</w:t>
            </w:r>
          </w:p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证明材料：</w:t>
            </w:r>
          </w:p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提供服务方案，加盖公章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增值服务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28" w:type="dxa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评审标准：</w:t>
            </w:r>
          </w:p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供应商在满足我司体检项目基本要求基础上，额外提供的增值服务内容，综合评价其丰富程度、实用性与性价比贡献。优（17—20分）：增值服务项目丰富多样，紧贴员工实际需求，显著提升体检性价比，服务诚意突出；良（12—16分）：提供一定数量的增值服务，具有一定实用性，性价比较好；中（7—11分）：增值服务较少，内容较为基础，性价比提升不明显；差（0—6分）：基本无增值服务，或所提供服务流于形式，性价比无提升。</w:t>
            </w:r>
          </w:p>
          <w:p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证明材料：</w:t>
            </w:r>
          </w:p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提供增值服务方案，加盖公章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体检报告与跟踪</w:t>
            </w:r>
          </w:p>
        </w:tc>
        <w:tc>
          <w:tcPr>
            <w:tcW w:w="991" w:type="dxa"/>
            <w:vAlign w:val="center"/>
          </w:tcPr>
          <w:p>
            <w:pPr>
              <w:ind w:firstLine="210" w:firstLineChars="100"/>
              <w:jc w:val="left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2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1.提供电子版报告+手机端查询，得2分；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2.提供团体汇总分析报告，得2分；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3.提供异常结果电话或当面解读服务，得3分；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4.提供绿色就医通道或转诊建议，得3分。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证明材料：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提供服务承诺或说明，加盖公章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5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总分合计</w:t>
            </w:r>
          </w:p>
        </w:tc>
      </w:tr>
    </w:tbl>
    <w:p>
      <w:pPr>
        <w:rPr>
          <w:rFonts w:hint="eastAsia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评审人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监督小组（签字）：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3ABB0E19"/>
    <w:rsid w:val="01D87C19"/>
    <w:rsid w:val="03AC1B29"/>
    <w:rsid w:val="03DC5AC5"/>
    <w:rsid w:val="0612468B"/>
    <w:rsid w:val="07073DFA"/>
    <w:rsid w:val="08696F7A"/>
    <w:rsid w:val="0E313809"/>
    <w:rsid w:val="0EC567D3"/>
    <w:rsid w:val="0EE875F0"/>
    <w:rsid w:val="0FB04A54"/>
    <w:rsid w:val="14070A03"/>
    <w:rsid w:val="1518048C"/>
    <w:rsid w:val="176936F4"/>
    <w:rsid w:val="19C817B5"/>
    <w:rsid w:val="1BFD774C"/>
    <w:rsid w:val="1C552695"/>
    <w:rsid w:val="1D566407"/>
    <w:rsid w:val="256A4A12"/>
    <w:rsid w:val="292D0DEB"/>
    <w:rsid w:val="30B91B6B"/>
    <w:rsid w:val="351F0280"/>
    <w:rsid w:val="3847480A"/>
    <w:rsid w:val="39F33306"/>
    <w:rsid w:val="3AA52853"/>
    <w:rsid w:val="3ABB0E19"/>
    <w:rsid w:val="3B767CDB"/>
    <w:rsid w:val="43B82F2C"/>
    <w:rsid w:val="480D1D73"/>
    <w:rsid w:val="48520C25"/>
    <w:rsid w:val="4E5B4F82"/>
    <w:rsid w:val="4E6C69D9"/>
    <w:rsid w:val="4FC235E9"/>
    <w:rsid w:val="51F57E97"/>
    <w:rsid w:val="5294522F"/>
    <w:rsid w:val="550A18BE"/>
    <w:rsid w:val="5DAB0963"/>
    <w:rsid w:val="60634492"/>
    <w:rsid w:val="609F1F3E"/>
    <w:rsid w:val="60B81678"/>
    <w:rsid w:val="6E602011"/>
    <w:rsid w:val="6EF966EE"/>
    <w:rsid w:val="6F3C65DA"/>
    <w:rsid w:val="6F7E046E"/>
    <w:rsid w:val="74630481"/>
    <w:rsid w:val="757C479D"/>
    <w:rsid w:val="79C06C6B"/>
    <w:rsid w:val="7A641B35"/>
    <w:rsid w:val="7ACE051D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next w:val="5"/>
    <w:unhideWhenUsed/>
    <w:qFormat/>
    <w:uiPriority w:val="99"/>
    <w:rPr>
      <w:rFonts w:ascii="宋体" w:cs="Courier New"/>
      <w:szCs w:val="21"/>
    </w:rPr>
  </w:style>
  <w:style w:type="paragraph" w:styleId="8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1539</Words>
  <Characters>1639</Characters>
  <Lines>0</Lines>
  <Paragraphs>0</Paragraphs>
  <TotalTime>0</TotalTime>
  <ScaleCrop>false</ScaleCrop>
  <LinksUpToDate>false</LinksUpToDate>
  <CharactersWithSpaces>1640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2023-03-27T02:08:00Z</dcterms:created>
  <dc:creator>Miya</dc:creator>
  <cp:lastModifiedBy>千里之行</cp:lastModifiedBy>
  <cp:lastPrinted>2026-04-15T03:22:00Z</cp:lastPrinted>
  <dcterms:modified xsi:type="dcterms:W3CDTF">2026-04-15T03:38:47Z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0C91F1570A6346FF984271DF1EA9FCBF</vt:lpwstr>
  </property>
  <property fmtid="{D5CDD505-2E9C-101B-9397-08002B2CF9AE}" pid="4" name="KSOTemplateDocerSaveRecord">
    <vt:lpwstr>eyJoZGlkIjoiMzEwNTM5NzYwMDRjMzkwZTVkZjY2ODkwMGIxNGU0OTUiLCJ1c2VySWQiOiIyODI0MTI0MTEifQ==</vt:lpwstr>
  </property>
</Properties>
</file>