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39F9">
      <w:pPr>
        <w:spacing w:line="239" w:lineRule="auto"/>
        <w:ind w:right="-31"/>
        <w:jc w:val="center"/>
        <w:rPr>
          <w:rFonts w:hint="eastAsia" w:ascii="宋体" w:hAnsi="宋体" w:eastAsia="宋体" w:cs="宋体"/>
          <w:sz w:val="44"/>
          <w:szCs w:val="44"/>
        </w:rPr>
      </w:pPr>
      <w:bookmarkStart w:id="0" w:name="_GoBack"/>
      <w:bookmarkEnd w:id="0"/>
      <w:r>
        <w:rPr>
          <w:rFonts w:hint="eastAsia" w:ascii="宋体" w:hAnsi="宋体" w:eastAsia="宋体" w:cs="宋体"/>
          <w:b/>
          <w:bCs/>
          <w:sz w:val="44"/>
          <w:szCs w:val="44"/>
          <w:lang w:val="en-US" w:eastAsia="zh-CN"/>
        </w:rPr>
        <w:t>深圳市龙岗区妇幼保健院住院部南栋十二楼产房装修改造提升工程设计服务</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深圳市龙岗区妇幼保健院住院部南栋十二楼产房装修改造提升工程设计服务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深圳市龙岗区妇幼保健院住院部南栋十二楼产房装修改造提升工程设计服务</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w:t>
      </w:r>
      <w:r>
        <w:rPr>
          <w:rFonts w:hint="eastAsia" w:ascii="仿宋_GB2312" w:hAnsi="仿宋_GB2312" w:eastAsia="仿宋_GB2312" w:cs="仿宋_GB2312"/>
          <w:sz w:val="32"/>
          <w:szCs w:val="32"/>
          <w:lang w:val="en-US" w:eastAsia="zh-CN"/>
        </w:rPr>
        <w:t>深圳市龙岗区妇幼保健院住院部南栋十二楼产房装修改造提升工程设计服务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设计范围</w:t>
      </w:r>
      <w:r>
        <w:rPr>
          <w:rFonts w:hint="eastAsia" w:ascii="仿宋_GB2312" w:hAnsi="仿宋_GB2312" w:eastAsia="仿宋_GB2312" w:cs="仿宋_GB2312"/>
          <w:sz w:val="32"/>
          <w:szCs w:val="32"/>
          <w:lang w:eastAsia="zh-CN"/>
        </w:rPr>
        <w:t>包括但不限于:①供热、给排水系统改造维修工程设计;②电气系统改造维修工程设计;③建筑设施、附属设施维修改造及室内装修工程设计;④消防、弱电设施维修改造工程设计;⑤其他一般专业性修缮工程设计，设计任务包括但不限于:方案设计（含效果图展示）、施工图设计、竣工图绘制、完成施工图设计审查以及消防设计审查等合规性建设程序。</w:t>
      </w:r>
      <w:r>
        <w:rPr>
          <w:rFonts w:hint="eastAsia" w:ascii="仿宋_GB2312" w:hAnsi="仿宋_GB2312" w:eastAsia="仿宋_GB2312" w:cs="仿宋_GB2312"/>
          <w:sz w:val="32"/>
          <w:szCs w:val="32"/>
          <w:highlight w:val="none"/>
          <w:lang w:val="en-US" w:eastAsia="zh-CN"/>
        </w:rPr>
        <w:t>。</w:t>
      </w:r>
    </w:p>
    <w:p w14:paraId="441911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严格履行规范，工程</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质量合格，按时完工，日常沟通顺畅，服务周到热情，及时响应工作指令</w:t>
      </w:r>
      <w:r>
        <w:rPr>
          <w:rFonts w:hint="eastAsia" w:ascii="仿宋_GB2312" w:hAnsi="仿宋_GB2312" w:eastAsia="仿宋_GB2312" w:cs="仿宋_GB2312"/>
          <w:sz w:val="32"/>
          <w:szCs w:val="32"/>
          <w:lang w:val="en-US" w:eastAsia="zh-CN"/>
        </w:rPr>
        <w:t>；</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3.本项目设计服务招标控制价为29.28万元。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120日历天（含设计阶段及施工阶段）。</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下浮率与报价不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（3）具备工程设计建筑行业（建筑工程）专业</w:t>
      </w:r>
      <w:r>
        <w:rPr>
          <w:rFonts w:hint="default"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1"/>
          <w:szCs w:val="31"/>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择优要素包括：资质等级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000000"/>
          <w:sz w:val="31"/>
          <w:szCs w:val="31"/>
          <w:highlight w:val="none"/>
        </w:rPr>
        <w:t>近3年同类业绩、近3年履约评价、项目负责人情况、</w:t>
      </w:r>
      <w:r>
        <w:rPr>
          <w:rFonts w:hint="default" w:ascii="仿宋_GB2312" w:hAnsi="仿宋_GB2312" w:eastAsia="仿宋_GB2312" w:cs="仿宋_GB2312"/>
          <w:color w:val="000000"/>
          <w:sz w:val="31"/>
          <w:szCs w:val="31"/>
          <w:highlight w:val="none"/>
          <w:lang w:val="en-US"/>
        </w:rPr>
        <w:t>人员配备情况</w:t>
      </w:r>
      <w:r>
        <w:rPr>
          <w:rFonts w:hint="default" w:ascii="仿宋_GB2312" w:hAnsi="仿宋_GB2312" w:eastAsia="仿宋_GB2312" w:cs="仿宋_GB2312"/>
          <w:color w:val="000000"/>
          <w:sz w:val="31"/>
          <w:szCs w:val="31"/>
          <w:highlight w:val="none"/>
          <w:lang w:eastAsia="zh-CN"/>
        </w:rPr>
        <w:t>（</w:t>
      </w:r>
      <w:r>
        <w:rPr>
          <w:rFonts w:hint="default" w:ascii="仿宋_GB2312" w:hAnsi="仿宋_GB2312" w:eastAsia="仿宋_GB2312" w:cs="仿宋_GB2312"/>
          <w:color w:val="000000"/>
          <w:sz w:val="31"/>
          <w:szCs w:val="31"/>
          <w:highlight w:val="none"/>
          <w:lang w:val="en-US" w:eastAsia="zh-CN"/>
        </w:rPr>
        <w:t>须提供设计机构所有人员最近一个月的社保证明文件</w:t>
      </w:r>
      <w:r>
        <w:rPr>
          <w:rFonts w:hint="default"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设计服务方案（包括项目总体概述及理解、设计质量控制、设计(重点难点)分析及解决方案、设计进度保障措施及相关的违约承诺）</w:t>
      </w:r>
      <w:r>
        <w:rPr>
          <w:rFonts w:hint="eastAsia" w:ascii="仿宋_GB2312" w:hAnsi="仿宋_GB2312" w:eastAsia="仿宋_GB2312" w:cs="仿宋_GB2312"/>
          <w:color w:val="000000"/>
          <w:sz w:val="31"/>
          <w:szCs w:val="31"/>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3695DA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日）发邮件报名登记</w:t>
      </w:r>
      <w:r>
        <w:rPr>
          <w:rFonts w:hint="eastAsia" w:ascii="仿宋_GB2312" w:hAnsi="仿宋_GB2312" w:eastAsia="仿宋_GB2312" w:cs="仿宋_GB2312"/>
          <w:sz w:val="32"/>
          <w:szCs w:val="32"/>
        </w:rPr>
        <w:t>，报名信息应包含投标人名称及投标资格佐证。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sz w:val="32"/>
          <w:szCs w:val="32"/>
          <w:highlight w:val="none"/>
        </w:rPr>
        <w:t>工程设计建筑行业（建筑工程）专业</w:t>
      </w:r>
      <w:r>
        <w:rPr>
          <w:rFonts w:hint="default"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w:t>
      </w:r>
      <w:r>
        <w:rPr>
          <w:rFonts w:hint="eastAsia" w:ascii="仿宋_GB2312" w:hAnsi="仿宋_GB2312" w:eastAsia="仿宋_GB2312" w:cs="仿宋_GB2312"/>
          <w:sz w:val="32"/>
          <w:szCs w:val="32"/>
          <w:highlight w:val="none"/>
          <w:lang w:val="en-US" w:eastAsia="zh-CN"/>
        </w:rPr>
        <w:t>证书（复印件）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B1197D">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深圳市龙岗区妇幼保健院住院部南栋十二楼产房装修改造提升工程设计服务</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224" w:type="pct"/>
        <w:jc w:val="center"/>
        <w:tblLayout w:type="fixed"/>
        <w:tblCellMar>
          <w:top w:w="0" w:type="dxa"/>
          <w:left w:w="108" w:type="dxa"/>
          <w:bottom w:w="0" w:type="dxa"/>
          <w:right w:w="108" w:type="dxa"/>
        </w:tblCellMar>
      </w:tblPr>
      <w:tblGrid>
        <w:gridCol w:w="1236"/>
        <w:gridCol w:w="1838"/>
        <w:gridCol w:w="2750"/>
        <w:gridCol w:w="2034"/>
        <w:gridCol w:w="1500"/>
      </w:tblGrid>
      <w:tr w14:paraId="119074C5">
        <w:tblPrEx>
          <w:tblCellMar>
            <w:top w:w="0" w:type="dxa"/>
            <w:left w:w="108" w:type="dxa"/>
            <w:bottom w:w="0" w:type="dxa"/>
            <w:right w:w="108" w:type="dxa"/>
          </w:tblCellMar>
        </w:tblPrEx>
        <w:trPr>
          <w:trHeight w:val="441" w:hRule="atLeast"/>
          <w:jc w:val="center"/>
        </w:trPr>
        <w:tc>
          <w:tcPr>
            <w:tcW w:w="1236"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  容</w:t>
            </w:r>
          </w:p>
        </w:tc>
        <w:tc>
          <w:tcPr>
            <w:tcW w:w="1838" w:type="dxa"/>
            <w:vMerge w:val="restart"/>
            <w:tcBorders>
              <w:top w:val="single" w:color="auto" w:sz="4" w:space="0"/>
              <w:left w:val="single" w:color="auto" w:sz="4" w:space="0"/>
              <w:right w:val="single" w:color="auto" w:sz="4" w:space="0"/>
            </w:tcBorders>
            <w:noWrap w:val="0"/>
            <w:vAlign w:val="center"/>
          </w:tcPr>
          <w:p w14:paraId="22D431C1">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预算金额</w:t>
            </w:r>
          </w:p>
          <w:p w14:paraId="621E6273">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（万元）</w:t>
            </w:r>
          </w:p>
        </w:tc>
        <w:tc>
          <w:tcPr>
            <w:tcW w:w="4784"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c>
          <w:tcPr>
            <w:tcW w:w="1500" w:type="dxa"/>
            <w:vMerge w:val="restart"/>
            <w:tcBorders>
              <w:top w:val="single" w:color="auto" w:sz="4" w:space="0"/>
              <w:left w:val="single" w:color="auto" w:sz="4" w:space="0"/>
              <w:right w:val="single" w:color="auto" w:sz="4" w:space="0"/>
            </w:tcBorders>
            <w:noWrap w:val="0"/>
            <w:vAlign w:val="center"/>
          </w:tcPr>
          <w:p w14:paraId="66562445">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工期（天）</w:t>
            </w:r>
          </w:p>
        </w:tc>
      </w:tr>
      <w:tr w14:paraId="253FDDB9">
        <w:tblPrEx>
          <w:tblCellMar>
            <w:top w:w="0" w:type="dxa"/>
            <w:left w:w="108" w:type="dxa"/>
            <w:bottom w:w="0" w:type="dxa"/>
            <w:right w:w="108" w:type="dxa"/>
          </w:tblCellMar>
        </w:tblPrEx>
        <w:trPr>
          <w:trHeight w:val="350" w:hRule="atLeast"/>
          <w:jc w:val="center"/>
        </w:trPr>
        <w:tc>
          <w:tcPr>
            <w:tcW w:w="1236"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1838" w:type="dxa"/>
            <w:vMerge w:val="continue"/>
            <w:tcBorders>
              <w:left w:val="single" w:color="auto" w:sz="4" w:space="0"/>
              <w:bottom w:val="single" w:color="auto" w:sz="4" w:space="0"/>
              <w:right w:val="single" w:color="auto" w:sz="4" w:space="0"/>
            </w:tcBorders>
            <w:noWrap w:val="0"/>
            <w:vAlign w:val="center"/>
          </w:tcPr>
          <w:p w14:paraId="2EBDFB8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2034"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投标报价（万元）</w:t>
            </w:r>
          </w:p>
        </w:tc>
        <w:tc>
          <w:tcPr>
            <w:tcW w:w="1500" w:type="dxa"/>
            <w:vMerge w:val="continue"/>
            <w:tcBorders>
              <w:left w:val="single" w:color="auto" w:sz="4" w:space="0"/>
              <w:bottom w:val="single" w:color="auto" w:sz="4" w:space="0"/>
              <w:right w:val="single" w:color="auto" w:sz="4" w:space="0"/>
            </w:tcBorders>
            <w:noWrap w:val="0"/>
            <w:vAlign w:val="center"/>
          </w:tcPr>
          <w:p w14:paraId="513877F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r>
      <w:tr w14:paraId="1FAD157D">
        <w:tblPrEx>
          <w:tblCellMar>
            <w:top w:w="0" w:type="dxa"/>
            <w:left w:w="108" w:type="dxa"/>
            <w:bottom w:w="0" w:type="dxa"/>
            <w:right w:w="108" w:type="dxa"/>
          </w:tblCellMar>
        </w:tblPrEx>
        <w:trPr>
          <w:trHeight w:val="52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设计费</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29.28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B365B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0DE01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r>
    </w:tbl>
    <w:p w14:paraId="78E2C533">
      <w:pPr>
        <w:widowControl w:val="0"/>
        <w:numPr>
          <w:ilvl w:val="0"/>
          <w:numId w:val="1"/>
        </w:numPr>
        <w:spacing w:line="36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4C75101E">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8E80CF9"/>
    <w:rsid w:val="09733E9E"/>
    <w:rsid w:val="09DE301A"/>
    <w:rsid w:val="0ECC40CA"/>
    <w:rsid w:val="0F9C03F8"/>
    <w:rsid w:val="11A24327"/>
    <w:rsid w:val="13DF41F7"/>
    <w:rsid w:val="14AF04B8"/>
    <w:rsid w:val="156E4163"/>
    <w:rsid w:val="17006556"/>
    <w:rsid w:val="17260524"/>
    <w:rsid w:val="17982E1A"/>
    <w:rsid w:val="17D97BB3"/>
    <w:rsid w:val="195A7BCA"/>
    <w:rsid w:val="19EC722B"/>
    <w:rsid w:val="1A5E0CB4"/>
    <w:rsid w:val="1DF77A22"/>
    <w:rsid w:val="1F8B663F"/>
    <w:rsid w:val="1FD60D63"/>
    <w:rsid w:val="2088512C"/>
    <w:rsid w:val="20EB7073"/>
    <w:rsid w:val="210C1E5F"/>
    <w:rsid w:val="22AA383E"/>
    <w:rsid w:val="22AF0896"/>
    <w:rsid w:val="241A0186"/>
    <w:rsid w:val="247E49C4"/>
    <w:rsid w:val="26EB01E9"/>
    <w:rsid w:val="275E1E0E"/>
    <w:rsid w:val="28DF786D"/>
    <w:rsid w:val="2A11002A"/>
    <w:rsid w:val="2A331DAD"/>
    <w:rsid w:val="2ADC0696"/>
    <w:rsid w:val="2D806F0C"/>
    <w:rsid w:val="2DC95120"/>
    <w:rsid w:val="2E694EE4"/>
    <w:rsid w:val="2EA12CED"/>
    <w:rsid w:val="30425342"/>
    <w:rsid w:val="30D23EFA"/>
    <w:rsid w:val="320A2917"/>
    <w:rsid w:val="32E0207D"/>
    <w:rsid w:val="33307277"/>
    <w:rsid w:val="334D1D6D"/>
    <w:rsid w:val="35092088"/>
    <w:rsid w:val="35660788"/>
    <w:rsid w:val="3603417D"/>
    <w:rsid w:val="37117B62"/>
    <w:rsid w:val="39396CB4"/>
    <w:rsid w:val="394B141C"/>
    <w:rsid w:val="39574214"/>
    <w:rsid w:val="39AC1920"/>
    <w:rsid w:val="3A214F0B"/>
    <w:rsid w:val="3A6D5215"/>
    <w:rsid w:val="3AB57411"/>
    <w:rsid w:val="3B7E0BFD"/>
    <w:rsid w:val="3C4B0C94"/>
    <w:rsid w:val="3CE45675"/>
    <w:rsid w:val="3D0B2E29"/>
    <w:rsid w:val="3D973A63"/>
    <w:rsid w:val="3DD424D3"/>
    <w:rsid w:val="3E295973"/>
    <w:rsid w:val="3E377959"/>
    <w:rsid w:val="3EBC69AD"/>
    <w:rsid w:val="3EE66CC3"/>
    <w:rsid w:val="3EEA735C"/>
    <w:rsid w:val="3F0C7DED"/>
    <w:rsid w:val="3F7424C8"/>
    <w:rsid w:val="3F811BD1"/>
    <w:rsid w:val="40DD0A7E"/>
    <w:rsid w:val="412A0EC4"/>
    <w:rsid w:val="413F2565"/>
    <w:rsid w:val="4251712A"/>
    <w:rsid w:val="427C033D"/>
    <w:rsid w:val="4312722F"/>
    <w:rsid w:val="43882D11"/>
    <w:rsid w:val="45E40155"/>
    <w:rsid w:val="46916C93"/>
    <w:rsid w:val="47667721"/>
    <w:rsid w:val="47CA56A6"/>
    <w:rsid w:val="4AE0041E"/>
    <w:rsid w:val="4B7C7600"/>
    <w:rsid w:val="4B850454"/>
    <w:rsid w:val="4F6B60D5"/>
    <w:rsid w:val="4FAB04B3"/>
    <w:rsid w:val="51D20087"/>
    <w:rsid w:val="51F656F6"/>
    <w:rsid w:val="52293911"/>
    <w:rsid w:val="525B6249"/>
    <w:rsid w:val="5A710CCE"/>
    <w:rsid w:val="5A944520"/>
    <w:rsid w:val="5C69192E"/>
    <w:rsid w:val="5D9E581E"/>
    <w:rsid w:val="5E503559"/>
    <w:rsid w:val="5ED928ED"/>
    <w:rsid w:val="5F242B53"/>
    <w:rsid w:val="604A1623"/>
    <w:rsid w:val="62A95CEB"/>
    <w:rsid w:val="63391B99"/>
    <w:rsid w:val="63B35DF0"/>
    <w:rsid w:val="641B6B36"/>
    <w:rsid w:val="651C36FE"/>
    <w:rsid w:val="66400FA5"/>
    <w:rsid w:val="674C7A2E"/>
    <w:rsid w:val="679D0BA9"/>
    <w:rsid w:val="68293505"/>
    <w:rsid w:val="689A2A1B"/>
    <w:rsid w:val="68D8246F"/>
    <w:rsid w:val="6987508D"/>
    <w:rsid w:val="69AE49D0"/>
    <w:rsid w:val="6A732ED5"/>
    <w:rsid w:val="6B0B25AC"/>
    <w:rsid w:val="6B115AC6"/>
    <w:rsid w:val="6FF71E7C"/>
    <w:rsid w:val="70B01C32"/>
    <w:rsid w:val="71197BF5"/>
    <w:rsid w:val="72F11C48"/>
    <w:rsid w:val="73EC487E"/>
    <w:rsid w:val="749B79B8"/>
    <w:rsid w:val="751C1DE6"/>
    <w:rsid w:val="76C43A85"/>
    <w:rsid w:val="774535D1"/>
    <w:rsid w:val="783D241E"/>
    <w:rsid w:val="786C2D3E"/>
    <w:rsid w:val="794D2FF2"/>
    <w:rsid w:val="7A801F18"/>
    <w:rsid w:val="7B0B0EFD"/>
    <w:rsid w:val="7B0F6797"/>
    <w:rsid w:val="7D692528"/>
    <w:rsid w:val="7E2B6DE5"/>
    <w:rsid w:val="7F443B8F"/>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5921</Words>
  <Characters>6156</Characters>
  <Lines>12</Lines>
  <Paragraphs>3</Paragraphs>
  <TotalTime>2</TotalTime>
  <ScaleCrop>false</ScaleCrop>
  <LinksUpToDate>false</LinksUpToDate>
  <CharactersWithSpaces>6415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2026-04-16T09:49:52Z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EAC5AA27D2FF4308B5D4E53CBA78B4AF_13</vt:lpwstr>
  </property>
  <property fmtid="{D5CDD505-2E9C-101B-9397-08002B2CF9AE}" pid="4" name="KSOTemplateDocerSaveRecord">
    <vt:lpwstr>eyJoZGlkIjoiODg4YmUyZjVkMTRhYjZhNTA5MTQ0YjE5NThhODEwNjUiLCJ1c2VySWQiOiIxMDE4NjkxMTQ2In0=</vt:lpwstr>
  </property>
</Properties>
</file>