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9C968">
      <w:pPr>
        <w:keepNext w:val="0"/>
        <w:keepLines w:val="0"/>
        <w:pageBreakBefore w:val="0"/>
        <w:kinsoku/>
        <w:wordWrap/>
        <w:overflowPunct/>
        <w:topLinePunct w:val="0"/>
        <w:autoSpaceDE/>
        <w:autoSpaceDN/>
        <w:bidi w:val="0"/>
        <w:adjustRightInd w:val="0"/>
        <w:snapToGrid/>
        <w:ind w:left="0" w:leftChars="0" w:firstLine="0" w:firstLineChars="0"/>
        <w:jc w:val="center"/>
        <w:textAlignment w:val="auto"/>
        <w:rPr>
          <w:del w:id="0" w:author="童奉孝" w:date="2026-04-15T09:19:08Z"/>
          <w:rFonts w:hint="eastAsia" w:ascii="方正小标宋简体" w:hAnsi="方正小标宋简体" w:eastAsia="方正小标宋简体" w:cs="方正小标宋简体"/>
          <w:sz w:val="44"/>
          <w:szCs w:val="44"/>
          <w:highlight w:val="none"/>
          <w:lang w:val="en-US" w:eastAsia="zh-CN"/>
        </w:rPr>
      </w:pPr>
      <w:del w:id="1" w:author="童奉孝" w:date="2026-04-15T09:19:08Z">
        <w:r>
          <w:rPr>
            <w:rFonts w:hint="eastAsia" w:ascii="方正小标宋简体" w:hAnsi="方正小标宋简体" w:eastAsia="方正小标宋简体" w:cs="方正小标宋简体"/>
            <w:sz w:val="44"/>
            <w:szCs w:val="44"/>
            <w:highlight w:val="none"/>
            <w:lang w:val="en-US" w:eastAsia="zh-CN"/>
          </w:rPr>
          <w:delText>龙岗区住房和建设局关于印发《龙岗区房屋市政工程参建单位深化落实“两制”管理工作指引》的通知</w:delText>
        </w:r>
      </w:del>
    </w:p>
    <w:p w14:paraId="2955BDDD">
      <w:pPr>
        <w:keepNext w:val="0"/>
        <w:keepLines w:val="0"/>
        <w:pageBreakBefore w:val="0"/>
        <w:kinsoku/>
        <w:wordWrap/>
        <w:overflowPunct/>
        <w:topLinePunct w:val="0"/>
        <w:autoSpaceDE/>
        <w:autoSpaceDN/>
        <w:bidi w:val="0"/>
        <w:adjustRightInd w:val="0"/>
        <w:snapToGrid/>
        <w:ind w:left="0" w:leftChars="0" w:firstLine="0" w:firstLineChars="0"/>
        <w:jc w:val="center"/>
        <w:textAlignment w:val="auto"/>
        <w:rPr>
          <w:del w:id="2" w:author="童奉孝" w:date="2026-04-15T09:19:08Z"/>
          <w:rFonts w:hint="eastAsia" w:ascii="方正小标宋简体" w:hAnsi="方正小标宋简体" w:eastAsia="方正小标宋简体" w:cs="方正小标宋简体"/>
          <w:sz w:val="44"/>
          <w:szCs w:val="44"/>
          <w:highlight w:val="none"/>
          <w:lang w:val="en-US" w:eastAsia="zh-CN"/>
        </w:rPr>
      </w:pPr>
    </w:p>
    <w:p w14:paraId="1A6B6EC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auto"/>
        <w:rPr>
          <w:del w:id="3" w:author="童奉孝" w:date="2026-04-15T09:19:08Z"/>
          <w:rFonts w:hint="eastAsia" w:ascii="仿宋_GB2312" w:hAnsi="仿宋_GB2312" w:eastAsia="仿宋_GB2312" w:cs="仿宋_GB2312"/>
          <w:highlight w:val="none"/>
          <w:lang w:val="en-US" w:eastAsia="zh-CN"/>
        </w:rPr>
      </w:pPr>
      <w:del w:id="4" w:author="童奉孝" w:date="2026-04-15T09:19:08Z">
        <w:r>
          <w:rPr>
            <w:rFonts w:hint="eastAsia" w:ascii="仿宋_GB2312" w:hAnsi="仿宋_GB2312" w:eastAsia="仿宋_GB2312" w:cs="仿宋_GB2312"/>
            <w:highlight w:val="none"/>
            <w:lang w:val="en-US" w:eastAsia="zh-CN"/>
          </w:rPr>
          <w:delText>各有关单位：</w:delText>
        </w:r>
      </w:del>
    </w:p>
    <w:p w14:paraId="384ED10C">
      <w:pPr>
        <w:ind w:left="0" w:leftChars="0" w:firstLine="608" w:firstLineChars="200"/>
        <w:jc w:val="left"/>
        <w:rPr>
          <w:del w:id="5" w:author="童奉孝" w:date="2026-04-15T09:19:08Z"/>
          <w:rFonts w:hint="eastAsia" w:ascii="仿宋_GB2312" w:hAnsi="仿宋_GB2312" w:eastAsia="仿宋_GB2312" w:cs="仿宋_GB2312"/>
          <w:b w:val="0"/>
          <w:bCs w:val="0"/>
          <w:color w:val="000000"/>
          <w:sz w:val="32"/>
          <w:szCs w:val="32"/>
          <w:highlight w:val="none"/>
          <w:lang w:val="en-US" w:eastAsia="zh-CN"/>
        </w:rPr>
      </w:pPr>
      <w:del w:id="6" w:author="童奉孝" w:date="2026-04-15T09:19:08Z">
        <w:r>
          <w:rPr>
            <w:rFonts w:hint="eastAsia" w:ascii="仿宋_GB2312" w:hAnsi="仿宋_GB2312" w:eastAsia="仿宋_GB2312" w:cs="仿宋_GB2312"/>
            <w:color w:val="auto"/>
            <w:sz w:val="32"/>
            <w:szCs w:val="32"/>
            <w:highlight w:val="none"/>
            <w:lang w:val="en-US" w:eastAsia="zh-CN"/>
          </w:rPr>
          <w:delText>为落实</w:delText>
        </w:r>
      </w:del>
      <w:del w:id="7" w:author="童奉孝" w:date="2026-04-15T09:19:08Z">
        <w:r>
          <w:rPr>
            <w:rFonts w:hint="eastAsia" w:ascii="仿宋_GB2312" w:hAnsi="仿宋_GB2312" w:eastAsia="仿宋_GB2312" w:cs="仿宋_GB2312"/>
            <w:color w:val="auto"/>
            <w:kern w:val="2"/>
            <w:sz w:val="32"/>
            <w:szCs w:val="32"/>
            <w:highlight w:val="none"/>
            <w:lang w:val="en-US" w:eastAsia="zh-CN" w:bidi="ar"/>
          </w:rPr>
          <w:delText>区委区政府关于工程建设领域劳资纠纷治理工作部署，</w:delText>
        </w:r>
      </w:del>
      <w:del w:id="8" w:author="童奉孝" w:date="2026-04-15T09:19:08Z">
        <w:r>
          <w:rPr>
            <w:rFonts w:hint="eastAsia" w:ascii="仿宋_GB2312" w:hAnsi="仿宋_GB2312" w:eastAsia="仿宋_GB2312" w:cs="仿宋_GB2312"/>
            <w:sz w:val="32"/>
            <w:szCs w:val="32"/>
            <w:highlight w:val="none"/>
            <w:lang w:val="en-US" w:eastAsia="zh-CN"/>
          </w:rPr>
          <w:delText>全面深化龙岗区房屋市政工程建设领域用工实名制和工资分账制管理，进一步优化项目“两制”管理自查自纠工作，落实各参建单位保障工资支付主体责任，有效推动保障工资支付核心制度执行，预防和化解劳资纠纷，</w:delText>
        </w:r>
      </w:del>
      <w:del w:id="9" w:author="童奉孝" w:date="2026-04-15T09:19:08Z">
        <w:r>
          <w:rPr>
            <w:rFonts w:hint="eastAsia" w:ascii="仿宋_GB2312" w:hAnsi="仿宋_GB2312" w:eastAsia="仿宋_GB2312" w:cs="仿宋_GB2312"/>
            <w:color w:val="000000"/>
            <w:sz w:val="32"/>
            <w:szCs w:val="32"/>
            <w:highlight w:val="none"/>
            <w:lang w:val="en-US" w:eastAsia="zh-CN"/>
          </w:rPr>
          <w:delText>我局制定了《龙岗区房屋市政工程参建单位深化落实“两制”管理工作指引》，现予以印发，请各有关单位严格执行</w:delText>
        </w:r>
      </w:del>
      <w:del w:id="10" w:author="童奉孝" w:date="2026-04-15T09:19:08Z">
        <w:r>
          <w:rPr>
            <w:rFonts w:hint="eastAsia" w:ascii="仿宋_GB2312" w:hAnsi="仿宋_GB2312" w:eastAsia="仿宋_GB2312" w:cs="仿宋_GB2312"/>
            <w:b w:val="0"/>
            <w:bCs w:val="0"/>
            <w:color w:val="000000"/>
            <w:sz w:val="32"/>
            <w:szCs w:val="32"/>
            <w:highlight w:val="none"/>
          </w:rPr>
          <w:delText>。</w:delText>
        </w:r>
      </w:del>
    </w:p>
    <w:p w14:paraId="342DF26C">
      <w:pPr>
        <w:ind w:left="0" w:leftChars="0" w:firstLine="608" w:firstLineChars="200"/>
        <w:jc w:val="both"/>
        <w:rPr>
          <w:del w:id="11" w:author="童奉孝" w:date="2026-04-15T09:19:08Z"/>
          <w:rFonts w:hint="default" w:ascii="仿宋_GB2312" w:hAnsi="仿宋_GB2312" w:eastAsia="仿宋_GB2312" w:cs="仿宋_GB2312"/>
          <w:b w:val="0"/>
          <w:bCs w:val="0"/>
          <w:color w:val="000000"/>
          <w:sz w:val="32"/>
          <w:szCs w:val="32"/>
          <w:highlight w:val="none"/>
          <w:lang w:val="en-US" w:eastAsia="zh-CN"/>
        </w:rPr>
      </w:pPr>
      <w:del w:id="12" w:author="童奉孝" w:date="2026-04-15T09:19:08Z">
        <w:r>
          <w:rPr>
            <w:rFonts w:hint="eastAsia" w:ascii="仿宋_GB2312" w:hAnsi="仿宋_GB2312" w:eastAsia="仿宋_GB2312" w:cs="仿宋_GB2312"/>
            <w:b w:val="0"/>
            <w:bCs w:val="0"/>
            <w:color w:val="000000"/>
            <w:sz w:val="32"/>
            <w:szCs w:val="32"/>
            <w:highlight w:val="none"/>
            <w:lang w:val="en-US" w:eastAsia="zh-CN"/>
          </w:rPr>
          <w:delText>特此通知。</w:delText>
        </w:r>
      </w:del>
    </w:p>
    <w:p w14:paraId="1BAF1ABB">
      <w:pPr>
        <w:ind w:left="0" w:leftChars="0" w:firstLine="608" w:firstLineChars="200"/>
        <w:jc w:val="right"/>
        <w:rPr>
          <w:del w:id="13" w:author="童奉孝" w:date="2026-04-15T09:19:08Z"/>
          <w:rFonts w:hint="eastAsia" w:ascii="仿宋_GB2312" w:hAnsi="仿宋_GB2312" w:eastAsia="仿宋_GB2312" w:cs="仿宋_GB2312"/>
          <w:b w:val="0"/>
          <w:bCs w:val="0"/>
          <w:color w:val="000000"/>
          <w:sz w:val="32"/>
          <w:szCs w:val="32"/>
          <w:highlight w:val="none"/>
          <w:lang w:val="en-US" w:eastAsia="zh-CN"/>
        </w:rPr>
      </w:pPr>
    </w:p>
    <w:p w14:paraId="4334FC7A">
      <w:pPr>
        <w:ind w:left="0" w:leftChars="0" w:firstLine="608" w:firstLineChars="200"/>
        <w:jc w:val="center"/>
        <w:rPr>
          <w:del w:id="14" w:author="童奉孝" w:date="2026-04-15T09:19:08Z"/>
          <w:rFonts w:hint="eastAsia" w:ascii="仿宋_GB2312" w:hAnsi="仿宋_GB2312" w:eastAsia="仿宋_GB2312" w:cs="仿宋_GB2312"/>
          <w:b w:val="0"/>
          <w:bCs w:val="0"/>
          <w:color w:val="000000"/>
          <w:sz w:val="32"/>
          <w:szCs w:val="32"/>
          <w:highlight w:val="none"/>
          <w:lang w:val="en-US" w:eastAsia="zh-CN"/>
        </w:rPr>
      </w:pPr>
      <w:del w:id="15" w:author="童奉孝" w:date="2026-04-15T09:19:08Z">
        <w:r>
          <w:rPr>
            <w:rFonts w:hint="eastAsia" w:ascii="仿宋_GB2312" w:hAnsi="仿宋_GB2312" w:eastAsia="仿宋_GB2312" w:cs="仿宋_GB2312"/>
            <w:b w:val="0"/>
            <w:bCs w:val="0"/>
            <w:color w:val="000000"/>
            <w:sz w:val="32"/>
            <w:szCs w:val="32"/>
            <w:highlight w:val="none"/>
            <w:lang w:val="en-US" w:eastAsia="zh-CN"/>
          </w:rPr>
          <w:delText xml:space="preserve">                               龙岗区住房和建设局</w:delText>
        </w:r>
      </w:del>
    </w:p>
    <w:p w14:paraId="27B7E0FF">
      <w:pPr>
        <w:ind w:left="0" w:leftChars="0" w:firstLine="608" w:firstLineChars="200"/>
        <w:jc w:val="center"/>
        <w:rPr>
          <w:del w:id="16" w:author="童奉孝" w:date="2026-04-15T09:19:08Z"/>
          <w:rFonts w:hint="default" w:ascii="仿宋_GB2312" w:hAnsi="仿宋_GB2312" w:eastAsia="仿宋_GB2312" w:cs="仿宋_GB2312"/>
          <w:b w:val="0"/>
          <w:bCs w:val="0"/>
          <w:color w:val="000000"/>
          <w:sz w:val="32"/>
          <w:szCs w:val="32"/>
          <w:highlight w:val="none"/>
          <w:lang w:val="en-US" w:eastAsia="zh-CN"/>
        </w:rPr>
      </w:pPr>
      <w:del w:id="17" w:author="童奉孝" w:date="2026-04-15T09:19:08Z">
        <w:r>
          <w:rPr>
            <w:rFonts w:hint="eastAsia" w:ascii="仿宋_GB2312" w:hAnsi="仿宋_GB2312" w:eastAsia="仿宋_GB2312" w:cs="仿宋_GB2312"/>
            <w:b w:val="0"/>
            <w:bCs w:val="0"/>
            <w:color w:val="000000"/>
            <w:sz w:val="32"/>
            <w:szCs w:val="32"/>
            <w:highlight w:val="none"/>
            <w:lang w:val="en-US" w:eastAsia="zh-CN"/>
          </w:rPr>
          <w:delText xml:space="preserve">                                2026年4月X日</w:delText>
        </w:r>
      </w:del>
    </w:p>
    <w:p w14:paraId="5FBA2F54">
      <w:pPr>
        <w:ind w:left="1520" w:leftChars="200" w:hanging="912" w:hangingChars="300"/>
        <w:rPr>
          <w:del w:id="18" w:author="童奉孝" w:date="2026-04-15T09:19:08Z"/>
          <w:rFonts w:hint="eastAsia" w:ascii="仿宋_GB2312" w:hAnsi="仿宋_GB2312" w:eastAsia="仿宋_GB2312" w:cs="仿宋_GB2312"/>
          <w:b w:val="0"/>
          <w:bCs w:val="0"/>
          <w:color w:val="000000"/>
          <w:sz w:val="32"/>
          <w:szCs w:val="32"/>
          <w:highlight w:val="none"/>
          <w:lang w:val="en-US" w:eastAsia="zh-CN"/>
        </w:rPr>
      </w:pPr>
    </w:p>
    <w:p w14:paraId="06975F13">
      <w:pPr>
        <w:ind w:left="1520" w:leftChars="200" w:hanging="912" w:hangingChars="300"/>
        <w:rPr>
          <w:del w:id="19" w:author="童奉孝" w:date="2026-04-15T09:19:08Z"/>
          <w:rFonts w:hint="default" w:ascii="仿宋_GB2312" w:hAnsi="仿宋_GB2312" w:eastAsia="仿宋_GB2312" w:cs="仿宋_GB2312"/>
          <w:b w:val="0"/>
          <w:bCs w:val="0"/>
          <w:color w:val="000000"/>
          <w:sz w:val="32"/>
          <w:szCs w:val="32"/>
          <w:highlight w:val="none"/>
          <w:lang w:val="en-US" w:eastAsia="zh-CN"/>
        </w:rPr>
      </w:pPr>
      <w:del w:id="20" w:author="童奉孝" w:date="2026-04-15T09:19:08Z">
        <w:r>
          <w:rPr>
            <w:rFonts w:hint="eastAsia" w:ascii="仿宋_GB2312" w:hAnsi="仿宋_GB2312" w:eastAsia="仿宋_GB2312" w:cs="仿宋_GB2312"/>
            <w:b w:val="0"/>
            <w:bCs w:val="0"/>
            <w:color w:val="000000"/>
            <w:sz w:val="32"/>
            <w:szCs w:val="32"/>
            <w:highlight w:val="none"/>
            <w:lang w:val="en-US" w:eastAsia="zh-CN"/>
          </w:rPr>
          <w:delText>附件：</w:delText>
        </w:r>
      </w:del>
      <w:del w:id="21" w:author="童奉孝" w:date="2026-04-15T09:19:08Z">
        <w:r>
          <w:rPr>
            <w:rFonts w:hint="eastAsia" w:ascii="仿宋_GB2312" w:hAnsi="仿宋_GB2312" w:eastAsia="仿宋_GB2312" w:cs="仿宋_GB2312"/>
            <w:color w:val="000000"/>
            <w:sz w:val="32"/>
            <w:szCs w:val="32"/>
            <w:highlight w:val="none"/>
            <w:lang w:val="en-US" w:eastAsia="zh-CN"/>
          </w:rPr>
          <w:delText>龙岗区房屋市政工程参建单位深化落实“两制”管理工作指引</w:delText>
        </w:r>
      </w:del>
    </w:p>
    <w:p w14:paraId="3677103C">
      <w:pPr>
        <w:keepNext w:val="0"/>
        <w:keepLines w:val="0"/>
        <w:pageBreakBefore w:val="0"/>
        <w:kinsoku/>
        <w:wordWrap/>
        <w:overflowPunct/>
        <w:topLinePunct w:val="0"/>
        <w:autoSpaceDE/>
        <w:autoSpaceDN/>
        <w:bidi w:val="0"/>
        <w:adjustRightInd w:val="0"/>
        <w:snapToGrid/>
        <w:ind w:left="0" w:leftChars="0" w:firstLine="0" w:firstLineChars="0"/>
        <w:jc w:val="center"/>
        <w:textAlignment w:val="auto"/>
        <w:rPr>
          <w:del w:id="22" w:author="童奉孝" w:date="2026-04-15T09:19:08Z"/>
          <w:rFonts w:hint="eastAsia" w:ascii="方正小标宋简体" w:hAnsi="方正小标宋简体" w:eastAsia="方正小标宋简体" w:cs="方正小标宋简体"/>
          <w:sz w:val="44"/>
          <w:szCs w:val="44"/>
          <w:highlight w:val="none"/>
          <w:lang w:val="en-US" w:eastAsia="zh-CN"/>
        </w:rPr>
      </w:pPr>
    </w:p>
    <w:p w14:paraId="607D4F78">
      <w:pPr>
        <w:keepNext w:val="0"/>
        <w:keepLines w:val="0"/>
        <w:pageBreakBefore w:val="0"/>
        <w:kinsoku/>
        <w:wordWrap/>
        <w:overflowPunct/>
        <w:topLinePunct w:val="0"/>
        <w:autoSpaceDE/>
        <w:autoSpaceDN/>
        <w:bidi w:val="0"/>
        <w:adjustRightInd/>
        <w:snapToGrid/>
        <w:ind w:left="0" w:leftChars="0" w:firstLine="608" w:firstLineChars="200"/>
        <w:jc w:val="center"/>
        <w:textAlignment w:val="auto"/>
        <w:rPr>
          <w:del w:id="23" w:author="童奉孝" w:date="2026-04-15T09:19:08Z"/>
          <w:rFonts w:hint="eastAsia" w:ascii="仿宋_GB2312" w:hAnsi="仿宋_GB2312" w:eastAsia="仿宋_GB2312" w:cs="仿宋_GB2312"/>
          <w:color w:val="000000"/>
          <w:sz w:val="32"/>
          <w:szCs w:val="32"/>
          <w:highlight w:val="none"/>
          <w:lang w:val="en-US" w:eastAsia="zh-CN"/>
        </w:rPr>
      </w:pPr>
      <w:del w:id="24" w:author="童奉孝" w:date="2026-04-15T09:19:08Z">
        <w:r>
          <w:rPr>
            <w:rFonts w:hint="eastAsia" w:ascii="仿宋_GB2312" w:hAnsi="仿宋_GB2312" w:eastAsia="仿宋_GB2312" w:cs="仿宋_GB2312"/>
            <w:color w:val="000000"/>
            <w:sz w:val="32"/>
            <w:szCs w:val="32"/>
            <w:highlight w:val="none"/>
            <w:lang w:val="en-US" w:eastAsia="zh-CN"/>
          </w:rPr>
          <w:delText>（联系人：童工，联系电话：13760180737）</w:delText>
        </w:r>
      </w:del>
    </w:p>
    <w:p w14:paraId="69F7D7E3">
      <w:pPr>
        <w:keepNext w:val="0"/>
        <w:keepLines w:val="0"/>
        <w:pageBreakBefore w:val="0"/>
        <w:kinsoku/>
        <w:wordWrap/>
        <w:overflowPunct/>
        <w:topLinePunct w:val="0"/>
        <w:autoSpaceDE/>
        <w:autoSpaceDN/>
        <w:bidi w:val="0"/>
        <w:adjustRightInd w:val="0"/>
        <w:snapToGrid/>
        <w:ind w:left="0" w:leftChars="0" w:firstLine="0" w:firstLineChars="0"/>
        <w:jc w:val="center"/>
        <w:textAlignment w:val="auto"/>
        <w:rPr>
          <w:del w:id="25" w:author="童奉孝" w:date="2026-04-15T09:19:09Z"/>
          <w:rFonts w:hint="eastAsia" w:ascii="方正小标宋简体" w:hAnsi="方正小标宋简体" w:eastAsia="方正小标宋简体" w:cs="方正小标宋简体"/>
          <w:sz w:val="44"/>
          <w:szCs w:val="44"/>
          <w:highlight w:val="none"/>
          <w:lang w:val="en-US" w:eastAsia="zh-CN"/>
        </w:rPr>
      </w:pPr>
    </w:p>
    <w:p w14:paraId="1A2EBA8A">
      <w:pPr>
        <w:keepNext w:val="0"/>
        <w:keepLines w:val="0"/>
        <w:pageBreakBefore w:val="0"/>
        <w:kinsoku/>
        <w:wordWrap/>
        <w:overflowPunct/>
        <w:topLinePunct w:val="0"/>
        <w:autoSpaceDE/>
        <w:autoSpaceDN/>
        <w:bidi w:val="0"/>
        <w:adjustRightInd w:val="0"/>
        <w:snapToGrid/>
        <w:ind w:left="0" w:leftChars="0" w:firstLine="0" w:firstLineChars="0"/>
        <w:jc w:val="both"/>
        <w:textAlignment w:val="auto"/>
        <w:rPr>
          <w:rFonts w:hint="eastAsia" w:ascii="方正黑体_GBK" w:hAnsi="方正黑体_GBK" w:eastAsia="方正黑体_GBK" w:cs="方正黑体_GBK"/>
          <w:sz w:val="32"/>
          <w:szCs w:val="32"/>
          <w:highlight w:val="none"/>
          <w:lang w:val="en-US" w:eastAsia="zh-CN"/>
        </w:rPr>
      </w:pPr>
      <w:bookmarkStart w:id="0" w:name="_GoBack"/>
      <w:bookmarkEnd w:id="0"/>
      <w:r>
        <w:rPr>
          <w:rFonts w:hint="eastAsia" w:ascii="方正黑体_GBK" w:hAnsi="方正黑体_GBK" w:eastAsia="方正黑体_GBK" w:cs="方正黑体_GBK"/>
          <w:sz w:val="32"/>
          <w:szCs w:val="32"/>
          <w:highlight w:val="none"/>
          <w:lang w:val="en-US" w:eastAsia="zh-CN"/>
        </w:rPr>
        <w:t>附件</w:t>
      </w:r>
      <w:del w:id="26" w:author="童奉孝" w:date="2026-04-13T11:23:11Z">
        <w:r>
          <w:rPr>
            <w:rFonts w:hint="eastAsia" w:ascii="方正黑体_GBK" w:hAnsi="方正黑体_GBK" w:eastAsia="方正黑体_GBK" w:cs="方正黑体_GBK"/>
            <w:sz w:val="32"/>
            <w:szCs w:val="32"/>
            <w:highlight w:val="none"/>
            <w:lang w:val="en-US" w:eastAsia="zh-CN"/>
          </w:rPr>
          <w:delText>：</w:delText>
        </w:r>
      </w:del>
    </w:p>
    <w:p w14:paraId="75113E63">
      <w:pPr>
        <w:keepNext w:val="0"/>
        <w:keepLines w:val="0"/>
        <w:pageBreakBefore w:val="0"/>
        <w:kinsoku/>
        <w:wordWrap/>
        <w:overflowPunct/>
        <w:topLinePunct w:val="0"/>
        <w:autoSpaceDE/>
        <w:autoSpaceDN/>
        <w:bidi w:val="0"/>
        <w:adjustRightInd w:val="0"/>
        <w:snapToGrid/>
        <w:ind w:left="0" w:leftChars="0"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p>
    <w:p w14:paraId="2D0E0670">
      <w:pPr>
        <w:keepNext w:val="0"/>
        <w:keepLines w:val="0"/>
        <w:pageBreakBefore w:val="0"/>
        <w:kinsoku/>
        <w:wordWrap/>
        <w:overflowPunct/>
        <w:topLinePunct w:val="0"/>
        <w:autoSpaceDE/>
        <w:autoSpaceDN/>
        <w:bidi w:val="0"/>
        <w:adjustRightInd w:val="0"/>
        <w:snapToGrid/>
        <w:ind w:left="0" w:leftChars="0"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龙岗区房屋市政工程参建单位深化落实“两制”管理工作指引</w:t>
      </w:r>
    </w:p>
    <w:p w14:paraId="0D613448">
      <w:pPr>
        <w:keepNext w:val="0"/>
        <w:keepLines w:val="0"/>
        <w:pageBreakBefore w:val="0"/>
        <w:kinsoku/>
        <w:wordWrap/>
        <w:overflowPunct/>
        <w:topLinePunct w:val="0"/>
        <w:autoSpaceDE/>
        <w:autoSpaceDN/>
        <w:bidi w:val="0"/>
        <w:adjustRightInd w:val="0"/>
        <w:snapToGrid/>
        <w:ind w:left="0" w:leftChars="0" w:firstLine="0" w:firstLineChars="0"/>
        <w:jc w:val="center"/>
        <w:textAlignment w:val="auto"/>
        <w:rPr>
          <w:del w:id="27" w:author="童奉孝" w:date="2026-04-13T11:23:09Z"/>
          <w:rFonts w:hint="eastAsia" w:ascii="CESI楷体-GB2312" w:hAnsi="CESI楷体-GB2312" w:eastAsia="CESI楷体-GB2312" w:cs="CESI楷体-GB2312"/>
          <w:sz w:val="32"/>
          <w:szCs w:val="32"/>
          <w:highlight w:val="none"/>
          <w:lang w:val="en-US" w:eastAsia="zh-CN"/>
        </w:rPr>
      </w:pPr>
      <w:del w:id="28" w:author="童奉孝" w:date="2026-04-13T11:23:09Z">
        <w:r>
          <w:rPr>
            <w:rFonts w:hint="eastAsia" w:ascii="CESI楷体-GB2312" w:hAnsi="CESI楷体-GB2312" w:eastAsia="CESI楷体-GB2312" w:cs="CESI楷体-GB2312"/>
            <w:sz w:val="32"/>
            <w:szCs w:val="32"/>
            <w:highlight w:val="none"/>
            <w:lang w:val="en-US" w:eastAsia="zh-CN"/>
          </w:rPr>
          <w:delText>（送审稿）</w:delText>
        </w:r>
      </w:del>
    </w:p>
    <w:p w14:paraId="5F3627C0">
      <w:pPr>
        <w:keepNext w:val="0"/>
        <w:keepLines w:val="0"/>
        <w:pageBreakBefore w:val="0"/>
        <w:kinsoku/>
        <w:wordWrap/>
        <w:overflowPunct/>
        <w:topLinePunct w:val="0"/>
        <w:autoSpaceDE/>
        <w:autoSpaceDN/>
        <w:bidi w:val="0"/>
        <w:adjustRightInd w:val="0"/>
        <w:snapToGrid/>
        <w:spacing w:line="560" w:lineRule="exact"/>
        <w:ind w:left="0" w:leftChars="0" w:firstLine="608"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为全面深化龙岗区房屋市政工程建设领域用工实名制和工资分账制管理（</w:t>
      </w:r>
      <w:r>
        <w:rPr>
          <w:rFonts w:hint="eastAsia" w:ascii="楷体" w:hAnsi="楷体" w:eastAsia="楷体" w:cs="楷体"/>
          <w:sz w:val="32"/>
          <w:szCs w:val="32"/>
          <w:highlight w:val="none"/>
          <w:lang w:val="en-US" w:eastAsia="zh-CN"/>
        </w:rPr>
        <w:t>以下简称“两制”管理</w:t>
      </w:r>
      <w:r>
        <w:rPr>
          <w:rFonts w:hint="eastAsia" w:ascii="仿宋_GB2312" w:hAnsi="仿宋_GB2312" w:eastAsia="仿宋_GB2312" w:cs="仿宋_GB2312"/>
          <w:sz w:val="32"/>
          <w:szCs w:val="32"/>
          <w:highlight w:val="none"/>
          <w:lang w:val="en-US" w:eastAsia="zh-CN"/>
        </w:rPr>
        <w:t>），进一步优化项目“两制”管理自查自纠工作，落实各参建单位保障工资支付主体责任，有效推动保障工资支付核心制度执行，预防和化解劳资纠纷，根据《保障农民工工资支付条例》《深圳市建设工程项目人员实名制管理办法》及相关配套制度，结合我区实际，特制定本工作指引。</w:t>
      </w:r>
    </w:p>
    <w:p w14:paraId="5C5DB529">
      <w:pPr>
        <w:keepNext w:val="0"/>
        <w:keepLines w:val="0"/>
        <w:pageBreakBefore w:val="0"/>
        <w:numPr>
          <w:ilvl w:val="0"/>
          <w:numId w:val="0"/>
        </w:numPr>
        <w:kinsoku/>
        <w:wordWrap/>
        <w:overflowPunct/>
        <w:topLinePunct w:val="0"/>
        <w:autoSpaceDE/>
        <w:autoSpaceDN/>
        <w:bidi w:val="0"/>
        <w:adjustRightInd w:val="0"/>
        <w:snapToGrid/>
        <w:spacing w:line="560" w:lineRule="exact"/>
        <w:ind w:leftChars="0" w:firstLine="608"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一、落实分包单位直接责任</w:t>
      </w:r>
    </w:p>
    <w:p w14:paraId="090FBA20">
      <w:pPr>
        <w:keepNext w:val="0"/>
        <w:keepLines w:val="0"/>
        <w:pageBreakBefore w:val="0"/>
        <w:numPr>
          <w:ilvl w:val="0"/>
          <w:numId w:val="0"/>
        </w:numPr>
        <w:kinsoku/>
        <w:wordWrap/>
        <w:overflowPunct/>
        <w:topLinePunct w:val="0"/>
        <w:autoSpaceDE/>
        <w:autoSpaceDN/>
        <w:bidi w:val="0"/>
        <w:adjustRightInd w:val="0"/>
        <w:snapToGrid/>
        <w:spacing w:line="560" w:lineRule="exact"/>
        <w:ind w:leftChars="0" w:firstLine="608"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（一）设置劳资管理员。</w:t>
      </w:r>
      <w:r>
        <w:rPr>
          <w:rFonts w:hint="eastAsia" w:ascii="仿宋_GB2312" w:hAnsi="仿宋_GB2312" w:eastAsia="仿宋_GB2312" w:cs="仿宋_GB2312"/>
          <w:b w:val="0"/>
          <w:bCs w:val="0"/>
          <w:sz w:val="32"/>
          <w:szCs w:val="32"/>
          <w:highlight w:val="none"/>
          <w:lang w:val="en-US" w:eastAsia="zh-CN"/>
        </w:rPr>
        <w:t>各分包根据管理需求，设置兼职或专职劳资员，负责落实好本分包单位用工管理责任，配合总包单位落实项目“两制”管理相关工作。</w:t>
      </w:r>
    </w:p>
    <w:p w14:paraId="391099AB">
      <w:pPr>
        <w:keepNext w:val="0"/>
        <w:keepLines w:val="0"/>
        <w:pageBreakBefore w:val="0"/>
        <w:numPr>
          <w:ilvl w:val="0"/>
          <w:numId w:val="0"/>
        </w:numPr>
        <w:kinsoku/>
        <w:wordWrap/>
        <w:overflowPunct/>
        <w:topLinePunct w:val="0"/>
        <w:autoSpaceDE/>
        <w:autoSpaceDN/>
        <w:bidi w:val="0"/>
        <w:adjustRightInd w:val="0"/>
        <w:snapToGrid/>
        <w:spacing w:line="560" w:lineRule="exact"/>
        <w:ind w:leftChars="0" w:firstLine="608"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（二）规范“一人一档”管理。</w:t>
      </w:r>
      <w:r>
        <w:rPr>
          <w:rFonts w:hint="eastAsia" w:ascii="仿宋_GB2312" w:hAnsi="仿宋_GB2312" w:eastAsia="仿宋_GB2312" w:cs="仿宋_GB2312"/>
          <w:sz w:val="32"/>
          <w:szCs w:val="32"/>
          <w:highlight w:val="none"/>
          <w:lang w:val="en-US" w:eastAsia="zh-CN"/>
        </w:rPr>
        <w:t>依法依规招用工人，规范签订劳动合同、进退场确认书，收集农民工身份证、银行卡复印件，做好农民工“一人一档”工作。其中劳动合同一式两份，由分包单位和农民工各执一份。分包单位制作劳动合同签收表，农民工亲自签收劳动合同，并将上述资料形成用工台账</w:t>
      </w:r>
      <w:r>
        <w:rPr>
          <w:rFonts w:hint="eastAsia" w:ascii="楷体" w:hAnsi="楷体" w:eastAsia="楷体" w:cs="楷体"/>
          <w:color w:val="auto"/>
          <w:sz w:val="32"/>
          <w:szCs w:val="32"/>
          <w:highlight w:val="none"/>
          <w:lang w:val="en-US" w:eastAsia="zh-CN"/>
        </w:rPr>
        <w:t>（用工资料参考模板详见附件1）</w:t>
      </w:r>
      <w:r>
        <w:rPr>
          <w:rFonts w:hint="eastAsia" w:ascii="仿宋_GB2312" w:hAnsi="仿宋_GB2312" w:eastAsia="仿宋_GB2312" w:cs="仿宋_GB2312"/>
          <w:sz w:val="32"/>
          <w:szCs w:val="32"/>
          <w:highlight w:val="none"/>
          <w:lang w:val="en-US" w:eastAsia="zh-CN"/>
        </w:rPr>
        <w:t>，报送至总包单位审核确认，统一备案管理，总包、各分包单位在项目现场需保存全部班组的用工资料。</w:t>
      </w:r>
    </w:p>
    <w:p w14:paraId="025F0781">
      <w:pPr>
        <w:keepNext w:val="0"/>
        <w:keepLines w:val="0"/>
        <w:pageBreakBefore w:val="0"/>
        <w:numPr>
          <w:ilvl w:val="0"/>
          <w:numId w:val="0"/>
        </w:numPr>
        <w:kinsoku/>
        <w:wordWrap/>
        <w:overflowPunct/>
        <w:topLinePunct w:val="0"/>
        <w:autoSpaceDE/>
        <w:autoSpaceDN/>
        <w:bidi w:val="0"/>
        <w:adjustRightInd w:val="0"/>
        <w:snapToGrid/>
        <w:spacing w:line="560" w:lineRule="exact"/>
        <w:ind w:firstLine="608"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（三）按月报送工资支付资料。</w:t>
      </w:r>
      <w:r>
        <w:rPr>
          <w:rFonts w:hint="eastAsia" w:ascii="仿宋_GB2312" w:hAnsi="仿宋_GB2312" w:eastAsia="仿宋_GB2312" w:cs="仿宋_GB2312"/>
          <w:b w:val="0"/>
          <w:bCs w:val="0"/>
          <w:sz w:val="32"/>
          <w:szCs w:val="32"/>
          <w:highlight w:val="none"/>
          <w:lang w:val="en-US" w:eastAsia="zh-CN"/>
        </w:rPr>
        <w:t>分包单位与施工总承包签订书面农民工工资委托支付协议，约定委托其支付农民工工资。每月1</w:t>
      </w:r>
      <w:r>
        <w:rPr>
          <w:rFonts w:hint="eastAsia" w:ascii="仿宋_GB2312" w:hAnsi="仿宋_GB2312" w:eastAsia="仿宋_GB2312" w:cs="仿宋_GB2312"/>
          <w:sz w:val="32"/>
          <w:szCs w:val="32"/>
          <w:highlight w:val="none"/>
          <w:lang w:val="en-US" w:eastAsia="zh-CN"/>
        </w:rPr>
        <w:t>日前按分包或按班组制作整理上月农民工考勤表、工资表、花名册表等资料</w:t>
      </w:r>
      <w:r>
        <w:rPr>
          <w:rFonts w:hint="eastAsia" w:ascii="楷体" w:hAnsi="楷体" w:eastAsia="楷体" w:cs="楷体"/>
          <w:color w:val="auto"/>
          <w:sz w:val="32"/>
          <w:szCs w:val="32"/>
          <w:highlight w:val="none"/>
          <w:lang w:val="en-US" w:eastAsia="zh-CN"/>
        </w:rPr>
        <w:t>（参考模板详见附件2）。</w:t>
      </w:r>
      <w:r>
        <w:rPr>
          <w:rFonts w:hint="eastAsia" w:ascii="仿宋_GB2312" w:hAnsi="仿宋_GB2312" w:eastAsia="仿宋_GB2312" w:cs="仿宋_GB2312"/>
          <w:sz w:val="32"/>
          <w:szCs w:val="32"/>
          <w:highlight w:val="none"/>
          <w:lang w:val="en-US" w:eastAsia="zh-CN"/>
        </w:rPr>
        <w:t>资料由对应工人签字确认，相应的分包单位盖章，分包单位的负责人、劳资专管员以及班组长签字确认。每月5日前上交总包单位审核上月工人工资。</w:t>
      </w:r>
    </w:p>
    <w:p w14:paraId="124370D7">
      <w:pPr>
        <w:keepNext w:val="0"/>
        <w:keepLines w:val="0"/>
        <w:pageBreakBefore w:val="0"/>
        <w:numPr>
          <w:ilvl w:val="0"/>
          <w:numId w:val="0"/>
        </w:numPr>
        <w:kinsoku/>
        <w:wordWrap/>
        <w:overflowPunct/>
        <w:topLinePunct w:val="0"/>
        <w:autoSpaceDE/>
        <w:autoSpaceDN/>
        <w:bidi w:val="0"/>
        <w:adjustRightInd w:val="0"/>
        <w:snapToGrid/>
        <w:spacing w:line="560" w:lineRule="exact"/>
        <w:ind w:leftChars="0" w:firstLine="608"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二、压实总包单位兜底责任</w:t>
      </w:r>
    </w:p>
    <w:p w14:paraId="52E7A818">
      <w:pPr>
        <w:keepNext w:val="0"/>
        <w:keepLines w:val="0"/>
        <w:pageBreakBefore w:val="0"/>
        <w:numPr>
          <w:ilvl w:val="0"/>
          <w:numId w:val="0"/>
        </w:numPr>
        <w:kinsoku/>
        <w:wordWrap/>
        <w:overflowPunct/>
        <w:topLinePunct w:val="0"/>
        <w:autoSpaceDE/>
        <w:autoSpaceDN/>
        <w:bidi w:val="0"/>
        <w:adjustRightInd w:val="0"/>
        <w:snapToGrid/>
        <w:spacing w:line="560" w:lineRule="exact"/>
        <w:ind w:leftChars="0" w:firstLine="608"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（一）配备实名制智能管理设备。</w:t>
      </w:r>
      <w:r>
        <w:rPr>
          <w:rFonts w:hint="eastAsia" w:ascii="仿宋_GB2312" w:hAnsi="仿宋_GB2312" w:eastAsia="仿宋_GB2312" w:cs="仿宋_GB2312"/>
          <w:sz w:val="32"/>
          <w:szCs w:val="32"/>
          <w:highlight w:val="none"/>
          <w:lang w:val="en-US" w:eastAsia="zh-CN"/>
        </w:rPr>
        <w:t>工程项目开工进场前10个工作日内，施工单位应根据施工区域实际情况和管理需求，各工地至少配备一套含北斗定位功能的实名制考勤设备，每人配置一顶基础版智能安全帽（</w:t>
      </w:r>
      <w:r>
        <w:rPr>
          <w:rFonts w:hint="eastAsia" w:ascii="楷体" w:hAnsi="楷体" w:eastAsia="楷体" w:cs="楷体"/>
          <w:color w:val="auto"/>
          <w:sz w:val="32"/>
          <w:szCs w:val="32"/>
          <w:highlight w:val="none"/>
          <w:lang w:val="en-US" w:eastAsia="zh-CN"/>
        </w:rPr>
        <w:t>具体使用要求详见附件3）</w:t>
      </w:r>
      <w:r>
        <w:rPr>
          <w:rFonts w:hint="eastAsia" w:ascii="仿宋_GB2312" w:hAnsi="仿宋_GB2312" w:eastAsia="仿宋_GB2312" w:cs="仿宋_GB2312"/>
          <w:sz w:val="32"/>
          <w:szCs w:val="32"/>
          <w:highlight w:val="none"/>
          <w:lang w:val="en-US" w:eastAsia="zh-CN"/>
        </w:rPr>
        <w:t>，绘制工地电子围栏。运用电子围栏、AI考勤功能及智能安全帽等实名制科技管理手段。</w:t>
      </w:r>
    </w:p>
    <w:p w14:paraId="69C7FC63">
      <w:pPr>
        <w:keepNext w:val="0"/>
        <w:keepLines w:val="0"/>
        <w:pageBreakBefore w:val="0"/>
        <w:numPr>
          <w:ilvl w:val="0"/>
          <w:numId w:val="0"/>
        </w:numPr>
        <w:kinsoku/>
        <w:wordWrap/>
        <w:overflowPunct/>
        <w:topLinePunct w:val="0"/>
        <w:autoSpaceDE/>
        <w:autoSpaceDN/>
        <w:bidi w:val="0"/>
        <w:adjustRightInd w:val="0"/>
        <w:snapToGrid/>
        <w:spacing w:line="560" w:lineRule="exact"/>
        <w:ind w:leftChars="0" w:firstLine="608"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（二）强化用工实名制“白名单”管理。</w:t>
      </w:r>
      <w:r>
        <w:rPr>
          <w:rFonts w:hint="eastAsia" w:ascii="仿宋_GB2312" w:hAnsi="仿宋_GB2312" w:eastAsia="仿宋_GB2312" w:cs="仿宋_GB2312"/>
          <w:b w:val="0"/>
          <w:bCs w:val="0"/>
          <w:sz w:val="32"/>
          <w:szCs w:val="32"/>
          <w:highlight w:val="none"/>
          <w:lang w:val="en-US" w:eastAsia="zh-CN"/>
        </w:rPr>
        <w:t>施总包单位在“两制”平台规范建立完善班组，动态做好班组管理。</w:t>
      </w:r>
      <w:r>
        <w:rPr>
          <w:rFonts w:hint="eastAsia" w:ascii="仿宋_GB2312" w:hAnsi="仿宋_GB2312" w:eastAsia="仿宋_GB2312" w:cs="仿宋_GB2312"/>
          <w:sz w:val="32"/>
          <w:szCs w:val="32"/>
          <w:highlight w:val="none"/>
          <w:lang w:val="en-US" w:eastAsia="zh-CN"/>
        </w:rPr>
        <w:t>严格执行“未实名登记不得进场”要求，所有在场人员必须纳入“两制”平台白名单管理，由总包单位牵头落实管理责任，确保现场人员与“两制”系统白名单人员一致。</w:t>
      </w:r>
    </w:p>
    <w:p w14:paraId="02D479DF">
      <w:pPr>
        <w:keepNext w:val="0"/>
        <w:keepLines w:val="0"/>
        <w:pageBreakBefore w:val="0"/>
        <w:numPr>
          <w:ilvl w:val="0"/>
          <w:numId w:val="0"/>
        </w:numPr>
        <w:kinsoku/>
        <w:wordWrap/>
        <w:overflowPunct/>
        <w:topLinePunct w:val="0"/>
        <w:autoSpaceDE/>
        <w:autoSpaceDN/>
        <w:bidi w:val="0"/>
        <w:adjustRightInd w:val="0"/>
        <w:snapToGrid/>
        <w:spacing w:line="560" w:lineRule="exact"/>
        <w:ind w:leftChars="0" w:firstLine="608"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1.足额配备劳资专管员。</w:t>
      </w:r>
      <w:r>
        <w:rPr>
          <w:rFonts w:hint="eastAsia" w:ascii="仿宋_GB2312" w:hAnsi="仿宋_GB2312" w:eastAsia="仿宋_GB2312" w:cs="仿宋_GB2312"/>
          <w:sz w:val="32"/>
          <w:szCs w:val="32"/>
          <w:highlight w:val="none"/>
          <w:lang w:val="en-US" w:eastAsia="zh-CN"/>
        </w:rPr>
        <w:t>施工现场按每500名工人配备1名专职劳资专管员的标准配置，不足500人的至少配备1名，负责项目“两制”日常管理工作。在“两制”</w:t>
      </w:r>
      <w:r>
        <w:rPr>
          <w:rFonts w:hint="eastAsia" w:ascii="仿宋_GB2312" w:hAnsi="仿宋_GB2312" w:eastAsia="仿宋_GB2312" w:cs="仿宋_GB2312"/>
          <w:b w:val="0"/>
          <w:bCs w:val="0"/>
          <w:sz w:val="32"/>
          <w:szCs w:val="32"/>
          <w:highlight w:val="none"/>
          <w:lang w:val="en-US" w:eastAsia="zh-CN"/>
        </w:rPr>
        <w:t>平台规范建立班组，完善班组长信息，如实落实好工人分班组管理；</w:t>
      </w:r>
      <w:r>
        <w:rPr>
          <w:rFonts w:hint="eastAsia" w:ascii="仿宋_GB2312" w:hAnsi="仿宋_GB2312" w:eastAsia="仿宋_GB2312" w:cs="仿宋_GB2312"/>
          <w:sz w:val="32"/>
          <w:szCs w:val="32"/>
          <w:highlight w:val="none"/>
          <w:lang w:val="en-US" w:eastAsia="zh-CN"/>
        </w:rPr>
        <w:t>整合各分包单位劳资员力量，每个新进场分包劳资员接受至少一次“两制”相关业务培训。总包劳资员每月统计一次各分包/班组工资发放情况，并做好统计清单归档备查。</w:t>
      </w:r>
    </w:p>
    <w:p w14:paraId="48503577">
      <w:pPr>
        <w:keepNext w:val="0"/>
        <w:keepLines w:val="0"/>
        <w:pageBreakBefore w:val="0"/>
        <w:numPr>
          <w:ilvl w:val="0"/>
          <w:numId w:val="0"/>
        </w:numPr>
        <w:kinsoku/>
        <w:wordWrap/>
        <w:overflowPunct/>
        <w:topLinePunct w:val="0"/>
        <w:autoSpaceDE/>
        <w:autoSpaceDN/>
        <w:bidi w:val="0"/>
        <w:adjustRightInd w:val="0"/>
        <w:snapToGrid/>
        <w:spacing w:line="560" w:lineRule="exact"/>
        <w:ind w:leftChars="0" w:firstLine="608"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2.提升技术防控能力。</w:t>
      </w:r>
      <w:r>
        <w:rPr>
          <w:rFonts w:hint="eastAsia" w:ascii="仿宋_GB2312" w:hAnsi="仿宋_GB2312" w:eastAsia="仿宋_GB2312" w:cs="仿宋_GB2312"/>
          <w:sz w:val="32"/>
          <w:szCs w:val="32"/>
          <w:highlight w:val="none"/>
          <w:lang w:val="en-US" w:eastAsia="zh-CN"/>
        </w:rPr>
        <w:t>充分应用人脸识别AI算法的考勤设备、智能安全帽，高效排查未实名登记入场情况，确保考勤数据真实有效。</w:t>
      </w:r>
    </w:p>
    <w:p w14:paraId="25956262">
      <w:pPr>
        <w:keepNext w:val="0"/>
        <w:keepLines w:val="0"/>
        <w:pageBreakBefore w:val="0"/>
        <w:numPr>
          <w:ilvl w:val="0"/>
          <w:numId w:val="0"/>
        </w:numPr>
        <w:kinsoku/>
        <w:wordWrap/>
        <w:overflowPunct/>
        <w:topLinePunct w:val="0"/>
        <w:autoSpaceDE/>
        <w:autoSpaceDN/>
        <w:bidi w:val="0"/>
        <w:adjustRightInd w:val="0"/>
        <w:snapToGrid/>
        <w:spacing w:line="560" w:lineRule="exact"/>
        <w:ind w:leftChars="0" w:firstLine="608"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3.加强动态排查管理。</w:t>
      </w:r>
      <w:r>
        <w:rPr>
          <w:rFonts w:hint="eastAsia" w:ascii="仿宋_GB2312" w:hAnsi="仿宋_GB2312" w:eastAsia="仿宋_GB2312" w:cs="仿宋_GB2312"/>
          <w:sz w:val="32"/>
          <w:szCs w:val="32"/>
          <w:highlight w:val="none"/>
          <w:lang w:val="en-US" w:eastAsia="zh-CN"/>
        </w:rPr>
        <w:t>劳资专管员依托“两制”平台，对照分包单位提供的用工台账，联合施工员每日统计各班组工人到岗情况，精准排查未录入平台人员，发现问题须在当天完成系统信息更新；人员发生变更（</w:t>
      </w:r>
      <w:r>
        <w:rPr>
          <w:rFonts w:hint="eastAsia" w:ascii="楷体" w:hAnsi="楷体" w:eastAsia="楷体" w:cs="楷体"/>
          <w:sz w:val="32"/>
          <w:szCs w:val="32"/>
          <w:highlight w:val="none"/>
          <w:lang w:val="en-US" w:eastAsia="zh-CN"/>
        </w:rPr>
        <w:t>新进、退场、岗位调整</w:t>
      </w:r>
      <w:r>
        <w:rPr>
          <w:rFonts w:hint="eastAsia" w:ascii="仿宋_GB2312" w:hAnsi="仿宋_GB2312" w:eastAsia="仿宋_GB2312" w:cs="仿宋_GB2312"/>
          <w:sz w:val="32"/>
          <w:szCs w:val="32"/>
          <w:highlight w:val="none"/>
          <w:lang w:val="en-US" w:eastAsia="zh-CN"/>
        </w:rPr>
        <w:t>）的，24小时内完成平台信息更新。</w:t>
      </w:r>
    </w:p>
    <w:p w14:paraId="2FD494BF">
      <w:pPr>
        <w:keepNext w:val="0"/>
        <w:keepLines w:val="0"/>
        <w:pageBreakBefore w:val="0"/>
        <w:numPr>
          <w:ilvl w:val="0"/>
          <w:numId w:val="0"/>
        </w:numPr>
        <w:kinsoku/>
        <w:wordWrap/>
        <w:overflowPunct/>
        <w:topLinePunct w:val="0"/>
        <w:autoSpaceDE/>
        <w:autoSpaceDN/>
        <w:bidi w:val="0"/>
        <w:adjustRightInd w:val="0"/>
        <w:snapToGrid/>
        <w:spacing w:line="560" w:lineRule="exact"/>
        <w:ind w:leftChars="0" w:firstLine="608"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（三）加强实名制考勤管理。</w:t>
      </w:r>
      <w:r>
        <w:rPr>
          <w:rFonts w:hint="eastAsia" w:ascii="仿宋_GB2312" w:hAnsi="仿宋_GB2312" w:eastAsia="仿宋_GB2312" w:cs="仿宋_GB2312"/>
          <w:b w:val="0"/>
          <w:bCs w:val="0"/>
          <w:color w:val="auto"/>
          <w:sz w:val="32"/>
          <w:szCs w:val="32"/>
          <w:highlight w:val="none"/>
          <w:lang w:val="en-US" w:eastAsia="zh-CN"/>
        </w:rPr>
        <w:t>施工总承包单位劳资专管员应利用实名制系统对进出场人员进行校验，强化实名制考勤，保证人员考勤达标（</w:t>
      </w:r>
      <w:r>
        <w:rPr>
          <w:rFonts w:hint="eastAsia" w:ascii="楷体" w:hAnsi="楷体" w:eastAsia="楷体" w:cs="楷体"/>
          <w:b w:val="0"/>
          <w:bCs w:val="0"/>
          <w:color w:val="auto"/>
          <w:sz w:val="32"/>
          <w:szCs w:val="32"/>
          <w:highlight w:val="none"/>
          <w:lang w:val="en-US" w:eastAsia="zh-CN"/>
        </w:rPr>
        <w:t>项目经理每月考勤率不低于80%，其他六大类关键管理人员每月考勤率不低于60%</w:t>
      </w:r>
      <w:r>
        <w:rPr>
          <w:rFonts w:hint="eastAsia" w:ascii="仿宋_GB2312" w:hAnsi="仿宋_GB2312" w:eastAsia="仿宋_GB2312" w:cs="仿宋_GB2312"/>
          <w:b w:val="0"/>
          <w:bCs w:val="0"/>
          <w:color w:val="auto"/>
          <w:sz w:val="32"/>
          <w:szCs w:val="32"/>
          <w:highlight w:val="none"/>
          <w:lang w:val="en-US" w:eastAsia="zh-CN"/>
        </w:rPr>
        <w:t>），每日农民工考勤率（</w:t>
      </w:r>
      <w:r>
        <w:rPr>
          <w:rFonts w:hint="eastAsia" w:ascii="楷体" w:hAnsi="楷体" w:eastAsia="楷体" w:cs="楷体"/>
          <w:b w:val="0"/>
          <w:bCs w:val="0"/>
          <w:color w:val="auto"/>
          <w:sz w:val="32"/>
          <w:szCs w:val="32"/>
          <w:highlight w:val="none"/>
          <w:lang w:val="en-US" w:eastAsia="zh-CN"/>
        </w:rPr>
        <w:t>当日施工考勤人数/白名单人数</w:t>
      </w:r>
      <w:r>
        <w:rPr>
          <w:rFonts w:hint="eastAsia" w:ascii="仿宋_GB2312" w:hAnsi="仿宋_GB2312" w:eastAsia="仿宋_GB2312" w:cs="仿宋_GB2312"/>
          <w:b w:val="0"/>
          <w:bCs w:val="0"/>
          <w:color w:val="auto"/>
          <w:sz w:val="32"/>
          <w:szCs w:val="32"/>
          <w:highlight w:val="none"/>
          <w:lang w:val="en-US" w:eastAsia="zh-CN"/>
        </w:rPr>
        <w:t>）不低于60%，每个进场施工农民工均需落实实名制考勤打卡。充分发挥安全员、施工员、门卫保安等现场一线管理作用，每日至少安排一名人员在实名制出入口进行值班值守，现场监督制止不打卡、</w:t>
      </w:r>
      <w:r>
        <w:rPr>
          <w:rFonts w:hint="eastAsia" w:ascii="仿宋_GB2312" w:hAnsi="仿宋_GB2312" w:eastAsia="仿宋_GB2312" w:cs="仿宋_GB2312"/>
          <w:sz w:val="32"/>
          <w:szCs w:val="32"/>
          <w:highlight w:val="none"/>
          <w:lang w:val="en-US" w:eastAsia="zh-CN"/>
        </w:rPr>
        <w:t>代打卡、虚假考勤等情况。</w:t>
      </w:r>
    </w:p>
    <w:p w14:paraId="40B1E05C">
      <w:pPr>
        <w:pStyle w:val="2"/>
        <w:keepNext w:val="0"/>
        <w:keepLines w:val="0"/>
        <w:pageBreakBefore w:val="0"/>
        <w:kinsoku/>
        <w:wordWrap/>
        <w:overflowPunct/>
        <w:topLinePunct w:val="0"/>
        <w:autoSpaceDE/>
        <w:autoSpaceDN/>
        <w:bidi w:val="0"/>
        <w:adjustRightInd w:val="0"/>
        <w:snapToGrid/>
        <w:spacing w:beforeLines="0" w:line="560" w:lineRule="exact"/>
        <w:ind w:leftChars="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（四）完善合同数据采集。</w:t>
      </w:r>
      <w:r>
        <w:rPr>
          <w:rFonts w:hint="eastAsia" w:ascii="仿宋_GB2312" w:hAnsi="仿宋_GB2312" w:eastAsia="仿宋_GB2312" w:cs="仿宋_GB2312"/>
          <w:kern w:val="2"/>
          <w:sz w:val="32"/>
          <w:szCs w:val="32"/>
          <w:highlight w:val="none"/>
          <w:lang w:val="en-US" w:eastAsia="zh-CN"/>
        </w:rPr>
        <w:t>施工总包单位在项目“两制”平台建立后，3个工作日之内将施工总包合同扫件上传至“两制”平台，并在平台正确填报合同关键信息；在劳务分包合同、工人简易合同签订后的五个工作日之内，将对应扫描件上传“两制”平台。及时有效完善合同数据，便于规范化管理及主管部门第一手数据采集。</w:t>
      </w:r>
    </w:p>
    <w:p w14:paraId="4B9DDC9C">
      <w:pPr>
        <w:keepNext w:val="0"/>
        <w:keepLines w:val="0"/>
        <w:pageBreakBefore w:val="0"/>
        <w:numPr>
          <w:ilvl w:val="0"/>
          <w:numId w:val="0"/>
        </w:numPr>
        <w:kinsoku/>
        <w:wordWrap/>
        <w:overflowPunct/>
        <w:topLinePunct w:val="0"/>
        <w:autoSpaceDE/>
        <w:autoSpaceDN/>
        <w:bidi w:val="0"/>
        <w:adjustRightInd w:val="0"/>
        <w:snapToGrid/>
        <w:spacing w:line="560" w:lineRule="exact"/>
        <w:ind w:leftChars="0" w:firstLine="608"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（五）保障工资按月足额支付。</w:t>
      </w:r>
      <w:r>
        <w:rPr>
          <w:rFonts w:hint="eastAsia" w:ascii="仿宋_GB2312" w:hAnsi="仿宋_GB2312" w:eastAsia="仿宋_GB2312" w:cs="仿宋_GB2312"/>
          <w:b w:val="0"/>
          <w:bCs w:val="0"/>
          <w:color w:val="auto"/>
          <w:sz w:val="32"/>
          <w:szCs w:val="32"/>
          <w:highlight w:val="none"/>
          <w:lang w:val="en-US" w:eastAsia="zh-CN"/>
        </w:rPr>
        <w:t>施工总包单位在收到分包单位报送的工资支付资料后，结合项目本月实际施工用工情况审核分包报送资料真实性及完整性，重点校核分包工人工资足额报送情况，在3个工作日内，对分包提供的考勤表、工资表进行现场公示，工人无异议后，按照人工费拨付要求，足额向建设单位申请人工费用，并在每月22日前通过农民工工资专用账户直接将工资按月足额支付到农民工本人的银行账户，并向分包单位提供代发工资凭证。总包单位因违法分包、工资代发不及时、实名制管理不到位等导致的拖欠农民工工资，由施工总承包单位兜底清偿。工程建设项目转包以及分包单位拖欠农民工工资的，由施工总承包单位先行兜底清偿，再依法进行追偿。</w:t>
      </w:r>
    </w:p>
    <w:p w14:paraId="3782C25A">
      <w:pPr>
        <w:ind w:firstLine="608"/>
        <w:jc w:val="left"/>
        <w:rPr>
          <w:rFonts w:hint="eastAsia" w:ascii="仿宋_GB2312" w:hAnsi="仿宋_GB2312" w:eastAsia="仿宋_GB2312" w:cs="仿宋_GB2312"/>
          <w:color w:val="auto"/>
          <w:szCs w:val="32"/>
          <w:highlight w:val="none"/>
          <w:lang w:val="en-US" w:eastAsia="zh-CN"/>
          <w:rPrChange w:id="30" w:author="高希望" w:date="2026-04-13T19:40:26Z">
            <w:rPr>
              <w:rFonts w:hint="default"/>
              <w:highlight w:val="none"/>
              <w:lang w:val="en-US" w:eastAsia="zh-CN"/>
            </w:rPr>
          </w:rPrChange>
        </w:rPr>
        <w:pPrChange w:id="29" w:author="高希望" w:date="2026-04-13T19:43:33Z">
          <w:pPr>
            <w:jc w:val="left"/>
          </w:pPr>
        </w:pPrChange>
      </w:pPr>
      <w:r>
        <w:rPr>
          <w:rFonts w:hint="eastAsia" w:ascii="楷体" w:hAnsi="楷体" w:eastAsia="楷体" w:cs="楷体"/>
          <w:sz w:val="32"/>
          <w:szCs w:val="32"/>
          <w:highlight w:val="none"/>
          <w:lang w:val="en-US" w:eastAsia="zh-CN"/>
        </w:rPr>
        <w:t>（六）加强专业工程兜底管理。</w:t>
      </w:r>
      <w:r>
        <w:rPr>
          <w:rFonts w:hint="eastAsia" w:ascii="仿宋_GB2312" w:hAnsi="仿宋_GB2312" w:eastAsia="仿宋_GB2312" w:cs="仿宋_GB2312"/>
          <w:sz w:val="32"/>
          <w:szCs w:val="32"/>
          <w:highlight w:val="none"/>
          <w:lang w:val="en-US" w:eastAsia="zh-CN"/>
        </w:rPr>
        <w:t>针对</w:t>
      </w:r>
      <w:ins w:id="31" w:author="童奉孝" w:date="2026-04-13T18:06:01Z">
        <w:r>
          <w:rPr>
            <w:rFonts w:hint="eastAsia" w:ascii="仿宋_GB2312" w:hAnsi="仿宋_GB2312" w:eastAsia="仿宋_GB2312" w:cs="仿宋_GB2312"/>
            <w:sz w:val="32"/>
            <w:szCs w:val="32"/>
            <w:highlight w:val="none"/>
            <w:lang w:val="en-US" w:eastAsia="zh-CN"/>
          </w:rPr>
          <w:t>存量项目</w:t>
        </w:r>
      </w:ins>
      <w:ins w:id="32" w:author="童奉孝" w:date="2026-04-13T18:06:03Z">
        <w:del w:id="33" w:author="高希望" w:date="2026-04-13T19:41:04Z">
          <w:r>
            <w:rPr>
              <w:rFonts w:hint="eastAsia" w:ascii="楷体" w:hAnsi="楷体" w:eastAsia="楷体" w:cs="楷体"/>
              <w:color w:val="auto"/>
              <w:sz w:val="32"/>
              <w:szCs w:val="32"/>
              <w:highlight w:val="none"/>
              <w:lang w:val="en-US" w:eastAsia="zh-CN"/>
              <w:rPrChange w:id="34" w:author="高希望" w:date="2026-04-13T19:41:41Z">
                <w:rPr>
                  <w:rFonts w:hint="eastAsia" w:ascii="仿宋_GB2312" w:hAnsi="仿宋_GB2312" w:eastAsia="仿宋_GB2312" w:cs="仿宋_GB2312"/>
                  <w:sz w:val="32"/>
                  <w:szCs w:val="32"/>
                  <w:highlight w:val="none"/>
                  <w:lang w:val="en-US" w:eastAsia="zh-CN"/>
                </w:rPr>
              </w:rPrChange>
            </w:rPr>
            <w:delText>，</w:delText>
          </w:r>
        </w:del>
      </w:ins>
      <w:ins w:id="35" w:author="高希望" w:date="2026-04-13T19:41:04Z">
        <w:r>
          <w:rPr>
            <w:rFonts w:hint="eastAsia" w:ascii="楷体" w:hAnsi="楷体" w:eastAsia="楷体" w:cs="楷体"/>
            <w:color w:val="auto"/>
            <w:sz w:val="32"/>
            <w:szCs w:val="32"/>
            <w:highlight w:val="none"/>
            <w:lang w:val="en-US" w:eastAsia="zh-CN"/>
            <w:rPrChange w:id="36" w:author="高希望" w:date="2026-04-13T19:41:41Z">
              <w:rPr>
                <w:rFonts w:hint="eastAsia" w:ascii="仿宋_GB2312" w:hAnsi="仿宋_GB2312" w:eastAsia="仿宋_GB2312" w:cs="仿宋_GB2312"/>
                <w:sz w:val="32"/>
                <w:szCs w:val="32"/>
                <w:highlight w:val="none"/>
                <w:lang w:val="en-US" w:eastAsia="zh-CN"/>
              </w:rPr>
            </w:rPrChange>
          </w:rPr>
          <w:t>（</w:t>
        </w:r>
      </w:ins>
      <w:ins w:id="37" w:author="高希望" w:date="2026-04-13T19:41:06Z">
        <w:r>
          <w:rPr>
            <w:rFonts w:hint="eastAsia" w:ascii="楷体" w:hAnsi="楷体" w:eastAsia="楷体" w:cs="楷体"/>
            <w:color w:val="auto"/>
            <w:sz w:val="32"/>
            <w:szCs w:val="32"/>
            <w:highlight w:val="none"/>
            <w:lang w:val="en-US" w:eastAsia="zh-CN"/>
            <w:rPrChange w:id="38" w:author="高希望" w:date="2026-04-13T19:41:41Z">
              <w:rPr>
                <w:rFonts w:hint="eastAsia" w:ascii="仿宋_GB2312" w:hAnsi="仿宋_GB2312" w:eastAsia="仿宋_GB2312" w:cs="仿宋_GB2312"/>
                <w:color w:val="auto"/>
                <w:sz w:val="32"/>
                <w:szCs w:val="32"/>
                <w:highlight w:val="none"/>
                <w:lang w:val="en-US" w:eastAsia="zh-CN"/>
              </w:rPr>
            </w:rPrChange>
          </w:rPr>
          <w:t>建设单位</w:t>
        </w:r>
      </w:ins>
      <w:ins w:id="39" w:author="高希望" w:date="2026-04-13T19:44:07Z">
        <w:r>
          <w:rPr>
            <w:rFonts w:hint="eastAsia" w:ascii="楷体" w:hAnsi="楷体" w:eastAsia="楷体" w:cs="楷体"/>
            <w:color w:val="auto"/>
            <w:sz w:val="32"/>
            <w:szCs w:val="32"/>
            <w:highlight w:val="none"/>
            <w:lang w:val="en-US" w:eastAsia="zh-CN"/>
          </w:rPr>
          <w:t>此前</w:t>
        </w:r>
      </w:ins>
      <w:ins w:id="40" w:author="高希望" w:date="2026-04-13T19:41:06Z">
        <w:r>
          <w:rPr>
            <w:rFonts w:hint="eastAsia" w:ascii="楷体" w:hAnsi="楷体" w:eastAsia="楷体" w:cs="楷体"/>
            <w:color w:val="auto"/>
            <w:sz w:val="32"/>
            <w:szCs w:val="32"/>
            <w:highlight w:val="none"/>
            <w:lang w:val="en-US" w:eastAsia="zh-CN"/>
            <w:rPrChange w:id="41" w:author="高希望" w:date="2026-04-13T19:41:41Z">
              <w:rPr>
                <w:rFonts w:hint="eastAsia" w:ascii="仿宋_GB2312" w:hAnsi="仿宋_GB2312" w:eastAsia="仿宋_GB2312" w:cs="仿宋_GB2312"/>
                <w:color w:val="auto"/>
                <w:sz w:val="32"/>
                <w:szCs w:val="32"/>
                <w:highlight w:val="none"/>
                <w:lang w:val="en-US" w:eastAsia="zh-CN"/>
              </w:rPr>
            </w:rPrChange>
          </w:rPr>
          <w:t>已单独发包的专业工程</w:t>
        </w:r>
      </w:ins>
      <w:ins w:id="42" w:author="高希望" w:date="2026-04-13T19:41:04Z">
        <w:r>
          <w:rPr>
            <w:rFonts w:hint="eastAsia" w:ascii="楷体" w:hAnsi="楷体" w:eastAsia="楷体" w:cs="楷体"/>
            <w:color w:val="auto"/>
            <w:sz w:val="32"/>
            <w:szCs w:val="32"/>
            <w:highlight w:val="none"/>
            <w:lang w:val="en-US" w:eastAsia="zh-CN"/>
            <w:rPrChange w:id="43" w:author="高希望" w:date="2026-04-13T19:41:41Z">
              <w:rPr>
                <w:rFonts w:hint="eastAsia" w:ascii="仿宋_GB2312" w:hAnsi="仿宋_GB2312" w:eastAsia="仿宋_GB2312" w:cs="仿宋_GB2312"/>
                <w:sz w:val="32"/>
                <w:szCs w:val="32"/>
                <w:highlight w:val="none"/>
                <w:lang w:val="en-US" w:eastAsia="zh-CN"/>
              </w:rPr>
            </w:rPrChange>
          </w:rPr>
          <w:t>）</w:t>
        </w:r>
      </w:ins>
      <w:del w:id="44" w:author="高希望" w:date="2026-04-13T19:40:56Z">
        <w:r>
          <w:rPr>
            <w:rFonts w:hint="eastAsia" w:ascii="仿宋_GB2312" w:hAnsi="仿宋_GB2312" w:eastAsia="仿宋_GB2312" w:cs="仿宋_GB2312"/>
            <w:color w:val="auto"/>
            <w:sz w:val="32"/>
            <w:szCs w:val="32"/>
            <w:highlight w:val="none"/>
            <w:lang w:val="en-US" w:eastAsia="zh-CN"/>
            <w:rPrChange w:id="45" w:author="高希望" w:date="2026-04-13T19:40:26Z">
              <w:rPr>
                <w:rFonts w:hint="eastAsia" w:ascii="仿宋_GB2312" w:hAnsi="仿宋_GB2312" w:eastAsia="仿宋_GB2312" w:cs="仿宋_GB2312"/>
                <w:sz w:val="32"/>
                <w:szCs w:val="32"/>
                <w:highlight w:val="none"/>
                <w:lang w:val="en-US" w:eastAsia="zh-CN"/>
              </w:rPr>
            </w:rPrChange>
          </w:rPr>
          <w:delText>建设单位</w:delText>
        </w:r>
      </w:del>
      <w:ins w:id="46" w:author="童奉孝" w:date="2026-04-13T18:04:07Z">
        <w:del w:id="47" w:author="高希望" w:date="2026-04-13T19:40:56Z">
          <w:r>
            <w:rPr>
              <w:rFonts w:hint="eastAsia" w:ascii="仿宋_GB2312" w:hAnsi="仿宋_GB2312" w:eastAsia="仿宋_GB2312" w:cs="仿宋_GB2312"/>
              <w:color w:val="auto"/>
              <w:sz w:val="32"/>
              <w:szCs w:val="32"/>
              <w:highlight w:val="none"/>
              <w:lang w:val="en-US" w:eastAsia="zh-CN"/>
              <w:rPrChange w:id="48" w:author="高希望" w:date="2026-04-13T19:40:26Z">
                <w:rPr>
                  <w:rFonts w:hint="eastAsia" w:ascii="仿宋_GB2312" w:hAnsi="仿宋_GB2312" w:eastAsia="仿宋_GB2312" w:cs="仿宋_GB2312"/>
                  <w:sz w:val="32"/>
                  <w:szCs w:val="32"/>
                  <w:highlight w:val="none"/>
                  <w:lang w:val="en-US" w:eastAsia="zh-CN"/>
                </w:rPr>
              </w:rPrChange>
            </w:rPr>
            <w:delText>已</w:delText>
          </w:r>
        </w:del>
      </w:ins>
      <w:del w:id="49" w:author="高希望" w:date="2026-04-13T19:40:56Z">
        <w:r>
          <w:rPr>
            <w:rFonts w:hint="eastAsia" w:ascii="仿宋_GB2312" w:hAnsi="仿宋_GB2312" w:eastAsia="仿宋_GB2312" w:cs="仿宋_GB2312"/>
            <w:color w:val="auto"/>
            <w:sz w:val="32"/>
            <w:szCs w:val="32"/>
            <w:highlight w:val="none"/>
            <w:lang w:val="en-US" w:eastAsia="zh-CN"/>
            <w:rPrChange w:id="50" w:author="高希望" w:date="2026-04-13T19:40:26Z">
              <w:rPr>
                <w:rFonts w:hint="eastAsia" w:ascii="仿宋_GB2312" w:hAnsi="仿宋_GB2312" w:eastAsia="仿宋_GB2312" w:cs="仿宋_GB2312"/>
                <w:sz w:val="32"/>
                <w:szCs w:val="32"/>
                <w:highlight w:val="none"/>
                <w:lang w:val="en-US" w:eastAsia="zh-CN"/>
              </w:rPr>
            </w:rPrChange>
          </w:rPr>
          <w:delText>单独发包的专业工程</w:delText>
        </w:r>
      </w:del>
      <w:r>
        <w:rPr>
          <w:rFonts w:hint="eastAsia" w:ascii="仿宋_GB2312" w:hAnsi="仿宋_GB2312" w:eastAsia="仿宋_GB2312" w:cs="仿宋_GB2312"/>
          <w:color w:val="auto"/>
          <w:sz w:val="32"/>
          <w:szCs w:val="32"/>
          <w:highlight w:val="none"/>
          <w:lang w:val="en-US" w:eastAsia="zh-CN"/>
          <w:rPrChange w:id="51" w:author="高希望" w:date="2026-04-13T19:40:26Z">
            <w:rPr>
              <w:rFonts w:hint="eastAsia" w:ascii="仿宋_GB2312" w:hAnsi="仿宋_GB2312" w:eastAsia="仿宋_GB2312" w:cs="仿宋_GB2312"/>
              <w:sz w:val="32"/>
              <w:szCs w:val="32"/>
              <w:highlight w:val="none"/>
              <w:lang w:val="en-US" w:eastAsia="zh-CN"/>
            </w:rPr>
          </w:rPrChange>
        </w:rPr>
        <w:t>，</w:t>
      </w:r>
      <w:del w:id="52" w:author="童奉孝" w:date="2026-04-13T18:06:16Z">
        <w:r>
          <w:rPr>
            <w:rFonts w:hint="eastAsia" w:ascii="仿宋_GB2312" w:hAnsi="仿宋_GB2312" w:eastAsia="仿宋_GB2312" w:cs="仿宋_GB2312"/>
            <w:color w:val="auto"/>
            <w:sz w:val="32"/>
            <w:szCs w:val="32"/>
            <w:highlight w:val="none"/>
            <w:lang w:val="en-US" w:eastAsia="zh-CN"/>
            <w:rPrChange w:id="53" w:author="高希望" w:date="2026-04-13T19:40:26Z">
              <w:rPr>
                <w:rFonts w:hint="eastAsia" w:ascii="仿宋_GB2312" w:hAnsi="仿宋_GB2312" w:eastAsia="仿宋_GB2312" w:cs="仿宋_GB2312"/>
                <w:sz w:val="32"/>
                <w:szCs w:val="32"/>
                <w:highlight w:val="none"/>
                <w:lang w:val="en-US" w:eastAsia="zh-CN"/>
              </w:rPr>
            </w:rPrChange>
          </w:rPr>
          <w:delText>对符合专业工程发包要求的</w:delText>
        </w:r>
      </w:del>
      <w:del w:id="54" w:author="童奉孝" w:date="2026-04-13T18:06:27Z">
        <w:r>
          <w:rPr>
            <w:rFonts w:hint="eastAsia" w:ascii="仿宋_GB2312" w:hAnsi="仿宋_GB2312" w:eastAsia="仿宋_GB2312" w:cs="仿宋_GB2312"/>
            <w:color w:val="auto"/>
            <w:sz w:val="32"/>
            <w:szCs w:val="32"/>
            <w:highlight w:val="none"/>
            <w:lang w:val="en-US" w:eastAsia="zh-CN"/>
            <w:rPrChange w:id="55" w:author="高希望" w:date="2026-04-13T19:40:26Z">
              <w:rPr>
                <w:rFonts w:hint="eastAsia" w:ascii="仿宋_GB2312" w:hAnsi="仿宋_GB2312" w:eastAsia="仿宋_GB2312" w:cs="仿宋_GB2312"/>
                <w:sz w:val="32"/>
                <w:szCs w:val="32"/>
                <w:highlight w:val="none"/>
                <w:lang w:val="en-US" w:eastAsia="zh-CN"/>
              </w:rPr>
            </w:rPrChange>
          </w:rPr>
          <w:delText>，</w:delText>
        </w:r>
      </w:del>
      <w:r>
        <w:rPr>
          <w:rFonts w:hint="eastAsia" w:ascii="仿宋_GB2312" w:hAnsi="仿宋_GB2312" w:eastAsia="仿宋_GB2312" w:cs="仿宋_GB2312"/>
          <w:color w:val="auto"/>
          <w:sz w:val="32"/>
          <w:szCs w:val="32"/>
          <w:highlight w:val="none"/>
          <w:lang w:val="en-US" w:eastAsia="zh-CN"/>
          <w:rPrChange w:id="56" w:author="高希望" w:date="2026-04-13T19:40:26Z">
            <w:rPr>
              <w:rFonts w:hint="eastAsia" w:ascii="仿宋_GB2312" w:hAnsi="仿宋_GB2312" w:eastAsia="仿宋_GB2312" w:cs="仿宋_GB2312"/>
              <w:sz w:val="32"/>
              <w:szCs w:val="32"/>
              <w:highlight w:val="none"/>
              <w:lang w:val="en-US" w:eastAsia="zh-CN"/>
            </w:rPr>
          </w:rPrChange>
        </w:rPr>
        <w:t>建设单位要</w:t>
      </w:r>
      <w:r>
        <w:rPr>
          <w:rFonts w:hint="eastAsia" w:ascii="仿宋_GB2312" w:hAnsi="仿宋_GB2312" w:eastAsia="仿宋_GB2312" w:cs="仿宋_GB2312"/>
          <w:color w:val="auto"/>
          <w:sz w:val="32"/>
          <w:szCs w:val="32"/>
          <w:highlight w:val="none"/>
          <w:rPrChange w:id="57" w:author="高希望" w:date="2026-04-13T19:40:26Z">
            <w:rPr>
              <w:rFonts w:ascii="仿宋_GB2312" w:eastAsia="仿宋_GB2312" w:cs="仿宋_GB2312"/>
              <w:color w:val="000000"/>
              <w:sz w:val="31"/>
              <w:szCs w:val="31"/>
              <w:highlight w:val="none"/>
            </w:rPr>
          </w:rPrChange>
        </w:rPr>
        <w:t>加强专业工程分包管理，</w:t>
      </w:r>
      <w:r>
        <w:rPr>
          <w:rFonts w:hint="eastAsia" w:ascii="仿宋_GB2312" w:hAnsi="仿宋_GB2312" w:eastAsia="仿宋_GB2312" w:cs="仿宋_GB2312"/>
          <w:color w:val="auto"/>
          <w:sz w:val="32"/>
          <w:szCs w:val="32"/>
          <w:highlight w:val="none"/>
          <w:lang w:val="en-US" w:eastAsia="zh-CN"/>
          <w:rPrChange w:id="58" w:author="高希望" w:date="2026-04-13T19:40:26Z">
            <w:rPr>
              <w:rFonts w:hint="eastAsia" w:ascii="仿宋_GB2312" w:eastAsia="仿宋_GB2312" w:cs="仿宋_GB2312"/>
              <w:color w:val="000000"/>
              <w:sz w:val="31"/>
              <w:szCs w:val="31"/>
              <w:highlight w:val="none"/>
              <w:lang w:val="en-US" w:eastAsia="zh-CN"/>
            </w:rPr>
          </w:rPrChange>
        </w:rPr>
        <w:t>按照相关要求</w:t>
      </w:r>
      <w:ins w:id="59" w:author="童奉孝" w:date="2026-04-13T18:07:15Z">
        <w:r>
          <w:rPr>
            <w:rFonts w:hint="eastAsia" w:ascii="仿宋_GB2312" w:hAnsi="仿宋_GB2312" w:eastAsia="仿宋_GB2312" w:cs="仿宋_GB2312"/>
            <w:color w:val="auto"/>
            <w:sz w:val="32"/>
            <w:szCs w:val="32"/>
            <w:highlight w:val="none"/>
            <w:lang w:val="en-US" w:eastAsia="zh-CN"/>
            <w:rPrChange w:id="60" w:author="高希望" w:date="2026-04-13T19:40:26Z">
              <w:rPr>
                <w:rFonts w:hint="eastAsia" w:ascii="仿宋_GB2312" w:eastAsia="仿宋_GB2312" w:cs="仿宋_GB2312"/>
                <w:color w:val="000000"/>
                <w:sz w:val="31"/>
                <w:szCs w:val="31"/>
                <w:highlight w:val="none"/>
                <w:lang w:val="en-US" w:eastAsia="zh-CN"/>
              </w:rPr>
            </w:rPrChange>
          </w:rPr>
          <w:t>及时</w:t>
        </w:r>
      </w:ins>
      <w:del w:id="61" w:author="童奉孝" w:date="2026-04-13T18:07:12Z">
        <w:r>
          <w:rPr>
            <w:rFonts w:hint="eastAsia" w:ascii="仿宋_GB2312" w:hAnsi="仿宋_GB2312" w:eastAsia="仿宋_GB2312" w:cs="仿宋_GB2312"/>
            <w:color w:val="auto"/>
            <w:sz w:val="32"/>
            <w:szCs w:val="32"/>
            <w:highlight w:val="none"/>
            <w:lang w:val="en-US" w:eastAsia="zh-CN"/>
            <w:rPrChange w:id="62" w:author="高希望" w:date="2026-04-13T19:40:26Z">
              <w:rPr>
                <w:rFonts w:hint="eastAsia" w:ascii="仿宋_GB2312" w:eastAsia="仿宋_GB2312" w:cs="仿宋_GB2312"/>
                <w:color w:val="000000"/>
                <w:sz w:val="31"/>
                <w:szCs w:val="31"/>
                <w:highlight w:val="none"/>
                <w:lang w:val="en-US" w:eastAsia="zh-CN"/>
              </w:rPr>
            </w:rPrChange>
          </w:rPr>
          <w:delText>在</w:delText>
        </w:r>
      </w:del>
      <w:del w:id="63" w:author="童奉孝" w:date="2026-04-13T18:07:08Z">
        <w:r>
          <w:rPr>
            <w:rFonts w:hint="eastAsia" w:ascii="仿宋_GB2312" w:hAnsi="仿宋_GB2312" w:eastAsia="仿宋_GB2312" w:cs="仿宋_GB2312"/>
            <w:color w:val="auto"/>
            <w:sz w:val="32"/>
            <w:szCs w:val="32"/>
            <w:highlight w:val="none"/>
            <w:rPrChange w:id="64" w:author="高希望" w:date="2026-04-13T19:40:26Z">
              <w:rPr>
                <w:rFonts w:hint="eastAsia" w:ascii="仿宋_GB2312" w:eastAsia="仿宋_GB2312" w:cs="仿宋_GB2312"/>
                <w:color w:val="000000"/>
                <w:sz w:val="31"/>
                <w:szCs w:val="31"/>
                <w:highlight w:val="none"/>
              </w:rPr>
            </w:rPrChange>
          </w:rPr>
          <w:delText>施</w:delText>
        </w:r>
      </w:del>
      <w:del w:id="65" w:author="童奉孝" w:date="2026-04-13T18:07:06Z">
        <w:r>
          <w:rPr>
            <w:rFonts w:hint="eastAsia" w:ascii="仿宋_GB2312" w:hAnsi="仿宋_GB2312" w:eastAsia="仿宋_GB2312" w:cs="仿宋_GB2312"/>
            <w:color w:val="auto"/>
            <w:sz w:val="32"/>
            <w:szCs w:val="32"/>
            <w:highlight w:val="none"/>
            <w:rPrChange w:id="66" w:author="高希望" w:date="2026-04-13T19:40:26Z">
              <w:rPr>
                <w:rFonts w:hint="eastAsia" w:ascii="仿宋_GB2312" w:eastAsia="仿宋_GB2312" w:cs="仿宋_GB2312"/>
                <w:color w:val="000000"/>
                <w:sz w:val="31"/>
                <w:szCs w:val="31"/>
                <w:highlight w:val="none"/>
              </w:rPr>
            </w:rPrChange>
          </w:rPr>
          <w:delText>工合同签</w:delText>
        </w:r>
      </w:del>
      <w:del w:id="67" w:author="童奉孝" w:date="2026-04-13T18:07:02Z">
        <w:r>
          <w:rPr>
            <w:rFonts w:hint="eastAsia" w:ascii="仿宋_GB2312" w:hAnsi="仿宋_GB2312" w:eastAsia="仿宋_GB2312" w:cs="仿宋_GB2312"/>
            <w:color w:val="auto"/>
            <w:sz w:val="32"/>
            <w:szCs w:val="32"/>
            <w:highlight w:val="none"/>
            <w:rPrChange w:id="68" w:author="高希望" w:date="2026-04-13T19:40:26Z">
              <w:rPr>
                <w:rFonts w:hint="eastAsia" w:ascii="仿宋_GB2312" w:eastAsia="仿宋_GB2312" w:cs="仿宋_GB2312"/>
                <w:color w:val="000000"/>
                <w:sz w:val="31"/>
                <w:szCs w:val="31"/>
                <w:highlight w:val="none"/>
              </w:rPr>
            </w:rPrChange>
          </w:rPr>
          <w:delText>订之日起的1个</w:delText>
        </w:r>
      </w:del>
      <w:del w:id="69" w:author="童奉孝" w:date="2026-04-13T18:07:01Z">
        <w:r>
          <w:rPr>
            <w:rFonts w:hint="eastAsia" w:ascii="仿宋_GB2312" w:hAnsi="仿宋_GB2312" w:eastAsia="仿宋_GB2312" w:cs="仿宋_GB2312"/>
            <w:color w:val="auto"/>
            <w:sz w:val="32"/>
            <w:szCs w:val="32"/>
            <w:highlight w:val="none"/>
            <w:rPrChange w:id="70" w:author="高希望" w:date="2026-04-13T19:40:26Z">
              <w:rPr>
                <w:rFonts w:hint="eastAsia" w:ascii="仿宋_GB2312" w:eastAsia="仿宋_GB2312" w:cs="仿宋_GB2312"/>
                <w:color w:val="000000"/>
                <w:sz w:val="31"/>
                <w:szCs w:val="31"/>
                <w:highlight w:val="none"/>
              </w:rPr>
            </w:rPrChange>
          </w:rPr>
          <w:delText>月</w:delText>
        </w:r>
      </w:del>
      <w:r>
        <w:rPr>
          <w:rFonts w:hint="eastAsia" w:ascii="仿宋_GB2312" w:hAnsi="仿宋_GB2312" w:eastAsia="仿宋_GB2312" w:cs="仿宋_GB2312"/>
          <w:color w:val="auto"/>
          <w:sz w:val="32"/>
          <w:szCs w:val="32"/>
          <w:highlight w:val="none"/>
          <w:rPrChange w:id="71" w:author="高希望" w:date="2026-04-13T19:40:26Z">
            <w:rPr>
              <w:rFonts w:hint="eastAsia" w:ascii="仿宋_GB2312" w:eastAsia="仿宋_GB2312" w:cs="仿宋_GB2312"/>
              <w:color w:val="000000"/>
              <w:sz w:val="31"/>
              <w:szCs w:val="31"/>
              <w:highlight w:val="none"/>
            </w:rPr>
          </w:rPrChange>
        </w:rPr>
        <w:t>内</w:t>
      </w:r>
      <w:r>
        <w:rPr>
          <w:rFonts w:hint="eastAsia" w:ascii="仿宋_GB2312" w:hAnsi="仿宋_GB2312" w:eastAsia="仿宋_GB2312" w:cs="仿宋_GB2312"/>
          <w:color w:val="auto"/>
          <w:sz w:val="32"/>
          <w:szCs w:val="32"/>
          <w:highlight w:val="none"/>
          <w:lang w:val="en-US" w:eastAsia="zh-CN"/>
          <w:rPrChange w:id="72" w:author="高希望" w:date="2026-04-13T19:40:26Z">
            <w:rPr>
              <w:rFonts w:hint="eastAsia" w:ascii="仿宋_GB2312" w:eastAsia="仿宋_GB2312" w:cs="仿宋_GB2312"/>
              <w:color w:val="000000"/>
              <w:sz w:val="31"/>
              <w:szCs w:val="31"/>
              <w:highlight w:val="none"/>
              <w:lang w:val="en-US" w:eastAsia="zh-CN"/>
            </w:rPr>
          </w:rPrChange>
        </w:rPr>
        <w:t>向主管单位发函申请“两制”账号，</w:t>
      </w:r>
      <w:r>
        <w:rPr>
          <w:rFonts w:hint="eastAsia" w:ascii="仿宋_GB2312" w:hAnsi="仿宋_GB2312" w:eastAsia="仿宋_GB2312" w:cs="仿宋_GB2312"/>
          <w:color w:val="auto"/>
          <w:sz w:val="32"/>
          <w:szCs w:val="32"/>
          <w:highlight w:val="none"/>
          <w:rPrChange w:id="73" w:author="高希望" w:date="2026-04-13T19:40:26Z">
            <w:rPr>
              <w:rFonts w:ascii="仿宋_GB2312" w:eastAsia="仿宋_GB2312" w:cs="仿宋_GB2312"/>
              <w:color w:val="000000"/>
              <w:sz w:val="31"/>
              <w:szCs w:val="31"/>
              <w:highlight w:val="none"/>
            </w:rPr>
          </w:rPrChange>
        </w:rPr>
        <w:t>将专业工程纳入</w:t>
      </w:r>
      <w:r>
        <w:rPr>
          <w:rFonts w:hint="eastAsia" w:ascii="仿宋_GB2312" w:hAnsi="仿宋_GB2312" w:eastAsia="仿宋_GB2312" w:cs="仿宋_GB2312"/>
          <w:color w:val="auto"/>
          <w:sz w:val="32"/>
          <w:szCs w:val="32"/>
          <w:highlight w:val="none"/>
          <w:lang w:eastAsia="zh-CN"/>
          <w:rPrChange w:id="74" w:author="高希望" w:date="2026-04-13T19:40:26Z">
            <w:rPr>
              <w:rFonts w:hint="eastAsia" w:ascii="仿宋_GB2312" w:eastAsia="仿宋_GB2312" w:cs="仿宋_GB2312"/>
              <w:color w:val="000000"/>
              <w:sz w:val="31"/>
              <w:szCs w:val="31"/>
              <w:highlight w:val="none"/>
              <w:lang w:eastAsia="zh-CN"/>
            </w:rPr>
          </w:rPrChange>
        </w:rPr>
        <w:t>“</w:t>
      </w:r>
      <w:r>
        <w:rPr>
          <w:rFonts w:hint="eastAsia" w:ascii="仿宋_GB2312" w:hAnsi="仿宋_GB2312" w:eastAsia="仿宋_GB2312" w:cs="仿宋_GB2312"/>
          <w:color w:val="auto"/>
          <w:sz w:val="32"/>
          <w:szCs w:val="32"/>
          <w:highlight w:val="none"/>
          <w:lang w:val="en-US" w:eastAsia="zh-CN"/>
          <w:rPrChange w:id="75" w:author="高希望" w:date="2026-04-13T19:40:26Z">
            <w:rPr>
              <w:rFonts w:hint="eastAsia" w:ascii="仿宋_GB2312" w:eastAsia="仿宋_GB2312" w:cs="仿宋_GB2312"/>
              <w:color w:val="000000"/>
              <w:sz w:val="31"/>
              <w:szCs w:val="31"/>
              <w:highlight w:val="none"/>
              <w:lang w:val="en-US" w:eastAsia="zh-CN"/>
            </w:rPr>
          </w:rPrChange>
        </w:rPr>
        <w:t>两制</w:t>
      </w:r>
      <w:r>
        <w:rPr>
          <w:rFonts w:hint="eastAsia" w:ascii="仿宋_GB2312" w:hAnsi="仿宋_GB2312" w:eastAsia="仿宋_GB2312" w:cs="仿宋_GB2312"/>
          <w:color w:val="auto"/>
          <w:sz w:val="32"/>
          <w:szCs w:val="32"/>
          <w:highlight w:val="none"/>
          <w:lang w:eastAsia="zh-CN"/>
          <w:rPrChange w:id="76" w:author="高希望" w:date="2026-04-13T19:40:26Z">
            <w:rPr>
              <w:rFonts w:hint="eastAsia" w:ascii="仿宋_GB2312" w:eastAsia="仿宋_GB2312" w:cs="仿宋_GB2312"/>
              <w:color w:val="000000"/>
              <w:sz w:val="31"/>
              <w:szCs w:val="31"/>
              <w:highlight w:val="none"/>
              <w:lang w:eastAsia="zh-CN"/>
            </w:rPr>
          </w:rPrChange>
        </w:rPr>
        <w:t>”</w:t>
      </w:r>
      <w:r>
        <w:rPr>
          <w:rFonts w:hint="eastAsia" w:ascii="仿宋_GB2312" w:hAnsi="仿宋_GB2312" w:eastAsia="仿宋_GB2312" w:cs="仿宋_GB2312"/>
          <w:color w:val="auto"/>
          <w:sz w:val="32"/>
          <w:szCs w:val="32"/>
          <w:highlight w:val="none"/>
          <w:lang w:val="en-US" w:eastAsia="zh-CN"/>
          <w:rPrChange w:id="77" w:author="高希望" w:date="2026-04-13T19:40:26Z">
            <w:rPr>
              <w:rFonts w:hint="eastAsia" w:ascii="仿宋_GB2312" w:eastAsia="仿宋_GB2312" w:cs="仿宋_GB2312"/>
              <w:color w:val="000000"/>
              <w:sz w:val="31"/>
              <w:szCs w:val="31"/>
              <w:highlight w:val="none"/>
              <w:lang w:val="en-US" w:eastAsia="zh-CN"/>
            </w:rPr>
          </w:rPrChange>
        </w:rPr>
        <w:t>平台</w:t>
      </w:r>
      <w:r>
        <w:rPr>
          <w:rFonts w:hint="eastAsia" w:ascii="仿宋_GB2312" w:hAnsi="仿宋_GB2312" w:eastAsia="仿宋_GB2312" w:cs="仿宋_GB2312"/>
          <w:color w:val="auto"/>
          <w:sz w:val="32"/>
          <w:szCs w:val="32"/>
          <w:highlight w:val="none"/>
          <w:rPrChange w:id="78" w:author="高希望" w:date="2026-04-13T19:40:26Z">
            <w:rPr>
              <w:rFonts w:hint="eastAsia" w:ascii="仿宋_GB2312" w:eastAsia="仿宋_GB2312" w:cs="仿宋_GB2312"/>
              <w:color w:val="000000"/>
              <w:sz w:val="31"/>
              <w:szCs w:val="31"/>
              <w:highlight w:val="none"/>
            </w:rPr>
          </w:rPrChange>
        </w:rPr>
        <w:t>，</w:t>
      </w:r>
      <w:r>
        <w:rPr>
          <w:rFonts w:hint="eastAsia" w:ascii="仿宋_GB2312" w:hAnsi="仿宋_GB2312" w:eastAsia="仿宋_GB2312" w:cs="仿宋_GB2312"/>
          <w:color w:val="auto"/>
          <w:sz w:val="32"/>
          <w:szCs w:val="32"/>
          <w:highlight w:val="none"/>
          <w:lang w:val="en-US" w:eastAsia="zh-CN"/>
          <w:rPrChange w:id="79" w:author="高希望" w:date="2026-04-13T19:40:26Z">
            <w:rPr>
              <w:rFonts w:hint="eastAsia" w:ascii="仿宋_GB2312" w:eastAsia="仿宋_GB2312" w:cs="仿宋_GB2312"/>
              <w:color w:val="000000"/>
              <w:sz w:val="31"/>
              <w:szCs w:val="31"/>
              <w:highlight w:val="none"/>
              <w:lang w:val="en-US" w:eastAsia="zh-CN"/>
            </w:rPr>
          </w:rPrChange>
        </w:rPr>
        <w:t>施工单位严格落实“两制”管理，</w:t>
      </w:r>
      <w:r>
        <w:rPr>
          <w:rFonts w:hint="eastAsia" w:ascii="仿宋_GB2312" w:hAnsi="仿宋_GB2312" w:eastAsia="仿宋_GB2312" w:cs="仿宋_GB2312"/>
          <w:color w:val="auto"/>
          <w:sz w:val="32"/>
          <w:szCs w:val="32"/>
          <w:highlight w:val="none"/>
          <w:rPrChange w:id="80" w:author="高希望" w:date="2026-04-13T19:40:26Z">
            <w:rPr>
              <w:rFonts w:hint="eastAsia" w:ascii="仿宋_GB2312" w:eastAsia="仿宋_GB2312" w:cs="仿宋_GB2312"/>
              <w:color w:val="000000"/>
              <w:sz w:val="31"/>
              <w:szCs w:val="31"/>
              <w:highlight w:val="none"/>
            </w:rPr>
          </w:rPrChange>
        </w:rPr>
        <w:t>源头预防化解欠薪问题</w:t>
      </w:r>
      <w:r>
        <w:rPr>
          <w:rFonts w:hint="eastAsia" w:ascii="仿宋_GB2312" w:hAnsi="仿宋_GB2312" w:eastAsia="仿宋_GB2312" w:cs="仿宋_GB2312"/>
          <w:color w:val="auto"/>
          <w:sz w:val="32"/>
          <w:szCs w:val="32"/>
          <w:highlight w:val="none"/>
          <w:lang w:eastAsia="zh-CN"/>
          <w:rPrChange w:id="81" w:author="高希望" w:date="2026-04-13T19:40:26Z">
            <w:rPr>
              <w:rFonts w:hint="eastAsia" w:ascii="仿宋_GB2312" w:eastAsia="仿宋_GB2312" w:cs="仿宋_GB2312"/>
              <w:color w:val="000000"/>
              <w:sz w:val="31"/>
              <w:szCs w:val="31"/>
              <w:highlight w:val="none"/>
              <w:lang w:eastAsia="zh-CN"/>
            </w:rPr>
          </w:rPrChange>
        </w:rPr>
        <w:t>。</w:t>
      </w:r>
      <w:r>
        <w:rPr>
          <w:rFonts w:hint="eastAsia" w:ascii="仿宋_GB2312" w:hAnsi="仿宋_GB2312" w:eastAsia="仿宋_GB2312" w:cs="仿宋_GB2312"/>
          <w:color w:val="auto"/>
          <w:sz w:val="32"/>
          <w:szCs w:val="32"/>
          <w:highlight w:val="none"/>
          <w:lang w:val="en-US" w:eastAsia="zh-CN"/>
          <w:rPrChange w:id="82" w:author="高希望" w:date="2026-04-13T19:40:26Z">
            <w:rPr>
              <w:rFonts w:hint="eastAsia" w:ascii="仿宋_GB2312" w:eastAsia="仿宋_GB2312" w:cs="仿宋_GB2312"/>
              <w:color w:val="000000"/>
              <w:sz w:val="31"/>
              <w:szCs w:val="31"/>
              <w:highlight w:val="none"/>
              <w:lang w:val="en-US" w:eastAsia="zh-CN"/>
            </w:rPr>
          </w:rPrChange>
        </w:rPr>
        <w:t>对依法应当总包分包的专业工程，总包单位应当全面兜底管理，并依法依规代发工人工资。</w:t>
      </w:r>
      <w:ins w:id="83" w:author="童奉孝" w:date="2026-04-13T18:07:58Z">
        <w:r>
          <w:rPr>
            <w:rFonts w:hint="eastAsia" w:ascii="仿宋_GB2312" w:hAnsi="仿宋_GB2312" w:eastAsia="仿宋_GB2312" w:cs="仿宋_GB2312"/>
            <w:color w:val="auto"/>
            <w:sz w:val="32"/>
            <w:szCs w:val="32"/>
            <w:highlight w:val="none"/>
            <w:lang w:val="en-US" w:eastAsia="zh-CN"/>
            <w:rPrChange w:id="84" w:author="高希望" w:date="2026-04-13T19:40:26Z">
              <w:rPr>
                <w:rFonts w:hint="eastAsia" w:ascii="仿宋_GB2312" w:eastAsia="仿宋_GB2312" w:cs="仿宋_GB2312"/>
                <w:color w:val="000000"/>
                <w:sz w:val="31"/>
                <w:szCs w:val="31"/>
                <w:highlight w:val="none"/>
                <w:lang w:val="en-US" w:eastAsia="zh-CN"/>
              </w:rPr>
            </w:rPrChange>
          </w:rPr>
          <w:t>针对新建项目，建设单位严禁将单位工程违法肢解发包，不得要求施工总承包单位将承包范围内的建设工程分包给指定单位，不得采用与总承包单位、分包单位签订“三方协议”的方式变相指定分包单位，不得将施工总合同内的工程款直接拨付给分包单位，确保工程发包合法合规、管理责任清晰明确，切实保障农民工劳动报酬权益。</w:t>
        </w:r>
      </w:ins>
    </w:p>
    <w:p w14:paraId="0CE40F09">
      <w:pPr>
        <w:keepNext w:val="0"/>
        <w:keepLines w:val="0"/>
        <w:pageBreakBefore w:val="0"/>
        <w:numPr>
          <w:ilvl w:val="0"/>
          <w:numId w:val="0"/>
        </w:numPr>
        <w:kinsoku/>
        <w:wordWrap/>
        <w:overflowPunct/>
        <w:topLinePunct w:val="0"/>
        <w:autoSpaceDE/>
        <w:autoSpaceDN/>
        <w:bidi w:val="0"/>
        <w:adjustRightInd w:val="0"/>
        <w:snapToGrid/>
        <w:spacing w:line="560" w:lineRule="exact"/>
        <w:ind w:leftChars="0" w:firstLine="608"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（七）规范机械设备操作工人工资支付管理。</w:t>
      </w:r>
      <w:r>
        <w:rPr>
          <w:rFonts w:hint="eastAsia" w:ascii="仿宋_GB2312" w:hAnsi="仿宋_GB2312" w:eastAsia="仿宋_GB2312" w:cs="仿宋_GB2312"/>
          <w:b w:val="0"/>
          <w:bCs w:val="0"/>
          <w:color w:val="auto"/>
          <w:sz w:val="32"/>
          <w:szCs w:val="32"/>
          <w:highlight w:val="none"/>
          <w:lang w:val="en-US" w:eastAsia="zh-CN"/>
        </w:rPr>
        <w:t>施工单位严格按照</w:t>
      </w:r>
      <w:r>
        <w:rPr>
          <w:rFonts w:hint="eastAsia" w:ascii="仿宋_GB2312" w:hAnsi="仿宋_GB2312" w:eastAsia="仿宋_GB2312" w:cs="仿宋_GB2312"/>
          <w:color w:val="000000"/>
          <w:sz w:val="32"/>
          <w:szCs w:val="32"/>
          <w:highlight w:val="none"/>
          <w:lang w:val="en-US" w:eastAsia="zh-CN"/>
        </w:rPr>
        <w:t>《龙岗区工程建设领域机械设备操作工人工资支付指引》（</w:t>
      </w:r>
      <w:r>
        <w:rPr>
          <w:rFonts w:hint="eastAsia" w:ascii="楷体" w:hAnsi="楷体" w:eastAsia="楷体" w:cs="楷体"/>
          <w:color w:val="000000"/>
          <w:sz w:val="32"/>
          <w:szCs w:val="32"/>
          <w:highlight w:val="none"/>
          <w:lang w:val="en-US" w:eastAsia="zh-CN"/>
        </w:rPr>
        <w:t>详见附件4</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i w:val="0"/>
          <w:iCs w:val="0"/>
          <w:caps w:val="0"/>
          <w:color w:val="1C1F23"/>
          <w:spacing w:val="0"/>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从“规范场前管理、加强过程控制、强化退场监督”等3个方面，规范龙岗区工程建设领域机械设备操作工人工资支付工作，通过</w:t>
      </w:r>
      <w:r>
        <w:rPr>
          <w:rFonts w:hint="eastAsia" w:ascii="仿宋_GB2312" w:hAnsi="仿宋_GB2312" w:eastAsia="仿宋_GB2312" w:cs="仿宋_GB2312"/>
          <w:i w:val="0"/>
          <w:iCs w:val="0"/>
          <w:caps w:val="0"/>
          <w:color w:val="auto"/>
          <w:spacing w:val="0"/>
          <w:sz w:val="32"/>
          <w:szCs w:val="32"/>
          <w:highlight w:val="none"/>
          <w:lang w:val="en-US" w:eastAsia="zh-CN"/>
        </w:rPr>
        <w:t>租赁合同费用划分明确、严格落实实名制管理、按月足额代发工人工资等方式，</w:t>
      </w:r>
      <w:r>
        <w:rPr>
          <w:rFonts w:hint="eastAsia" w:ascii="仿宋_GB2312" w:hAnsi="仿宋_GB2312" w:eastAsia="仿宋_GB2312" w:cs="仿宋_GB2312"/>
          <w:b w:val="0"/>
          <w:bCs w:val="0"/>
          <w:color w:val="auto"/>
          <w:sz w:val="32"/>
          <w:szCs w:val="32"/>
          <w:highlight w:val="none"/>
          <w:lang w:val="en-US" w:eastAsia="zh-CN"/>
        </w:rPr>
        <w:t>预防和化解因机械设备租赁费和操作工人人工费混同产生的劳资纠纷，推动机械设备操作工人工资支付问题的有效解决。</w:t>
      </w:r>
    </w:p>
    <w:p w14:paraId="228289BD">
      <w:pPr>
        <w:keepNext w:val="0"/>
        <w:keepLines w:val="0"/>
        <w:pageBreakBefore w:val="0"/>
        <w:numPr>
          <w:ilvl w:val="0"/>
          <w:numId w:val="0"/>
        </w:numPr>
        <w:kinsoku/>
        <w:wordWrap/>
        <w:overflowPunct/>
        <w:topLinePunct w:val="0"/>
        <w:autoSpaceDE/>
        <w:autoSpaceDN/>
        <w:bidi w:val="0"/>
        <w:adjustRightInd w:val="0"/>
        <w:snapToGrid/>
        <w:spacing w:line="560" w:lineRule="exact"/>
        <w:ind w:leftChars="0" w:firstLine="608"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三、履行监理单位监督责任</w:t>
      </w:r>
    </w:p>
    <w:p w14:paraId="13A72425">
      <w:pPr>
        <w:keepNext w:val="0"/>
        <w:keepLines w:val="0"/>
        <w:pageBreakBefore w:val="0"/>
        <w:numPr>
          <w:ilvl w:val="0"/>
          <w:numId w:val="0"/>
        </w:numPr>
        <w:tabs>
          <w:tab w:val="left" w:pos="1050"/>
        </w:tabs>
        <w:kinsoku/>
        <w:wordWrap/>
        <w:overflowPunct/>
        <w:topLinePunct w:val="0"/>
        <w:autoSpaceDE/>
        <w:autoSpaceDN/>
        <w:bidi w:val="0"/>
        <w:adjustRightInd w:val="0"/>
        <w:snapToGrid/>
        <w:spacing w:line="560" w:lineRule="exact"/>
        <w:ind w:leftChars="0" w:firstLine="608"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监理单位对各参建单位“两制”工作履行监督责任，将“两制”落实情况纳入日常监理范围。</w:t>
      </w:r>
    </w:p>
    <w:p w14:paraId="34173133">
      <w:pPr>
        <w:keepNext w:val="0"/>
        <w:keepLines w:val="0"/>
        <w:pageBreakBefore w:val="0"/>
        <w:numPr>
          <w:ilvl w:val="-1"/>
          <w:numId w:val="0"/>
        </w:numPr>
        <w:tabs>
          <w:tab w:val="left" w:pos="1050"/>
        </w:tabs>
        <w:kinsoku/>
        <w:wordWrap/>
        <w:overflowPunct/>
        <w:topLinePunct w:val="0"/>
        <w:autoSpaceDE/>
        <w:autoSpaceDN/>
        <w:bidi w:val="0"/>
        <w:adjustRightInd w:val="0"/>
        <w:snapToGrid/>
        <w:spacing w:line="560" w:lineRule="exact"/>
        <w:ind w:leftChars="0" w:firstLine="608"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（一）强化人工费核查工作。</w:t>
      </w:r>
      <w:r>
        <w:rPr>
          <w:rFonts w:hint="eastAsia" w:ascii="仿宋_GB2312" w:hAnsi="仿宋_GB2312" w:eastAsia="仿宋_GB2312" w:cs="仿宋_GB2312"/>
          <w:sz w:val="32"/>
          <w:szCs w:val="32"/>
          <w:highlight w:val="none"/>
          <w:lang w:val="en-US" w:eastAsia="zh-CN"/>
        </w:rPr>
        <w:t>每月审核施工单位报送的人工费时，重点复核人工费用申请金额是否满足工资支付需求；每次审核施工单位报送的进度款时，重点复核工资拨付比例是否符合合同约定要求。上述情形不符合要求的及时退回施工单位并督促整改，对复核结果负责。</w:t>
      </w:r>
    </w:p>
    <w:p w14:paraId="50B5F7AE">
      <w:pPr>
        <w:keepNext w:val="0"/>
        <w:keepLines w:val="0"/>
        <w:pageBreakBefore w:val="0"/>
        <w:numPr>
          <w:ilvl w:val="0"/>
          <w:numId w:val="0"/>
        </w:numPr>
        <w:tabs>
          <w:tab w:val="left" w:pos="1050"/>
        </w:tabs>
        <w:kinsoku/>
        <w:wordWrap/>
        <w:overflowPunct/>
        <w:topLinePunct w:val="0"/>
        <w:autoSpaceDE/>
        <w:autoSpaceDN/>
        <w:bidi w:val="0"/>
        <w:adjustRightInd w:val="0"/>
        <w:snapToGrid/>
        <w:spacing w:line="560" w:lineRule="exact"/>
        <w:ind w:leftChars="0" w:firstLine="608" w:firstLineChars="200"/>
        <w:textAlignment w:val="auto"/>
        <w:rPr>
          <w:rFonts w:hint="eastAsia" w:ascii="仿宋_GB2312" w:hAnsi="仿宋_GB2312" w:eastAsia="仿宋_GB2312" w:cs="仿宋_GB2312"/>
          <w:color w:val="auto"/>
          <w:sz w:val="32"/>
          <w:szCs w:val="32"/>
          <w:highlight w:val="none"/>
          <w:lang w:val="en-US" w:eastAsia="zh-CN"/>
          <w:rPrChange w:id="85" w:author="高希望" w:date="2026-04-13T19:40:35Z">
            <w:rPr>
              <w:rFonts w:hint="default" w:ascii="仿宋_GB2312" w:hAnsi="仿宋_GB2312" w:eastAsia="仿宋_GB2312" w:cs="仿宋_GB2312"/>
              <w:sz w:val="32"/>
              <w:szCs w:val="32"/>
              <w:highlight w:val="none"/>
              <w:lang w:val="en-US" w:eastAsia="zh-CN"/>
            </w:rPr>
          </w:rPrChange>
        </w:rPr>
      </w:pPr>
      <w:r>
        <w:rPr>
          <w:rFonts w:hint="eastAsia" w:ascii="楷体_GB2312" w:hAnsi="楷体_GB2312" w:eastAsia="楷体_GB2312" w:cs="楷体_GB2312"/>
          <w:sz w:val="32"/>
          <w:szCs w:val="32"/>
          <w:highlight w:val="none"/>
          <w:lang w:val="en-US" w:eastAsia="zh-CN"/>
        </w:rPr>
        <w:t>（二）开展“两制”专项检查。</w:t>
      </w:r>
      <w:r>
        <w:rPr>
          <w:rFonts w:hint="eastAsia" w:ascii="仿宋_GB2312" w:hAnsi="仿宋_GB2312" w:eastAsia="仿宋_GB2312" w:cs="仿宋_GB2312"/>
          <w:color w:val="auto"/>
          <w:sz w:val="32"/>
          <w:szCs w:val="32"/>
          <w:highlight w:val="none"/>
          <w:lang w:val="en-US" w:eastAsia="zh-CN"/>
          <w:rPrChange w:id="86" w:author="高希望" w:date="2026-04-13T19:40:35Z">
            <w:rPr>
              <w:rFonts w:hint="eastAsia" w:ascii="仿宋_GB2312" w:hAnsi="仿宋_GB2312" w:eastAsia="仿宋_GB2312" w:cs="仿宋_GB2312"/>
              <w:sz w:val="32"/>
              <w:szCs w:val="32"/>
              <w:highlight w:val="none"/>
              <w:lang w:val="en-US" w:eastAsia="zh-CN"/>
            </w:rPr>
          </w:rPrChange>
        </w:rPr>
        <w:t>每月至少组织1次“两制”管理专项检查，检查内容包括现场人员实名登记打卡率、考勤记录、工资表、工资发放凭证等，形成检查记录，由施工单位签字确认。同时监理单位在每月工资发放完成后，现场对不同分包单位、不同班组工人随机抽查足额收到工资的情况，按照工资发放人数1000人以下抽查不少于10名工人、1000人以上抽查人数不少于发放工资人数的1%的要求抽查，将抽查情况记录在当月监理日志并在监理例会上进行通报。</w:t>
      </w:r>
    </w:p>
    <w:p w14:paraId="492C67F2">
      <w:pPr>
        <w:keepNext w:val="0"/>
        <w:keepLines w:val="0"/>
        <w:pageBreakBefore w:val="0"/>
        <w:numPr>
          <w:ilvl w:val="0"/>
          <w:numId w:val="0"/>
        </w:numPr>
        <w:tabs>
          <w:tab w:val="left" w:pos="1050"/>
        </w:tabs>
        <w:kinsoku/>
        <w:wordWrap/>
        <w:overflowPunct/>
        <w:topLinePunct w:val="0"/>
        <w:autoSpaceDE/>
        <w:autoSpaceDN/>
        <w:bidi w:val="0"/>
        <w:adjustRightInd w:val="0"/>
        <w:snapToGrid/>
        <w:spacing w:line="560" w:lineRule="exact"/>
        <w:ind w:leftChars="0" w:firstLine="608"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（三）加强督促整改和隐患报告。</w:t>
      </w:r>
      <w:r>
        <w:rPr>
          <w:rFonts w:hint="eastAsia" w:ascii="仿宋_GB2312" w:hAnsi="仿宋_GB2312" w:eastAsia="仿宋_GB2312" w:cs="仿宋_GB2312"/>
          <w:sz w:val="32"/>
          <w:szCs w:val="32"/>
          <w:highlight w:val="none"/>
          <w:lang w:val="en-US" w:eastAsia="zh-CN"/>
        </w:rPr>
        <w:t>发现施工单位未落实“两制”管理要求的，及时下发整改通知，督促限期整改；整改不到位的，立即向建设单位和行业监管部门报告。</w:t>
      </w:r>
    </w:p>
    <w:p w14:paraId="4DD4AABE">
      <w:pPr>
        <w:keepNext w:val="0"/>
        <w:keepLines w:val="0"/>
        <w:pageBreakBefore w:val="0"/>
        <w:numPr>
          <w:ilvl w:val="0"/>
          <w:numId w:val="0"/>
        </w:numPr>
        <w:tabs>
          <w:tab w:val="left" w:pos="1050"/>
        </w:tabs>
        <w:kinsoku/>
        <w:wordWrap/>
        <w:overflowPunct/>
        <w:topLinePunct w:val="0"/>
        <w:autoSpaceDE/>
        <w:autoSpaceDN/>
        <w:bidi w:val="0"/>
        <w:adjustRightInd w:val="0"/>
        <w:snapToGrid/>
        <w:spacing w:line="560" w:lineRule="exact"/>
        <w:ind w:leftChars="0" w:firstLine="608" w:firstLineChars="200"/>
        <w:textAlignment w:val="auto"/>
        <w:rPr>
          <w:rFonts w:hint="eastAsia" w:ascii="黑体" w:hAnsi="黑体" w:eastAsia="黑体" w:cs="黑体"/>
          <w:sz w:val="32"/>
          <w:szCs w:val="32"/>
          <w:highlight w:val="none"/>
          <w:lang w:val="en-US" w:eastAsia="zh-CN"/>
        </w:rPr>
      </w:pPr>
      <w:r>
        <w:rPr>
          <w:rFonts w:hint="eastAsia" w:ascii="楷体_GB2312" w:hAnsi="楷体_GB2312" w:eastAsia="楷体_GB2312" w:cs="楷体_GB2312"/>
          <w:sz w:val="32"/>
          <w:szCs w:val="32"/>
          <w:highlight w:val="none"/>
          <w:lang w:val="en-US" w:eastAsia="zh-CN"/>
        </w:rPr>
        <w:t>（四）加强关键岗位履职监督。</w:t>
      </w:r>
      <w:r>
        <w:rPr>
          <w:rFonts w:hint="eastAsia" w:ascii="仿宋_GB2312" w:hAnsi="仿宋_GB2312" w:eastAsia="仿宋_GB2312" w:cs="仿宋_GB2312"/>
          <w:sz w:val="32"/>
          <w:szCs w:val="32"/>
          <w:highlight w:val="none"/>
          <w:lang w:val="en-US" w:eastAsia="zh-CN"/>
        </w:rPr>
        <w:t>对关键岗位管理人员到岗履职情况进行核查，发现项目经理、项目总监等人员考勤率不达标或人证不符的，及时向建设单位和行业监管部门报告。</w:t>
      </w:r>
    </w:p>
    <w:p w14:paraId="04028B8F">
      <w:pPr>
        <w:keepNext w:val="0"/>
        <w:keepLines w:val="0"/>
        <w:pageBreakBefore w:val="0"/>
        <w:numPr>
          <w:ilvl w:val="0"/>
          <w:numId w:val="0"/>
        </w:numPr>
        <w:kinsoku/>
        <w:wordWrap/>
        <w:overflowPunct/>
        <w:topLinePunct w:val="0"/>
        <w:autoSpaceDE/>
        <w:autoSpaceDN/>
        <w:bidi w:val="0"/>
        <w:adjustRightInd w:val="0"/>
        <w:snapToGrid/>
        <w:spacing w:line="560" w:lineRule="exact"/>
        <w:ind w:leftChars="0" w:firstLine="608"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四、夯实建设单位首要责任</w:t>
      </w:r>
    </w:p>
    <w:p w14:paraId="66D9AB4E">
      <w:pPr>
        <w:keepNext w:val="0"/>
        <w:keepLines w:val="0"/>
        <w:pageBreakBefore w:val="0"/>
        <w:numPr>
          <w:ilvl w:val="0"/>
          <w:numId w:val="0"/>
        </w:numPr>
        <w:tabs>
          <w:tab w:val="left" w:pos="1050"/>
        </w:tabs>
        <w:kinsoku/>
        <w:wordWrap/>
        <w:overflowPunct/>
        <w:topLinePunct w:val="0"/>
        <w:autoSpaceDE/>
        <w:autoSpaceDN/>
        <w:bidi w:val="0"/>
        <w:adjustRightInd w:val="0"/>
        <w:snapToGrid/>
        <w:spacing w:line="560" w:lineRule="exact"/>
        <w:ind w:leftChars="0" w:firstLine="608"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（一）书面合同强制约定。</w:t>
      </w:r>
      <w:r>
        <w:rPr>
          <w:rFonts w:hint="eastAsia" w:ascii="仿宋_GB2312" w:hAnsi="仿宋_GB2312" w:eastAsia="仿宋_GB2312" w:cs="仿宋_GB2312"/>
          <w:sz w:val="32"/>
          <w:szCs w:val="32"/>
          <w:highlight w:val="none"/>
          <w:lang w:val="en-US" w:eastAsia="zh-CN"/>
        </w:rPr>
        <w:t>建设单位需将“两制”管理要求、劳资纠纷处置机制、人工费用拨付比例及周期、劳资纠纷处置要求等纳入招标文件、施工合同条款内容，明确施工单位的责任和义务。</w:t>
      </w:r>
    </w:p>
    <w:p w14:paraId="0F6F46D9">
      <w:pPr>
        <w:keepNext w:val="0"/>
        <w:keepLines w:val="0"/>
        <w:pageBreakBefore w:val="0"/>
        <w:numPr>
          <w:ilvl w:val="0"/>
          <w:numId w:val="0"/>
        </w:numPr>
        <w:tabs>
          <w:tab w:val="left" w:pos="1050"/>
        </w:tabs>
        <w:kinsoku/>
        <w:wordWrap/>
        <w:overflowPunct/>
        <w:topLinePunct w:val="0"/>
        <w:autoSpaceDE/>
        <w:autoSpaceDN/>
        <w:bidi w:val="0"/>
        <w:adjustRightInd w:val="0"/>
        <w:snapToGrid/>
        <w:spacing w:line="560" w:lineRule="exact"/>
        <w:ind w:leftChars="0" w:firstLine="608"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（二）按月足额拨付人工费。</w:t>
      </w:r>
      <w:r>
        <w:rPr>
          <w:rFonts w:hint="eastAsia" w:ascii="仿宋_GB2312" w:hAnsi="仿宋_GB2312" w:eastAsia="仿宋_GB2312" w:cs="仿宋_GB2312"/>
          <w:sz w:val="32"/>
          <w:szCs w:val="32"/>
          <w:highlight w:val="none"/>
          <w:lang w:val="en-US" w:eastAsia="zh-CN"/>
        </w:rPr>
        <w:t>建设单位需统筹落实经费保障，根据合同约定按月按比例将人工费用足额拨付至农民工工资专用账户：房建项目的基础施工、主体施工、装饰装修施工、收尾阶段每月拨付比例分别不少于工程款的8%、30%、18%、20%；市政项目（</w:t>
      </w:r>
      <w:r>
        <w:rPr>
          <w:rFonts w:hint="eastAsia" w:ascii="仿宋_GB2312" w:hAnsi="仿宋_GB2312" w:eastAsia="仿宋_GB2312" w:cs="仿宋_GB2312"/>
          <w:b/>
          <w:bCs/>
          <w:sz w:val="32"/>
          <w:szCs w:val="32"/>
          <w:highlight w:val="none"/>
          <w:lang w:val="en-US" w:eastAsia="zh-CN"/>
        </w:rPr>
        <w:t>含水务项目</w:t>
      </w:r>
      <w:r>
        <w:rPr>
          <w:rFonts w:hint="eastAsia" w:ascii="仿宋_GB2312" w:hAnsi="仿宋_GB2312" w:eastAsia="仿宋_GB2312" w:cs="仿宋_GB2312"/>
          <w:sz w:val="32"/>
          <w:szCs w:val="32"/>
          <w:highlight w:val="none"/>
          <w:lang w:val="en-US" w:eastAsia="zh-CN"/>
        </w:rPr>
        <w:t>）每月拨付比例不少于工程款的13%；其他工程项目的工程中的人工费用参照15%-20%的范围。以上比例若不能满足按月足额发放工人工资要求，建设单位根据工资发放需求，应当在拨付人工费时相应提高拨付比例。人工费用拨付周期不得超过1个月；</w:t>
      </w:r>
      <w:r>
        <w:rPr>
          <w:rFonts w:hint="eastAsia" w:ascii="仿宋_GB2312" w:hAnsi="仿宋_GB2312" w:eastAsia="仿宋_GB2312" w:cs="仿宋_GB2312"/>
          <w:color w:val="auto"/>
          <w:sz w:val="32"/>
          <w:szCs w:val="32"/>
          <w:highlight w:val="none"/>
          <w:lang w:val="en-US" w:eastAsia="zh-CN"/>
        </w:rPr>
        <w:t>政府、国企投资项目，建设单位在项目开工前应按照不低于施工合同总价10%的比例拨付预付款，其中将不低于施工合同总价1%的金额作为人工费用预付款一次性拨付到工资专用账户，其余合同约定有预付款的项目，其中将不低于施工合同总价1%的金额作为人工费用预付款一次性拨付到工资专用账户。</w:t>
      </w:r>
      <w:r>
        <w:rPr>
          <w:rFonts w:hint="eastAsia" w:ascii="仿宋_GB2312" w:hAnsi="仿宋_GB2312" w:eastAsia="仿宋_GB2312" w:cs="仿宋_GB2312"/>
          <w:sz w:val="32"/>
          <w:szCs w:val="32"/>
          <w:highlight w:val="none"/>
          <w:lang w:val="en-US" w:eastAsia="zh-CN"/>
        </w:rPr>
        <w:t>建设单位会同监理单位加强对施工总承包单位工资支付情况的监督，发现未足额发放的及时督促整改并上报行业监管部门。</w:t>
      </w:r>
    </w:p>
    <w:p w14:paraId="01BCCCF7">
      <w:pPr>
        <w:keepNext w:val="0"/>
        <w:keepLines w:val="0"/>
        <w:pageBreakBefore w:val="0"/>
        <w:widowControl/>
        <w:numPr>
          <w:ilvl w:val="-1"/>
          <w:numId w:val="0"/>
        </w:numPr>
        <w:kinsoku/>
        <w:wordWrap/>
        <w:overflowPunct/>
        <w:topLinePunct w:val="0"/>
        <w:autoSpaceDE/>
        <w:autoSpaceDN/>
        <w:bidi w:val="0"/>
        <w:adjustRightInd/>
        <w:snapToGrid/>
        <w:spacing w:line="560" w:lineRule="exact"/>
        <w:ind w:leftChars="0" w:firstLine="608"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（三）严格合同履约评价。</w:t>
      </w:r>
      <w:r>
        <w:rPr>
          <w:rFonts w:hint="eastAsia" w:ascii="仿宋_GB2312" w:hAnsi="仿宋_GB2312" w:eastAsia="仿宋_GB2312" w:cs="仿宋_GB2312"/>
          <w:sz w:val="32"/>
          <w:szCs w:val="32"/>
          <w:highlight w:val="none"/>
          <w:lang w:val="en-US" w:eastAsia="zh-CN"/>
        </w:rPr>
        <w:t>政府投资、国企投资项目的建设单位，需严格按照《龙岗区建设工程承包商履约评价实施细则》</w:t>
      </w:r>
      <w:r>
        <w:rPr>
          <w:rFonts w:ascii="方正楷体_GBK" w:hAnsi="方正楷体_GBK" w:eastAsia="方正楷体_GBK" w:cs="方正楷体_GBK"/>
          <w:color w:val="000000"/>
          <w:kern w:val="0"/>
          <w:sz w:val="31"/>
          <w:szCs w:val="31"/>
          <w:highlight w:val="none"/>
          <w:lang w:val="en-US" w:eastAsia="zh-CN" w:bidi="ar"/>
        </w:rPr>
        <w:t>（以下简称《细则》）</w:t>
      </w:r>
      <w:r>
        <w:rPr>
          <w:rFonts w:hint="eastAsia" w:ascii="仿宋_GB2312" w:hAnsi="仿宋_GB2312" w:eastAsia="仿宋_GB2312" w:cs="仿宋_GB2312"/>
          <w:sz w:val="32"/>
          <w:szCs w:val="32"/>
          <w:highlight w:val="none"/>
          <w:lang w:val="en-US" w:eastAsia="zh-CN"/>
        </w:rPr>
        <w:t>，组织开展承包商履约评价管理。</w:t>
      </w:r>
    </w:p>
    <w:p w14:paraId="3476D275">
      <w:pPr>
        <w:keepNext w:val="0"/>
        <w:keepLines w:val="0"/>
        <w:pageBreakBefore w:val="0"/>
        <w:numPr>
          <w:ilvl w:val="0"/>
          <w:numId w:val="0"/>
        </w:numPr>
        <w:tabs>
          <w:tab w:val="left" w:pos="1050"/>
        </w:tabs>
        <w:kinsoku/>
        <w:wordWrap/>
        <w:overflowPunct/>
        <w:topLinePunct w:val="0"/>
        <w:autoSpaceDE/>
        <w:autoSpaceDN/>
        <w:bidi w:val="0"/>
        <w:adjustRightInd w:val="0"/>
        <w:snapToGrid/>
        <w:spacing w:line="560" w:lineRule="exact"/>
        <w:ind w:leftChars="0" w:firstLine="608"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对施工单位“两制”落实情况、工资支付保障制度执行情况及欠薪处置情况进行履约评价，未按合同约定履行的，按规定给予相应处罚；违反《细则》第十七条、第十八条规定的，给予履约“不合格”评价，并上传深圳市承包商履约评价管理系统。将履约评价结果、评价等级作为政府投资、国企投资项目评标定标的重要参考因素，对履约评价“不合格”的投标单位，审慎选择合作。</w:t>
      </w:r>
    </w:p>
    <w:p w14:paraId="214FAB87">
      <w:pPr>
        <w:keepNext w:val="0"/>
        <w:keepLines w:val="0"/>
        <w:pageBreakBefore w:val="0"/>
        <w:numPr>
          <w:ilvl w:val="0"/>
          <w:numId w:val="0"/>
        </w:numPr>
        <w:tabs>
          <w:tab w:val="left" w:pos="1050"/>
        </w:tabs>
        <w:kinsoku/>
        <w:wordWrap/>
        <w:overflowPunct/>
        <w:topLinePunct w:val="0"/>
        <w:autoSpaceDE/>
        <w:autoSpaceDN/>
        <w:bidi w:val="0"/>
        <w:adjustRightInd w:val="0"/>
        <w:snapToGrid/>
        <w:spacing w:line="560" w:lineRule="exact"/>
        <w:ind w:leftChars="0" w:firstLine="608"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2.督促施工总承包单位建立分包单位履约评价机制，相关履约评价结果报建设单位备案，评价结果作为分包单位后续合作准入的重要依据。</w:t>
      </w:r>
    </w:p>
    <w:p w14:paraId="25BFD5CF">
      <w:pPr>
        <w:pStyle w:val="19"/>
        <w:keepNext w:val="0"/>
        <w:keepLines w:val="0"/>
        <w:pageBreakBefore w:val="0"/>
        <w:kinsoku/>
        <w:wordWrap/>
        <w:overflowPunct/>
        <w:topLinePunct w:val="0"/>
        <w:autoSpaceDE/>
        <w:autoSpaceDN/>
        <w:bidi w:val="0"/>
        <w:spacing w:line="560" w:lineRule="exact"/>
        <w:ind w:firstLine="608" w:firstLineChars="200"/>
        <w:rPr>
          <w:rFonts w:hint="eastAsia" w:ascii="楷体_GB2312" w:hAnsi="楷体_GB2312" w:eastAsia="楷体_GB2312" w:cs="楷体_GB2312"/>
          <w:b w:val="0"/>
          <w:bCs w:val="0"/>
          <w:w w:val="100"/>
          <w:kern w:val="0"/>
          <w:sz w:val="32"/>
          <w:szCs w:val="32"/>
          <w:highlight w:val="none"/>
          <w:shd w:val="clear" w:color="auto" w:fill="auto"/>
          <w:lang w:val="en-US" w:eastAsia="zh-CN"/>
        </w:rPr>
      </w:pPr>
      <w:r>
        <w:rPr>
          <w:rFonts w:hint="eastAsia" w:ascii="楷体_GB2312" w:hAnsi="楷体_GB2312" w:eastAsia="楷体_GB2312" w:cs="楷体_GB2312"/>
          <w:b w:val="0"/>
          <w:bCs w:val="0"/>
          <w:w w:val="100"/>
          <w:kern w:val="0"/>
          <w:sz w:val="32"/>
          <w:szCs w:val="32"/>
          <w:highlight w:val="none"/>
          <w:shd w:val="clear" w:color="auto" w:fill="auto"/>
          <w:lang w:val="en-US" w:eastAsia="zh-CN"/>
        </w:rPr>
        <w:t>（四）强化关键岗位履职刚性约束</w:t>
      </w:r>
    </w:p>
    <w:p w14:paraId="04FD6BC2">
      <w:pPr>
        <w:pStyle w:val="19"/>
        <w:keepNext w:val="0"/>
        <w:keepLines w:val="0"/>
        <w:pageBreakBefore w:val="0"/>
        <w:kinsoku/>
        <w:wordWrap/>
        <w:overflowPunct/>
        <w:topLinePunct w:val="0"/>
        <w:autoSpaceDE/>
        <w:autoSpaceDN/>
        <w:bidi w:val="0"/>
        <w:adjustRightInd w:val="0"/>
        <w:snapToGrid/>
        <w:spacing w:line="560" w:lineRule="exact"/>
        <w:ind w:leftChars="0" w:firstLine="608"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w w:val="100"/>
          <w:kern w:val="0"/>
          <w:sz w:val="32"/>
          <w:szCs w:val="32"/>
          <w:highlight w:val="none"/>
          <w:shd w:val="clear" w:color="auto" w:fill="auto"/>
          <w:lang w:val="en-US" w:eastAsia="zh-CN"/>
        </w:rPr>
        <w:t>项目经理、总监、安全负责人、技术负责人等关键岗位人员是保障工程质量安全、落实用工管理责任、筑牢工资支付防线的核心关键。建议项目</w:t>
      </w:r>
      <w:r>
        <w:rPr>
          <w:rFonts w:hint="eastAsia" w:ascii="仿宋_GB2312" w:hAnsi="仿宋_GB2312" w:eastAsia="仿宋_GB2312" w:cs="仿宋_GB2312"/>
          <w:b w:val="0"/>
          <w:bCs w:val="0"/>
          <w:color w:val="auto"/>
          <w:w w:val="100"/>
          <w:kern w:val="0"/>
          <w:sz w:val="32"/>
          <w:szCs w:val="32"/>
          <w:highlight w:val="none"/>
          <w:shd w:val="clear" w:color="auto" w:fill="auto"/>
          <w:lang w:val="en-US" w:eastAsia="zh-CN"/>
        </w:rPr>
        <w:t>建设单位</w:t>
      </w:r>
      <w:r>
        <w:rPr>
          <w:rFonts w:hint="eastAsia" w:ascii="仿宋_GB2312" w:hAnsi="仿宋_GB2312" w:eastAsia="仿宋_GB2312" w:cs="仿宋_GB2312"/>
          <w:b w:val="0"/>
          <w:bCs w:val="0"/>
          <w:w w:val="100"/>
          <w:kern w:val="0"/>
          <w:sz w:val="32"/>
          <w:szCs w:val="32"/>
          <w:highlight w:val="none"/>
          <w:shd w:val="clear" w:color="auto" w:fill="auto"/>
          <w:lang w:val="en-US" w:eastAsia="zh-CN"/>
        </w:rPr>
        <w:t>在招标文件及施工合同中，对上述关键岗位人员的在岗履职标准、任职资格要求、岗位更换限制条件、擅自更换或脱岗失责的违约惩戒措施作出明确刚性约束，政府、国企项目建设单位要将项目更换关键岗位情况纳入履约评价，确保项目关键岗位全过程监管责任闭环落实。</w:t>
      </w:r>
    </w:p>
    <w:p w14:paraId="3AA28763">
      <w:pPr>
        <w:keepNext w:val="0"/>
        <w:keepLines w:val="0"/>
        <w:pageBreakBefore w:val="0"/>
        <w:numPr>
          <w:ilvl w:val="0"/>
          <w:numId w:val="0"/>
        </w:numPr>
        <w:tabs>
          <w:tab w:val="left" w:pos="1050"/>
        </w:tabs>
        <w:kinsoku/>
        <w:wordWrap/>
        <w:overflowPunct/>
        <w:topLinePunct w:val="0"/>
        <w:autoSpaceDE/>
        <w:autoSpaceDN/>
        <w:bidi w:val="0"/>
        <w:adjustRightInd w:val="0"/>
        <w:snapToGrid/>
        <w:spacing w:line="560" w:lineRule="exact"/>
        <w:ind w:leftChars="0" w:firstLine="608"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（五）建立劳资纠纷调处机制。</w:t>
      </w:r>
      <w:r>
        <w:rPr>
          <w:rFonts w:hint="eastAsia" w:ascii="仿宋_GB2312" w:hAnsi="仿宋_GB2312" w:eastAsia="仿宋_GB2312" w:cs="仿宋_GB2312"/>
          <w:sz w:val="32"/>
          <w:szCs w:val="32"/>
          <w:highlight w:val="none"/>
          <w:lang w:val="en-US" w:eastAsia="zh-CN"/>
        </w:rPr>
        <w:t>工期1年以上的工程项目，由建设单位牵头在项目部建立劳资纠纷调解委员会，在明显位置设置固定办公点、悬挂铭牌、公布投诉电话和邮箱，指定1名项目管理人员担任负责人，明确建设、施工、监理、分包单位及工人代表在纠纷处理中的职责，并在项目部公示栏进行公示，建立纠纷快速响应机制，力争将纠纷化解在项目部，避免矛盾扩大化。</w:t>
      </w:r>
    </w:p>
    <w:p w14:paraId="6BDE7D8B">
      <w:pPr>
        <w:keepNext w:val="0"/>
        <w:keepLines w:val="0"/>
        <w:pageBreakBefore w:val="0"/>
        <w:numPr>
          <w:ilvl w:val="0"/>
          <w:numId w:val="0"/>
        </w:numPr>
        <w:kinsoku/>
        <w:wordWrap/>
        <w:overflowPunct/>
        <w:topLinePunct w:val="0"/>
        <w:autoSpaceDE/>
        <w:autoSpaceDN/>
        <w:bidi w:val="0"/>
        <w:adjustRightInd w:val="0"/>
        <w:snapToGrid/>
        <w:spacing w:line="560" w:lineRule="exact"/>
        <w:ind w:leftChars="0" w:firstLine="608"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五、实行“两制”穿透式监管</w:t>
      </w:r>
    </w:p>
    <w:p w14:paraId="08E9ABFB">
      <w:pPr>
        <w:keepNext w:val="0"/>
        <w:keepLines w:val="0"/>
        <w:pageBreakBefore w:val="0"/>
        <w:widowControl/>
        <w:numPr>
          <w:ilvl w:val="-1"/>
          <w:numId w:val="0"/>
        </w:numPr>
        <w:kinsoku/>
        <w:wordWrap/>
        <w:overflowPunct/>
        <w:topLinePunct w:val="0"/>
        <w:autoSpaceDE/>
        <w:autoSpaceDN/>
        <w:bidi w:val="0"/>
        <w:adjustRightInd w:val="0"/>
        <w:snapToGrid/>
        <w:spacing w:line="560" w:lineRule="exact"/>
        <w:ind w:leftChars="0" w:firstLine="608"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区住房和建设局、区人力资源局、区建筑工务署、各街道办等相关单位严格</w:t>
      </w:r>
      <w:r>
        <w:rPr>
          <w:rFonts w:hint="eastAsia" w:ascii="仿宋_GB2312" w:hAnsi="仿宋_GB2312" w:eastAsia="仿宋_GB2312" w:cs="仿宋_GB2312"/>
          <w:color w:val="auto"/>
          <w:sz w:val="32"/>
          <w:szCs w:val="32"/>
          <w:highlight w:val="none"/>
          <w:lang w:val="en-US" w:eastAsia="zh-CN"/>
        </w:rPr>
        <w:t>落实《龙岗区工程建设领域劳资纠纷治理优化工作方案》，以</w:t>
      </w:r>
      <w:r>
        <w:rPr>
          <w:rFonts w:hint="eastAsia" w:ascii="仿宋_GB2312" w:hAnsi="仿宋_GB2312" w:eastAsia="仿宋_GB2312" w:cs="仿宋_GB2312"/>
          <w:b w:val="0"/>
          <w:bCs w:val="0"/>
          <w:sz w:val="32"/>
          <w:szCs w:val="32"/>
          <w:highlight w:val="none"/>
          <w:lang w:val="en-US" w:eastAsia="zh-CN"/>
        </w:rPr>
        <w:t>党建引领</w:t>
      </w:r>
      <w:r>
        <w:rPr>
          <w:rFonts w:hint="eastAsia" w:ascii="仿宋_GB2312" w:hAnsi="仿宋_GB2312" w:eastAsia="仿宋_GB2312" w:cs="仿宋_GB2312"/>
          <w:color w:val="auto"/>
          <w:sz w:val="32"/>
          <w:szCs w:val="32"/>
          <w:highlight w:val="none"/>
          <w:lang w:val="en-US" w:eastAsia="zh-CN"/>
        </w:rPr>
        <w:t>提升劳资纠纷治理效能。属地街道要牵头在信访频发或劳资隐患较大的工程项目建立“党建引领综合治理室”，</w:t>
      </w:r>
      <w:r>
        <w:rPr>
          <w:rFonts w:hint="eastAsia" w:ascii="仿宋_GB2312" w:hAnsi="仿宋_GB2312" w:eastAsia="仿宋_GB2312" w:cs="仿宋_GB2312"/>
          <w:b w:val="0"/>
          <w:bCs w:val="0"/>
          <w:sz w:val="32"/>
          <w:szCs w:val="32"/>
          <w:highlight w:val="none"/>
          <w:lang w:val="en-US" w:eastAsia="zh-CN"/>
        </w:rPr>
        <w:t>贯穿式源头治理劳资纠纷。各单位要加强联动，重点落实好以下穿透式监管：</w:t>
      </w:r>
    </w:p>
    <w:p w14:paraId="16D5C1D2">
      <w:pPr>
        <w:keepNext w:val="0"/>
        <w:keepLines w:val="0"/>
        <w:pageBreakBefore w:val="0"/>
        <w:numPr>
          <w:ilvl w:val="0"/>
          <w:numId w:val="0"/>
        </w:numPr>
        <w:kinsoku/>
        <w:wordWrap/>
        <w:overflowPunct/>
        <w:topLinePunct w:val="0"/>
        <w:autoSpaceDE/>
        <w:autoSpaceDN/>
        <w:bidi w:val="0"/>
        <w:adjustRightInd w:val="0"/>
        <w:snapToGrid/>
        <w:spacing w:line="560" w:lineRule="exact"/>
        <w:ind w:leftChars="0" w:firstLine="608"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（一）强化全流程穿透式监管。</w:t>
      </w:r>
      <w:r>
        <w:rPr>
          <w:rFonts w:hint="eastAsia" w:ascii="仿宋_GB2312" w:hAnsi="仿宋_GB2312" w:eastAsia="仿宋_GB2312" w:cs="仿宋_GB2312"/>
          <w:sz w:val="32"/>
          <w:szCs w:val="32"/>
          <w:highlight w:val="none"/>
          <w:lang w:val="en-US" w:eastAsia="zh-CN"/>
        </w:rPr>
        <w:t>区住房建设局内部各职能部门联动，以报建联动审查、日常检查、预售资金解除及竣工验收与工资结清挂钩为抓手，加强工程建设全流程穿透式监管。在项目招标、报建阶段，核查招标文件、施工总包合同中对工程款节点支付、人工费按月拨付条款；区质安站在日常检查中，重点核查设备配备、关键岗位人员考勤、工资支付等情况；房地产项目申请预售资金解除监管时，需核查项目“两制”落实情况及工资支付情况，对存在欠薪情形的项目，暂不予解除监管。</w:t>
      </w:r>
    </w:p>
    <w:p w14:paraId="1B4F3A23">
      <w:pPr>
        <w:keepNext w:val="0"/>
        <w:keepLines w:val="0"/>
        <w:pageBreakBefore w:val="0"/>
        <w:numPr>
          <w:ilvl w:val="0"/>
          <w:numId w:val="0"/>
        </w:numPr>
        <w:kinsoku/>
        <w:wordWrap/>
        <w:overflowPunct/>
        <w:topLinePunct w:val="0"/>
        <w:autoSpaceDE/>
        <w:autoSpaceDN/>
        <w:bidi w:val="0"/>
        <w:adjustRightInd w:val="0"/>
        <w:snapToGrid/>
        <w:spacing w:line="560" w:lineRule="exact"/>
        <w:ind w:leftChars="0" w:firstLine="608"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（二）推动白名单插入式监管。</w:t>
      </w:r>
      <w:r>
        <w:rPr>
          <w:rFonts w:hint="eastAsia" w:ascii="仿宋_GB2312" w:hAnsi="仿宋_GB2312" w:eastAsia="仿宋_GB2312" w:cs="仿宋_GB2312"/>
          <w:sz w:val="32"/>
          <w:szCs w:val="32"/>
          <w:highlight w:val="none"/>
          <w:lang w:val="en-US" w:eastAsia="zh-CN"/>
        </w:rPr>
        <w:t>各街道办应依托“两制”平台建立在建项目定期巡查检查机制，深入项目现场全面源头掌握项目用工白名单及工资支付情况，做好排查预警，并建立风险隐患台账。区质安站在日常巡查中，对“两制”落实不到位的项目，随机抽查在场工人的实名登记信息、考勤记录及工资发放流水，核实平台数据与实际情况是否一致；每次抽查人数不少于5人，发现未实名登记、考勤造假、工资未足额发放等问题的，责令限期整改，并纳入重点监管名单。</w:t>
      </w:r>
    </w:p>
    <w:p w14:paraId="3C981211">
      <w:pPr>
        <w:keepNext w:val="0"/>
        <w:keepLines w:val="0"/>
        <w:pageBreakBefore w:val="0"/>
        <w:numPr>
          <w:ilvl w:val="0"/>
          <w:numId w:val="0"/>
        </w:numPr>
        <w:kinsoku/>
        <w:wordWrap/>
        <w:overflowPunct/>
        <w:topLinePunct w:val="0"/>
        <w:autoSpaceDE/>
        <w:autoSpaceDN/>
        <w:bidi w:val="0"/>
        <w:adjustRightInd w:val="0"/>
        <w:snapToGrid/>
        <w:spacing w:line="560" w:lineRule="exact"/>
        <w:ind w:leftChars="0" w:firstLine="608"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（三）规范施工劳务企业管理。</w:t>
      </w:r>
      <w:r>
        <w:rPr>
          <w:rFonts w:hint="eastAsia" w:ascii="仿宋_GB2312" w:hAnsi="仿宋_GB2312" w:eastAsia="仿宋_GB2312" w:cs="仿宋_GB2312"/>
          <w:sz w:val="32"/>
          <w:szCs w:val="32"/>
          <w:highlight w:val="none"/>
          <w:lang w:val="en-US" w:eastAsia="zh-CN"/>
        </w:rPr>
        <w:t>区住房建设局全面加强施工劳务企业用工管理，对劳资频发、履约评价不达标的已备案企业劳务企业记录在档，加强事中事后核查；对非属地劳务企业存在的问题，抄报至属地行业监管部门予以处理；引导劳务龙头企业“专精特新”发展，培育优质施工劳务企业。</w:t>
      </w:r>
    </w:p>
    <w:p w14:paraId="3E1EEFFC">
      <w:pPr>
        <w:keepNext w:val="0"/>
        <w:keepLines w:val="0"/>
        <w:pageBreakBefore w:val="0"/>
        <w:numPr>
          <w:ilvl w:val="0"/>
          <w:numId w:val="0"/>
        </w:numPr>
        <w:kinsoku/>
        <w:wordWrap/>
        <w:overflowPunct/>
        <w:topLinePunct w:val="0"/>
        <w:autoSpaceDE/>
        <w:autoSpaceDN/>
        <w:bidi w:val="0"/>
        <w:adjustRightInd w:val="0"/>
        <w:snapToGrid/>
        <w:spacing w:line="560" w:lineRule="exact"/>
        <w:ind w:leftChars="0" w:firstLine="608" w:firstLineChars="200"/>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（四）</w:t>
      </w:r>
      <w:r>
        <w:rPr>
          <w:rFonts w:hint="eastAsia" w:ascii="楷体" w:hAnsi="楷体" w:eastAsia="楷体" w:cs="楷体"/>
          <w:b w:val="0"/>
          <w:bCs w:val="0"/>
          <w:sz w:val="32"/>
          <w:szCs w:val="32"/>
          <w:highlight w:val="none"/>
          <w:lang w:val="en-US" w:eastAsia="zh-CN"/>
        </w:rPr>
        <w:t>加大预</w:t>
      </w:r>
      <w:r>
        <w:rPr>
          <w:rFonts w:hint="eastAsia" w:ascii="楷体_GB2312" w:hAnsi="楷体_GB2312" w:eastAsia="楷体_GB2312" w:cs="楷体_GB2312"/>
          <w:b w:val="0"/>
          <w:bCs w:val="0"/>
          <w:sz w:val="32"/>
          <w:szCs w:val="32"/>
          <w:highlight w:val="none"/>
          <w:lang w:val="en-US" w:eastAsia="zh-CN"/>
        </w:rPr>
        <w:t>警处置与违规惩戒力度。</w:t>
      </w:r>
      <w:r>
        <w:rPr>
          <w:rFonts w:hint="eastAsia" w:ascii="仿宋_GB2312" w:hAnsi="仿宋_GB2312" w:eastAsia="仿宋_GB2312" w:cs="仿宋_GB2312"/>
          <w:b w:val="0"/>
          <w:bCs w:val="0"/>
          <w:sz w:val="32"/>
          <w:szCs w:val="32"/>
          <w:highlight w:val="none"/>
          <w:lang w:val="en-US" w:eastAsia="zh-CN"/>
        </w:rPr>
        <w:t>区住房建设局、区建筑工务署、各街道办应</w:t>
      </w:r>
      <w:r>
        <w:rPr>
          <w:rFonts w:hint="eastAsia" w:ascii="仿宋_GB2312" w:hAnsi="仿宋_GB2312" w:eastAsia="仿宋_GB2312" w:cs="仿宋_GB2312"/>
          <w:sz w:val="32"/>
          <w:szCs w:val="32"/>
          <w:highlight w:val="none"/>
          <w:lang w:val="en-US" w:eastAsia="zh-CN"/>
        </w:rPr>
        <w:t>依托“两制”平台，对项目基础信息不完整、考勤率不达标、人工费用拨付滞后、工资发放异常等情况实时预警，责令相关责任单位在7日内完成整改；项目存在逾期未整改或整改不到位导致劳资纠纷投诉的，由区住房建设局采取通报批评、信用扣分、黄色警示、锁定资质、提请停标、停工整改等措施。对“两制”落实不到位引发欠薪投诉的，按照相关规定严肃处置，并将处置结果纳入企业信用评价。</w:t>
      </w:r>
    </w:p>
    <w:p w14:paraId="56B32F3F">
      <w:pPr>
        <w:keepNext w:val="0"/>
        <w:keepLines w:val="0"/>
        <w:widowControl/>
        <w:suppressLineNumbers w:val="0"/>
        <w:ind w:firstLine="608"/>
        <w:jc w:val="left"/>
      </w:pPr>
      <w:r>
        <w:rPr>
          <w:rFonts w:hint="eastAsia" w:ascii="楷体" w:hAnsi="楷体" w:eastAsia="楷体" w:cs="楷体"/>
          <w:lang w:val="en-US" w:eastAsia="zh-CN"/>
        </w:rPr>
        <w:t>（五）源头穿透化解处置劳资纠纷。</w:t>
      </w:r>
      <w:r>
        <w:rPr>
          <w:rFonts w:hint="eastAsia" w:ascii="仿宋_GB2312" w:hAnsi="仿宋_GB2312" w:eastAsia="仿宋_GB2312" w:cs="仿宋_GB2312"/>
          <w:lang w:val="en-US" w:eastAsia="zh-CN"/>
        </w:rPr>
        <w:t>对未竣工的在建在监项目，在施工现场张贴投诉二维码，源头收集欠薪线索情况，充分整合区质安站监督执法力量，各监督小组按照各自所属监管项目投诉线索情况，第一时间组织相关参建责任单位调处化解，针对重大劳资欠薪案件，可报区住建局相关职能部门介入协同调处，</w:t>
      </w:r>
      <w:r>
        <w:rPr>
          <w:rFonts w:ascii="仿宋_GB2312" w:hAnsi="宋体" w:eastAsia="仿宋_GB2312" w:cs="仿宋_GB2312"/>
          <w:color w:val="000000"/>
          <w:kern w:val="0"/>
          <w:sz w:val="31"/>
          <w:szCs w:val="31"/>
          <w:lang w:val="en-US" w:eastAsia="zh-CN" w:bidi="ar"/>
        </w:rPr>
        <w:t xml:space="preserve">切实将欠薪隐 </w:t>
      </w:r>
      <w:r>
        <w:rPr>
          <w:rFonts w:hint="eastAsia" w:ascii="仿宋_GB2312" w:hAnsi="宋体" w:eastAsia="仿宋_GB2312" w:cs="仿宋_GB2312"/>
          <w:color w:val="000000"/>
          <w:kern w:val="0"/>
          <w:sz w:val="31"/>
          <w:szCs w:val="31"/>
          <w:lang w:val="en-US" w:eastAsia="zh-CN" w:bidi="ar"/>
        </w:rPr>
        <w:t>患“发现在初始、解决在萌芽、化解在一线”。</w:t>
      </w:r>
    </w:p>
    <w:p w14:paraId="040927AF">
      <w:pPr>
        <w:pStyle w:val="2"/>
        <w:spacing w:line="560" w:lineRule="exact"/>
        <w:rPr>
          <w:rFonts w:hint="default" w:ascii="楷体" w:hAnsi="楷体" w:eastAsia="楷体" w:cs="楷体"/>
          <w:lang w:val="en-US" w:eastAsia="zh-CN"/>
        </w:rPr>
      </w:pPr>
    </w:p>
    <w:p w14:paraId="695E4FB3">
      <w:pPr>
        <w:keepNext w:val="0"/>
        <w:keepLines w:val="0"/>
        <w:pageBreakBefore w:val="0"/>
        <w:numPr>
          <w:ilvl w:val="-1"/>
          <w:numId w:val="0"/>
        </w:numPr>
        <w:kinsoku/>
        <w:wordWrap/>
        <w:overflowPunct/>
        <w:topLinePunct w:val="0"/>
        <w:autoSpaceDE/>
        <w:autoSpaceDN/>
        <w:bidi w:val="0"/>
        <w:adjustRightInd w:val="0"/>
        <w:snapToGrid/>
        <w:ind w:leftChars="200" w:firstLine="0" w:firstLineChars="0"/>
        <w:textAlignment w:val="auto"/>
        <w:rPr>
          <w:rFonts w:hint="eastAsia" w:ascii="仿宋_GB2312" w:hAnsi="仿宋_GB2312" w:eastAsia="仿宋_GB2312" w:cs="仿宋_GB2312"/>
          <w:sz w:val="32"/>
          <w:szCs w:val="32"/>
          <w:highlight w:val="none"/>
          <w:lang w:val="en-US" w:eastAsia="zh-CN"/>
        </w:rPr>
      </w:pPr>
    </w:p>
    <w:p w14:paraId="5497270B">
      <w:pPr>
        <w:keepNext w:val="0"/>
        <w:keepLines w:val="0"/>
        <w:pageBreakBefore w:val="0"/>
        <w:numPr>
          <w:ilvl w:val="-1"/>
          <w:numId w:val="0"/>
        </w:numPr>
        <w:kinsoku/>
        <w:wordWrap/>
        <w:overflowPunct/>
        <w:topLinePunct w:val="0"/>
        <w:autoSpaceDE/>
        <w:autoSpaceDN/>
        <w:bidi w:val="0"/>
        <w:adjustRightInd w:val="0"/>
        <w:snapToGrid/>
        <w:ind w:leftChars="200" w:firstLine="0" w:firstLineChars="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附件：1.用工管理台账资料</w:t>
      </w:r>
    </w:p>
    <w:p w14:paraId="262CD181">
      <w:pPr>
        <w:keepNext w:val="0"/>
        <w:keepLines w:val="0"/>
        <w:pageBreakBefore w:val="0"/>
        <w:numPr>
          <w:ilvl w:val="-1"/>
          <w:numId w:val="0"/>
        </w:numPr>
        <w:kinsoku/>
        <w:wordWrap/>
        <w:overflowPunct/>
        <w:topLinePunct w:val="0"/>
        <w:autoSpaceDE/>
        <w:autoSpaceDN/>
        <w:bidi w:val="0"/>
        <w:adjustRightInd w:val="0"/>
        <w:snapToGrid/>
        <w:ind w:left="1824" w:leftChars="500" w:hanging="304" w:hangingChars="100"/>
        <w:jc w:val="lef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2.工资支付参考模板</w:t>
      </w:r>
    </w:p>
    <w:p w14:paraId="1655AB16">
      <w:pPr>
        <w:keepNext w:val="0"/>
        <w:keepLines w:val="0"/>
        <w:pageBreakBefore w:val="0"/>
        <w:numPr>
          <w:ilvl w:val="-1"/>
          <w:numId w:val="0"/>
        </w:numPr>
        <w:kinsoku/>
        <w:wordWrap/>
        <w:overflowPunct/>
        <w:topLinePunct w:val="0"/>
        <w:autoSpaceDE/>
        <w:autoSpaceDN/>
        <w:bidi w:val="0"/>
        <w:adjustRightInd w:val="0"/>
        <w:snapToGrid/>
        <w:ind w:left="1824" w:leftChars="500" w:hanging="304" w:hangingChars="100"/>
        <w:jc w:val="lef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3.龙岗区住房和建设局关于加快智能安全帽和AI智能摄像头推广应用的通知</w:t>
      </w:r>
    </w:p>
    <w:p w14:paraId="6D012036">
      <w:pPr>
        <w:keepNext w:val="0"/>
        <w:keepLines w:val="0"/>
        <w:pageBreakBefore w:val="0"/>
        <w:numPr>
          <w:ilvl w:val="-1"/>
          <w:numId w:val="0"/>
        </w:numPr>
        <w:kinsoku/>
        <w:wordWrap/>
        <w:overflowPunct/>
        <w:topLinePunct w:val="0"/>
        <w:autoSpaceDE/>
        <w:autoSpaceDN/>
        <w:bidi w:val="0"/>
        <w:adjustRightInd w:val="0"/>
        <w:snapToGrid/>
        <w:ind w:leftChars="200" w:firstLine="912" w:firstLineChars="300"/>
        <w:jc w:val="left"/>
        <w:textAlignment w:val="auto"/>
        <w:rPr>
          <w:rFonts w:hint="default" w:eastAsia="仿宋" w:asciiTheme="minorAscii" w:hAnsiTheme="minorAscii" w:cstheme="minorBidi"/>
          <w:kern w:val="2"/>
          <w:sz w:val="32"/>
          <w:szCs w:val="24"/>
          <w:highlight w:val="none"/>
          <w:lang w:val="en-US" w:eastAsia="zh-CN" w:bidi="ar-SA"/>
        </w:rPr>
      </w:pPr>
      <w:r>
        <w:rPr>
          <w:rFonts w:hint="eastAsia" w:ascii="仿宋_GB2312" w:hAnsi="仿宋_GB2312" w:eastAsia="仿宋_GB2312" w:cs="仿宋_GB2312"/>
          <w:color w:val="000000"/>
          <w:sz w:val="32"/>
          <w:szCs w:val="32"/>
          <w:highlight w:val="none"/>
          <w:lang w:val="en-US" w:eastAsia="zh-CN"/>
        </w:rPr>
        <w:t>4.龙岗区工程建设领域机械设备操作工人工资支付指引</w:t>
      </w:r>
    </w:p>
    <w:sectPr>
      <w:footerReference r:id="rId5" w:type="default"/>
      <w:pgSz w:w="11906" w:h="16838"/>
      <w:pgMar w:top="2098" w:right="1474" w:bottom="1984" w:left="1587" w:header="851" w:footer="992" w:gutter="0"/>
      <w:pgNumType w:fmt="numberInDash"/>
      <w:cols w:space="0" w:num="1"/>
      <w:rtlGutter w:val="0"/>
      <w:docGrid w:type="linesAndChars" w:linePitch="590" w:charSpace="-3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8"/>
      </w:pPr>
      <w:r>
        <w:separator/>
      </w:r>
    </w:p>
  </w:endnote>
  <w:endnote w:type="continuationSeparator" w:id="1">
    <w:p>
      <w:pPr>
        <w:spacing w:line="240" w:lineRule="auto"/>
        <w:ind w:firstLine="60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楷体_GB2312">
    <w:altName w:val="方正楷体_GBK"/>
    <w:panose1 w:val="02010609030101010101"/>
    <w:charset w:val="86"/>
    <w:family w:val="auto"/>
    <w:pitch w:val="default"/>
    <w:sig w:usb0="00000000" w:usb1="00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325C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E56BC">
                          <w:pPr>
                            <w:pStyle w:val="11"/>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AE56BC">
                    <w:pPr>
                      <w:pStyle w:val="11"/>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8"/>
      </w:pPr>
      <w:r>
        <w:separator/>
      </w:r>
    </w:p>
  </w:footnote>
  <w:footnote w:type="continuationSeparator" w:id="1">
    <w:p>
      <w:pPr>
        <w:spacing w:line="240" w:lineRule="auto"/>
        <w:ind w:firstLine="608"/>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BDFD5"/>
    <w:multiLevelType w:val="multilevel"/>
    <w:tmpl w:val="82CBDFD5"/>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B67733D2"/>
    <w:multiLevelType w:val="multilevel"/>
    <w:tmpl w:val="B67733D2"/>
    <w:lvl w:ilvl="0" w:tentative="0">
      <w:start w:val="1"/>
      <w:numFmt w:val="none"/>
      <w:suff w:val="nothing"/>
      <w:lvlText w:val="第一章 "/>
      <w:lvlJc w:val="left"/>
      <w:pPr>
        <w:tabs>
          <w:tab w:val="left" w:pos="0"/>
        </w:tabs>
        <w:ind w:left="0" w:firstLine="402"/>
      </w:pPr>
      <w:rPr>
        <w:rFonts w:hint="default" w:ascii="宋体" w:hAnsi="宋体" w:eastAsia="方正小标宋简体" w:cs="宋体"/>
      </w:rPr>
    </w:lvl>
    <w:lvl w:ilvl="1" w:tentative="0">
      <w:start w:val="1"/>
      <w:numFmt w:val="none"/>
      <w:suff w:val="nothing"/>
      <w:lvlText w:val="第一节 "/>
      <w:lvlJc w:val="left"/>
      <w:pPr>
        <w:tabs>
          <w:tab w:val="left" w:pos="0"/>
        </w:tabs>
        <w:ind w:left="0" w:firstLine="402"/>
      </w:pPr>
      <w:rPr>
        <w:rFonts w:hint="default" w:ascii="宋体" w:hAnsi="宋体" w:eastAsia="方正小标宋简体" w:cs="宋体"/>
      </w:rPr>
    </w:lvl>
    <w:lvl w:ilvl="2" w:tentative="0">
      <w:start w:val="1"/>
      <w:numFmt w:val="none"/>
      <w:suff w:val="nothing"/>
      <w:lvlText w:val="1 "/>
      <w:lvlJc w:val="left"/>
      <w:pPr>
        <w:tabs>
          <w:tab w:val="left" w:pos="0"/>
        </w:tabs>
        <w:ind w:left="0" w:firstLine="402"/>
      </w:pPr>
      <w:rPr>
        <w:rFonts w:hint="default" w:ascii="宋体" w:hAnsi="宋体" w:eastAsia="宋体" w:cs="宋体"/>
      </w:rPr>
    </w:lvl>
    <w:lvl w:ilvl="3" w:tentative="0">
      <w:start w:val="1"/>
      <w:numFmt w:val="none"/>
      <w:pStyle w:val="5"/>
      <w:suff w:val="nothing"/>
      <w:lvlText w:val="1.1"/>
      <w:lvlJc w:val="left"/>
      <w:pPr>
        <w:ind w:left="0" w:firstLine="402"/>
      </w:pPr>
      <w:rPr>
        <w:rFonts w:hint="default" w:ascii="宋体" w:hAnsi="宋体" w:eastAsia="楷体" w:cs="宋体"/>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童奉孝">
    <w15:presenceInfo w15:providerId="None" w15:userId="童奉孝"/>
  </w15:person>
  <w15:person w15:author="高希望">
    <w15:presenceInfo w15:providerId="None" w15:userId="高希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D5605"/>
    <w:rsid w:val="03100052"/>
    <w:rsid w:val="03407D3F"/>
    <w:rsid w:val="04DF4AFB"/>
    <w:rsid w:val="055D45F6"/>
    <w:rsid w:val="09F07B31"/>
    <w:rsid w:val="0A224330"/>
    <w:rsid w:val="0DA6410D"/>
    <w:rsid w:val="0FD7EA09"/>
    <w:rsid w:val="108F1546"/>
    <w:rsid w:val="128B3CC9"/>
    <w:rsid w:val="12924D3C"/>
    <w:rsid w:val="13182594"/>
    <w:rsid w:val="134F4BCA"/>
    <w:rsid w:val="144C1AAA"/>
    <w:rsid w:val="14B606C2"/>
    <w:rsid w:val="15C04412"/>
    <w:rsid w:val="16D86081"/>
    <w:rsid w:val="185F6D12"/>
    <w:rsid w:val="1AEB0533"/>
    <w:rsid w:val="1BFA7574"/>
    <w:rsid w:val="1DA84CB7"/>
    <w:rsid w:val="1E2A0EDF"/>
    <w:rsid w:val="1E4E28DB"/>
    <w:rsid w:val="1E837E35"/>
    <w:rsid w:val="206C2BD1"/>
    <w:rsid w:val="221D1E41"/>
    <w:rsid w:val="25407ECB"/>
    <w:rsid w:val="267D5605"/>
    <w:rsid w:val="267E514F"/>
    <w:rsid w:val="27DA4607"/>
    <w:rsid w:val="2A166AA6"/>
    <w:rsid w:val="2A757815"/>
    <w:rsid w:val="2C792315"/>
    <w:rsid w:val="2CDB417E"/>
    <w:rsid w:val="2D732B50"/>
    <w:rsid w:val="2DE03FF9"/>
    <w:rsid w:val="2DFA9545"/>
    <w:rsid w:val="2EB772B3"/>
    <w:rsid w:val="30132140"/>
    <w:rsid w:val="313F372D"/>
    <w:rsid w:val="338744E5"/>
    <w:rsid w:val="33E505BB"/>
    <w:rsid w:val="34746521"/>
    <w:rsid w:val="350534AF"/>
    <w:rsid w:val="358D2CB9"/>
    <w:rsid w:val="35E51390"/>
    <w:rsid w:val="36A04C6E"/>
    <w:rsid w:val="38521F98"/>
    <w:rsid w:val="3AE7497A"/>
    <w:rsid w:val="3B1479D8"/>
    <w:rsid w:val="42295B17"/>
    <w:rsid w:val="43170782"/>
    <w:rsid w:val="44D9610D"/>
    <w:rsid w:val="459C4852"/>
    <w:rsid w:val="470F396E"/>
    <w:rsid w:val="47EC1AC1"/>
    <w:rsid w:val="48755F74"/>
    <w:rsid w:val="487A3C34"/>
    <w:rsid w:val="4895517E"/>
    <w:rsid w:val="48E7000F"/>
    <w:rsid w:val="4A1B658B"/>
    <w:rsid w:val="4C2C1993"/>
    <w:rsid w:val="4C7A24EA"/>
    <w:rsid w:val="4CFA394F"/>
    <w:rsid w:val="4D64034B"/>
    <w:rsid w:val="4D85403F"/>
    <w:rsid w:val="4DF16FE9"/>
    <w:rsid w:val="4DFFE536"/>
    <w:rsid w:val="528F5746"/>
    <w:rsid w:val="53374336"/>
    <w:rsid w:val="57E37DC1"/>
    <w:rsid w:val="587B00F4"/>
    <w:rsid w:val="59260BAB"/>
    <w:rsid w:val="5BEE7687"/>
    <w:rsid w:val="5BEF891A"/>
    <w:rsid w:val="5C9522CF"/>
    <w:rsid w:val="5D8E1BA2"/>
    <w:rsid w:val="5E2A1BEA"/>
    <w:rsid w:val="5EA72D20"/>
    <w:rsid w:val="5F824661"/>
    <w:rsid w:val="5FFB68ED"/>
    <w:rsid w:val="60BA1719"/>
    <w:rsid w:val="60FA4746"/>
    <w:rsid w:val="61084E34"/>
    <w:rsid w:val="61C26EA7"/>
    <w:rsid w:val="631B21BE"/>
    <w:rsid w:val="64D36CDE"/>
    <w:rsid w:val="657D7DA4"/>
    <w:rsid w:val="6699650A"/>
    <w:rsid w:val="67AE7DD2"/>
    <w:rsid w:val="682444A1"/>
    <w:rsid w:val="69E228CC"/>
    <w:rsid w:val="6A737637"/>
    <w:rsid w:val="6BDF213C"/>
    <w:rsid w:val="6C8A4ABA"/>
    <w:rsid w:val="6F3809B5"/>
    <w:rsid w:val="6F6C1BFA"/>
    <w:rsid w:val="6FD0335C"/>
    <w:rsid w:val="6FF162E7"/>
    <w:rsid w:val="704773F8"/>
    <w:rsid w:val="70E16332"/>
    <w:rsid w:val="717F5273"/>
    <w:rsid w:val="71B96EA6"/>
    <w:rsid w:val="721D4921"/>
    <w:rsid w:val="735100C7"/>
    <w:rsid w:val="74C03753"/>
    <w:rsid w:val="750B40CE"/>
    <w:rsid w:val="7A011D58"/>
    <w:rsid w:val="7A862F4F"/>
    <w:rsid w:val="7A925C8C"/>
    <w:rsid w:val="7AEB528F"/>
    <w:rsid w:val="7AFD57B8"/>
    <w:rsid w:val="7B4D613C"/>
    <w:rsid w:val="7BEE1627"/>
    <w:rsid w:val="7C296138"/>
    <w:rsid w:val="7DB11E1C"/>
    <w:rsid w:val="7DD30769"/>
    <w:rsid w:val="7E075592"/>
    <w:rsid w:val="7F203823"/>
    <w:rsid w:val="7FAE0F73"/>
    <w:rsid w:val="7FC32710"/>
    <w:rsid w:val="7FDFF367"/>
    <w:rsid w:val="7FE76E6D"/>
    <w:rsid w:val="7FF3834A"/>
    <w:rsid w:val="7FFDD75A"/>
    <w:rsid w:val="DBB778C4"/>
    <w:rsid w:val="F5BF11EE"/>
    <w:rsid w:val="F6CEF721"/>
    <w:rsid w:val="FBFE211E"/>
    <w:rsid w:val="FFBB1EA1"/>
    <w:rsid w:val="FFBFC181"/>
    <w:rsid w:val="FFFF3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560" w:lineRule="exact"/>
      <w:ind w:left="0" w:leftChars="0" w:firstLine="848" w:firstLineChars="200"/>
      <w:jc w:val="both"/>
    </w:pPr>
    <w:rPr>
      <w:rFonts w:eastAsia="仿宋" w:asciiTheme="minorAscii" w:hAnsiTheme="minorAscii" w:cstheme="minorBidi"/>
      <w:kern w:val="2"/>
      <w:sz w:val="32"/>
      <w:szCs w:val="24"/>
      <w:lang w:val="en-US" w:eastAsia="zh-CN" w:bidi="ar-SA"/>
    </w:rPr>
  </w:style>
  <w:style w:type="paragraph" w:styleId="2">
    <w:name w:val="heading 1"/>
    <w:basedOn w:val="1"/>
    <w:next w:val="1"/>
    <w:link w:val="17"/>
    <w:qFormat/>
    <w:uiPriority w:val="0"/>
    <w:pPr>
      <w:keepNext/>
      <w:keepLines/>
      <w:spacing w:line="576" w:lineRule="auto"/>
      <w:outlineLvl w:val="0"/>
    </w:pPr>
    <w:rPr>
      <w:rFonts w:ascii="Times New Roman" w:hAnsi="Times New Roman" w:eastAsia="黑体" w:cs="Times New Roman"/>
      <w:kern w:val="44"/>
      <w:sz w:val="32"/>
      <w:szCs w:val="20"/>
    </w:rPr>
  </w:style>
  <w:style w:type="paragraph" w:styleId="3">
    <w:name w:val="heading 2"/>
    <w:basedOn w:val="1"/>
    <w:next w:val="1"/>
    <w:link w:val="18"/>
    <w:semiHidden/>
    <w:unhideWhenUsed/>
    <w:qFormat/>
    <w:uiPriority w:val="0"/>
    <w:pPr>
      <w:keepNext/>
      <w:keepLines/>
      <w:spacing w:line="560" w:lineRule="exact"/>
      <w:outlineLvl w:val="1"/>
    </w:pPr>
    <w:rPr>
      <w:rFonts w:ascii="Arial" w:hAnsi="Arial" w:eastAsia="楷体" w:cs="Times New Roman"/>
      <w:b/>
      <w:sz w:val="32"/>
    </w:rPr>
  </w:style>
  <w:style w:type="paragraph" w:styleId="4">
    <w:name w:val="heading 3"/>
    <w:next w:val="1"/>
    <w:semiHidden/>
    <w:unhideWhenUsed/>
    <w:qFormat/>
    <w:uiPriority w:val="0"/>
    <w:pPr>
      <w:keepNext/>
      <w:keepLines/>
      <w:numPr>
        <w:ilvl w:val="2"/>
        <w:numId w:val="1"/>
      </w:numPr>
      <w:spacing w:beforeLines="0" w:beforeAutospacing="0" w:afterLines="0" w:afterAutospacing="0" w:line="413" w:lineRule="auto"/>
      <w:ind w:left="0" w:firstLine="403"/>
      <w:outlineLvl w:val="2"/>
    </w:pPr>
    <w:rPr>
      <w:rFonts w:eastAsia="黑体" w:asciiTheme="minorAscii" w:hAnsiTheme="minorAscii" w:cstheme="minorBidi"/>
      <w:b/>
      <w:sz w:val="32"/>
    </w:rPr>
  </w:style>
  <w:style w:type="paragraph" w:styleId="5">
    <w:name w:val="heading 4"/>
    <w:next w:val="1"/>
    <w:semiHidden/>
    <w:unhideWhenUsed/>
    <w:qFormat/>
    <w:uiPriority w:val="0"/>
    <w:pPr>
      <w:keepNext/>
      <w:keepLines/>
      <w:numPr>
        <w:ilvl w:val="3"/>
        <w:numId w:val="2"/>
      </w:numPr>
      <w:spacing w:beforeLines="0" w:beforeAutospacing="0" w:afterLines="0" w:afterAutospacing="0" w:line="520" w:lineRule="exact"/>
      <w:ind w:left="0" w:firstLine="403"/>
      <w:outlineLvl w:val="3"/>
    </w:pPr>
    <w:rPr>
      <w:rFonts w:ascii="Arial" w:hAnsi="Arial" w:eastAsia="楷体" w:cstheme="minorBidi"/>
      <w:b/>
      <w:sz w:val="24"/>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16">
    <w:name w:val="Default Paragraph Font"/>
    <w:unhideWhenUsed/>
    <w:qFormat/>
    <w:uiPriority w:val="1"/>
  </w:style>
  <w:style w:type="table" w:default="1" w:styleId="15">
    <w:name w:val="Normal Table"/>
    <w:semiHidden/>
    <w:qFormat/>
    <w:uiPriority w:val="0"/>
    <w:tblPr>
      <w:tblCellMar>
        <w:top w:w="0" w:type="dxa"/>
        <w:left w:w="108" w:type="dxa"/>
        <w:bottom w:w="0" w:type="dxa"/>
        <w:right w:w="108" w:type="dxa"/>
      </w:tblCellMar>
    </w:tbl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customStyle="1" w:styleId="17">
    <w:name w:val="标题 1 Char"/>
    <w:basedOn w:val="16"/>
    <w:link w:val="2"/>
    <w:qFormat/>
    <w:uiPriority w:val="0"/>
    <w:rPr>
      <w:rFonts w:ascii="Times New Roman" w:hAnsi="Times New Roman" w:eastAsia="黑体" w:cs="Times New Roman"/>
      <w:kern w:val="44"/>
      <w:sz w:val="24"/>
      <w:szCs w:val="20"/>
    </w:rPr>
  </w:style>
  <w:style w:type="character" w:customStyle="1" w:styleId="18">
    <w:name w:val="标题 2 Char"/>
    <w:basedOn w:val="16"/>
    <w:link w:val="3"/>
    <w:qFormat/>
    <w:uiPriority w:val="0"/>
    <w:rPr>
      <w:rFonts w:ascii="Arial" w:hAnsi="Arial" w:eastAsia="楷体" w:cs="Times New Roman"/>
      <w:b/>
      <w:sz w:val="32"/>
      <w:szCs w:val="20"/>
    </w:rPr>
  </w:style>
  <w:style w:type="paragraph" w:customStyle="1" w:styleId="19">
    <w:name w:val="_Style 1"/>
    <w:basedOn w:val="1"/>
    <w:next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5489</Words>
  <Characters>5560</Characters>
  <Lines>0</Lines>
  <Paragraphs>0</Paragraphs>
  <TotalTime>3</TotalTime>
  <ScaleCrop>false</ScaleCrop>
  <LinksUpToDate>false</LinksUpToDate>
  <CharactersWithSpaces>5624</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2026-02-14T06:54:00Z</dcterms:created>
  <dc:creator>新梦天使</dc:creator>
  <cp:lastModifiedBy>童奉孝</cp:lastModifiedBy>
  <cp:lastPrinted>2026-03-14T19:15:00Z</cp:lastPrinted>
  <dcterms:modified xsi:type="dcterms:W3CDTF">2026-04-15T09:19:12Z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6D0FC6D102E9BFEDE38BA66975EAA6D5</vt:lpwstr>
  </property>
  <property fmtid="{D5CDD505-2E9C-101B-9397-08002B2CF9AE}" pid="4" name="KSOTemplateDocerSaveRecord">
    <vt:lpwstr>eyJoZGlkIjoiMGJiYmRhODY4NzVmMzE3MWM3MjQxYWZiYzM1MThmNTgiLCJ1c2VySWQiOiIzMDE1ODM4MDQifQ==</vt:lpwstr>
  </property>
</Properties>
</file>