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after="312" w:line="480" w:lineRule="auto"/>
        <w:ind w:left="0"/>
        <w:jc w:val="right"/>
        <w:rPr>
          <w:rFonts w:ascii="宋体" w:hAnsi="宋体" w:cs="宋体"/>
          <w:b/>
          <w:sz w:val="24"/>
          <w:szCs w:val="24"/>
        </w:rPr>
      </w:pPr>
      <w:r>
        <w:rPr>
          <w:rFonts w:hint="eastAsia" w:ascii="宋体" w:hAnsi="宋体" w:cs="宋体"/>
          <w:b/>
          <w:sz w:val="24"/>
          <w:szCs w:val="24"/>
        </w:rPr>
        <w:t>合同编号：</w:t>
      </w:r>
      <w:r>
        <w:rPr>
          <w:rFonts w:hint="eastAsia" w:ascii="宋体" w:hAnsi="宋体" w:cs="宋体"/>
          <w:b/>
          <w:sz w:val="24"/>
          <w:szCs w:val="24"/>
          <w:u w:val="single"/>
        </w:rPr>
        <w:t xml:space="preserve">       </w:t>
      </w:r>
      <w:r>
        <w:rPr>
          <w:rFonts w:hint="eastAsia" w:ascii="宋体" w:hAnsi="宋体" w:cs="宋体"/>
          <w:b/>
          <w:sz w:val="24"/>
          <w:szCs w:val="24"/>
        </w:rPr>
        <w:t>号</w:t>
      </w:r>
    </w:p>
    <w:p>
      <w:pPr>
        <w:spacing w:after="312" w:line="480" w:lineRule="auto"/>
        <w:rPr>
          <w:rFonts w:ascii="宋体" w:hAnsi="宋体" w:cs="宋体"/>
        </w:rPr>
      </w:pPr>
    </w:p>
    <w:p>
      <w:pPr>
        <w:spacing w:after="312" w:line="480" w:lineRule="auto"/>
        <w:ind w:left="210" w:leftChars="100"/>
        <w:jc w:val="center"/>
        <w:rPr>
          <w:rFonts w:ascii="宋体" w:hAnsi="宋体" w:cs="宋体"/>
          <w:sz w:val="44"/>
          <w:szCs w:val="44"/>
        </w:rPr>
      </w:pPr>
      <w:r>
        <w:rPr>
          <w:rFonts w:hint="eastAsia" w:ascii="宋体" w:hAnsi="宋体" w:cs="宋体"/>
          <w:sz w:val="44"/>
          <w:szCs w:val="44"/>
        </w:rPr>
        <w:t xml:space="preserve"> </w:t>
      </w:r>
    </w:p>
    <w:p>
      <w:pPr>
        <w:spacing w:after="312" w:line="480" w:lineRule="auto"/>
        <w:ind w:left="210" w:leftChars="100"/>
        <w:jc w:val="center"/>
        <w:rPr>
          <w:rFonts w:ascii="宋体" w:hAnsi="宋体" w:cs="宋体"/>
          <w:sz w:val="44"/>
          <w:szCs w:val="44"/>
        </w:rPr>
      </w:pPr>
    </w:p>
    <w:p>
      <w:pPr>
        <w:spacing w:after="312" w:line="480" w:lineRule="auto"/>
        <w:ind w:left="210" w:leftChars="100"/>
        <w:jc w:val="center"/>
        <w:rPr>
          <w:rFonts w:ascii="宋体" w:hAnsi="宋体" w:cs="宋体"/>
          <w:sz w:val="44"/>
          <w:szCs w:val="44"/>
        </w:rPr>
      </w:pPr>
    </w:p>
    <w:p>
      <w:pPr>
        <w:spacing w:after="312" w:line="480" w:lineRule="auto"/>
        <w:ind w:left="0"/>
        <w:jc w:val="center"/>
        <w:rPr>
          <w:rFonts w:ascii="宋体" w:hAnsi="宋体" w:cs="宋体"/>
          <w:b/>
          <w:bCs/>
          <w:sz w:val="36"/>
        </w:rPr>
      </w:pPr>
      <w:r>
        <w:rPr>
          <w:rFonts w:hint="eastAsia" w:ascii="宋体" w:hAnsi="宋体" w:cs="宋体"/>
          <w:b/>
          <w:bCs/>
          <w:sz w:val="44"/>
          <w:szCs w:val="44"/>
        </w:rPr>
        <w:t>罗山三项目租金评估咨询服务合同</w:t>
      </w:r>
    </w:p>
    <w:p>
      <w:pPr>
        <w:spacing w:after="312" w:line="480" w:lineRule="auto"/>
        <w:rPr>
          <w:rFonts w:ascii="宋体" w:hAnsi="宋体" w:cs="宋体"/>
        </w:rPr>
      </w:pPr>
    </w:p>
    <w:p>
      <w:pPr>
        <w:spacing w:after="312" w:line="480" w:lineRule="auto"/>
        <w:rPr>
          <w:rFonts w:ascii="宋体" w:hAnsi="宋体" w:cs="宋体"/>
        </w:rPr>
      </w:pPr>
    </w:p>
    <w:p>
      <w:pPr>
        <w:tabs>
          <w:tab w:val="left" w:pos="6263"/>
        </w:tabs>
        <w:spacing w:after="312" w:line="480" w:lineRule="auto"/>
        <w:rPr>
          <w:rFonts w:ascii="宋体" w:hAnsi="宋体" w:cs="宋体"/>
        </w:rPr>
      </w:pPr>
      <w:r>
        <w:rPr>
          <w:rFonts w:hint="eastAsia" w:ascii="宋体" w:hAnsi="宋体" w:cs="宋体"/>
        </w:rPr>
        <w:tab/>
      </w:r>
    </w:p>
    <w:p>
      <w:pPr>
        <w:spacing w:after="312" w:line="480" w:lineRule="auto"/>
        <w:rPr>
          <w:rFonts w:ascii="宋体" w:hAnsi="宋体" w:cs="宋体"/>
        </w:rPr>
      </w:pPr>
    </w:p>
    <w:p>
      <w:pPr>
        <w:spacing w:after="312" w:line="480" w:lineRule="auto"/>
        <w:rPr>
          <w:rFonts w:ascii="宋体" w:hAnsi="宋体" w:cs="宋体"/>
        </w:rPr>
      </w:pPr>
    </w:p>
    <w:p>
      <w:pPr>
        <w:spacing w:after="312" w:line="480" w:lineRule="auto"/>
        <w:ind w:left="0" w:firstLine="1405" w:firstLineChars="500"/>
        <w:rPr>
          <w:rFonts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w:t>
      </w:r>
    </w:p>
    <w:p>
      <w:pPr>
        <w:spacing w:after="312" w:line="480" w:lineRule="auto"/>
        <w:ind w:left="0" w:firstLine="1405" w:firstLineChars="500"/>
        <w:rPr>
          <w:rFonts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lang w:val="en-US" w:eastAsia="zh-CN"/>
        </w:rPr>
        <w:t xml:space="preserve">                               </w:t>
      </w:r>
    </w:p>
    <w:p>
      <w:pPr>
        <w:spacing w:after="312" w:line="480" w:lineRule="auto"/>
        <w:ind w:firstLine="562" w:firstLineChars="200"/>
        <w:rPr>
          <w:rFonts w:ascii="宋体" w:hAnsi="宋体" w:cs="宋体"/>
          <w:b/>
          <w:bCs/>
          <w:sz w:val="28"/>
          <w:szCs w:val="28"/>
        </w:rPr>
      </w:pPr>
    </w:p>
    <w:p>
      <w:pPr>
        <w:spacing w:after="312" w:line="480" w:lineRule="auto"/>
        <w:ind w:left="0"/>
        <w:jc w:val="center"/>
        <w:rPr>
          <w:rFonts w:ascii="宋体" w:hAnsi="宋体" w:cs="宋体"/>
          <w:b/>
          <w:bCs/>
          <w:sz w:val="28"/>
          <w:szCs w:val="28"/>
        </w:rPr>
      </w:pPr>
      <w:r>
        <w:rPr>
          <w:rFonts w:hint="eastAsia" w:ascii="宋体" w:hAnsi="宋体" w:cs="宋体"/>
          <w:b/>
          <w:bCs/>
          <w:sz w:val="28"/>
          <w:szCs w:val="28"/>
        </w:rPr>
        <w:t>签订日期：  年  月</w:t>
      </w:r>
    </w:p>
    <w:p>
      <w:pPr>
        <w:widowControl/>
        <w:spacing w:after="0" w:line="560" w:lineRule="exact"/>
        <w:ind w:left="0" w:firstLine="480" w:firstLineChars="200"/>
        <w:jc w:val="left"/>
        <w:rPr>
          <w:rFonts w:ascii="宋体" w:hAnsi="宋体" w:cs="宋体"/>
          <w:sz w:val="24"/>
          <w:szCs w:val="24"/>
        </w:rPr>
        <w:sectPr>
          <w:headerReference r:id="rId5" w:type="default"/>
          <w:footerReference r:id="rId6" w:type="default"/>
          <w:pgSz w:w="11906" w:h="16838"/>
          <w:pgMar w:top="1440" w:right="1800" w:bottom="1440" w:left="1800" w:header="851" w:footer="562" w:gutter="0"/>
          <w:pgNumType w:fmt="numberInDash" w:start="1"/>
          <w:cols w:space="720" w:num="1"/>
          <w:docGrid w:type="lines" w:linePitch="312" w:charSpace="0"/>
        </w:sectPr>
      </w:pPr>
    </w:p>
    <w:p>
      <w:pPr>
        <w:spacing w:after="0" w:line="560" w:lineRule="exact"/>
        <w:ind w:left="0"/>
        <w:jc w:val="center"/>
        <w:rPr>
          <w:rFonts w:ascii="宋体" w:hAnsi="宋体" w:cs="宋体"/>
          <w:b/>
          <w:bCs/>
          <w:sz w:val="32"/>
          <w:szCs w:val="32"/>
        </w:rPr>
      </w:pPr>
      <w:r>
        <w:rPr>
          <w:rFonts w:hint="eastAsia" w:ascii="宋体" w:hAnsi="宋体" w:cs="宋体"/>
          <w:b/>
          <w:bCs/>
          <w:sz w:val="32"/>
          <w:szCs w:val="32"/>
        </w:rPr>
        <w:t>罗山三项目租金评估咨询服务合同</w:t>
      </w:r>
    </w:p>
    <w:p>
      <w:pPr>
        <w:spacing w:after="0" w:line="520" w:lineRule="exact"/>
        <w:ind w:left="0"/>
        <w:rPr>
          <w:rFonts w:ascii="宋体" w:hAnsi="宋体" w:cs="宋体"/>
          <w:b/>
          <w:bCs/>
          <w:sz w:val="24"/>
          <w:szCs w:val="24"/>
          <w:u w:val="single"/>
        </w:rPr>
      </w:pPr>
      <w:r>
        <w:rPr>
          <w:rFonts w:hint="eastAsia" w:ascii="宋体" w:hAnsi="宋体" w:cs="宋体"/>
          <w:b/>
          <w:bCs/>
          <w:sz w:val="24"/>
          <w:szCs w:val="24"/>
        </w:rPr>
        <w:t>甲方（委托方）：</w:t>
      </w:r>
      <w:r>
        <w:rPr>
          <w:rFonts w:hint="eastAsia" w:ascii="宋体" w:hAnsi="宋体" w:cs="宋体"/>
          <w:b/>
          <w:bCs/>
          <w:sz w:val="24"/>
          <w:szCs w:val="24"/>
          <w:u w:val="single"/>
        </w:rPr>
        <w:t xml:space="preserve">                               </w:t>
      </w:r>
    </w:p>
    <w:p>
      <w:pPr>
        <w:spacing w:after="0" w:line="520" w:lineRule="exact"/>
        <w:ind w:left="0"/>
        <w:rPr>
          <w:rFonts w:ascii="宋体" w:hAnsi="宋体" w:cs="宋体"/>
          <w:b/>
          <w:bCs/>
          <w:sz w:val="24"/>
          <w:szCs w:val="24"/>
          <w:u w:val="single"/>
        </w:rPr>
      </w:pPr>
      <w:r>
        <w:rPr>
          <w:rFonts w:hint="eastAsia" w:ascii="宋体" w:hAnsi="宋体" w:cs="宋体"/>
          <w:b/>
          <w:bCs/>
          <w:sz w:val="24"/>
          <w:szCs w:val="24"/>
        </w:rPr>
        <w:t>乙方（受托方）：</w:t>
      </w:r>
      <w:r>
        <w:rPr>
          <w:rFonts w:hint="eastAsia" w:ascii="宋体" w:hAnsi="宋体" w:cs="宋体"/>
          <w:b/>
          <w:bCs/>
          <w:sz w:val="24"/>
          <w:szCs w:val="24"/>
          <w:u w:val="single"/>
        </w:rPr>
        <w:t xml:space="preserve">                               </w:t>
      </w:r>
    </w:p>
    <w:p>
      <w:pPr>
        <w:spacing w:after="0" w:line="520" w:lineRule="exact"/>
        <w:ind w:left="0"/>
        <w:rPr>
          <w:rFonts w:ascii="宋体" w:hAnsi="宋体" w:cs="宋体"/>
          <w:sz w:val="24"/>
          <w:szCs w:val="24"/>
        </w:rPr>
      </w:pPr>
      <w:r>
        <w:rPr>
          <w:rFonts w:hint="eastAsia" w:ascii="宋体" w:hAnsi="宋体" w:cs="宋体"/>
          <w:sz w:val="24"/>
          <w:szCs w:val="24"/>
        </w:rPr>
        <w:t>为了解物业的租金价格情况，甲方委托乙方对其相关物业进行租金评估。根据《中华人民共和国民法典》及相关法律、法规、规章及深圳市的有关政策，本着平等、自愿的原则，甲、乙双方经友好协商签订本合同，以资共同遵守。</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第一条   评估物业基本情况</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评估物业名称</w:t>
      </w:r>
      <w:r>
        <w:rPr>
          <w:rFonts w:ascii="宋体" w:hAnsi="宋体" w:cs="宋体"/>
          <w:sz w:val="24"/>
          <w:szCs w:val="24"/>
        </w:rPr>
        <w:t xml:space="preserve">: </w:t>
      </w:r>
      <w:r>
        <w:rPr>
          <w:rFonts w:ascii="宋体" w:hAnsi="宋体" w:cs="宋体"/>
          <w:sz w:val="24"/>
          <w:szCs w:val="24"/>
          <w:u w:val="single"/>
        </w:rPr>
        <w:t xml:space="preserve"> 以</w:t>
      </w:r>
      <w:r>
        <w:rPr>
          <w:rFonts w:hint="eastAsia" w:ascii="宋体" w:hAnsi="宋体" w:cs="宋体"/>
          <w:sz w:val="24"/>
          <w:szCs w:val="24"/>
          <w:u w:val="single"/>
        </w:rPr>
        <w:t>合同服务期限内甲方累计委托的评估委托清单内容为准</w:t>
      </w:r>
      <w:r>
        <w:rPr>
          <w:rFonts w:ascii="宋体" w:hAnsi="宋体" w:cs="宋体"/>
          <w:sz w:val="24"/>
          <w:szCs w:val="24"/>
          <w:u w:val="single"/>
        </w:rPr>
        <w:t xml:space="preserve">  </w:t>
      </w:r>
      <w:r>
        <w:rPr>
          <w:rFonts w:hint="eastAsia" w:ascii="宋体" w:hAnsi="宋体" w:cs="宋体"/>
          <w:sz w:val="24"/>
          <w:szCs w:val="24"/>
        </w:rPr>
        <w:t>。</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评估物业现状：</w:t>
      </w:r>
      <w:r>
        <w:rPr>
          <w:rFonts w:hint="eastAsia" w:ascii="宋体" w:hAnsi="宋体" w:cs="宋体"/>
          <w:sz w:val="24"/>
          <w:szCs w:val="24"/>
          <w:u w:val="single"/>
        </w:rPr>
        <w:t xml:space="preserve">以合同服务期限内甲方累计委托的评估委托清单内容为准   </w:t>
      </w:r>
      <w:r>
        <w:rPr>
          <w:rFonts w:hint="eastAsia" w:ascii="宋体" w:hAnsi="宋体" w:cs="宋体"/>
          <w:sz w:val="24"/>
          <w:szCs w:val="24"/>
        </w:rPr>
        <w:t>。</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评估目的：</w:t>
      </w:r>
      <w:r>
        <w:rPr>
          <w:rFonts w:hint="eastAsia" w:ascii="宋体" w:hAnsi="宋体" w:cs="宋体"/>
          <w:sz w:val="24"/>
          <w:szCs w:val="24"/>
          <w:u w:val="single"/>
        </w:rPr>
        <w:t>为甲方确定租金价格及租金涨幅等提供决策依据</w:t>
      </w:r>
      <w:r>
        <w:rPr>
          <w:rFonts w:hint="eastAsia" w:ascii="宋体" w:hAnsi="宋体" w:cs="宋体"/>
          <w:sz w:val="24"/>
          <w:szCs w:val="24"/>
        </w:rPr>
        <w:t>。</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第二条  评估费用及付款方式</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1、本合同采用以下□约定的方式计算评估费用：</w:t>
      </w:r>
    </w:p>
    <w:p>
      <w:pPr>
        <w:widowControl/>
        <w:spacing w:after="0" w:line="520" w:lineRule="exact"/>
        <w:ind w:left="0" w:firstLine="480" w:firstLineChars="200"/>
        <w:rPr>
          <w:rFonts w:hint="default" w:ascii="宋体" w:hAnsi="宋体" w:eastAsia="宋体" w:cs="宋体"/>
          <w:sz w:val="24"/>
          <w:szCs w:val="24"/>
          <w:lang w:val="en-US" w:eastAsia="zh-CN"/>
        </w:rPr>
      </w:pPr>
      <w:r>
        <w:rPr>
          <w:rFonts w:hint="eastAsia" w:ascii="仿宋_GB2312" w:hAnsi="仿宋_GB2312" w:eastAsia="仿宋_GB2312" w:cs="仿宋_GB2312"/>
          <w:sz w:val="24"/>
          <w:szCs w:val="24"/>
        </w:rPr>
        <w:t> </w:t>
      </w:r>
      <w:r>
        <w:rPr>
          <w:rFonts w:hint="default" w:ascii="仿宋_GB2312" w:hAnsi="仿宋_GB2312" w:eastAsia="仿宋_GB2312" w:cs="仿宋_GB2312"/>
          <w:sz w:val="24"/>
          <w:szCs w:val="24"/>
          <w:lang w:val="en-US"/>
        </w:rPr>
        <w:t>□</w:t>
      </w:r>
      <w:r>
        <w:rPr>
          <w:rFonts w:hint="eastAsia" w:ascii="宋体" w:hAnsi="宋体" w:cs="宋体"/>
          <w:sz w:val="24"/>
          <w:szCs w:val="24"/>
        </w:rPr>
        <w:t>固定评估单价计算,评估单价为</w:t>
      </w:r>
      <w:r>
        <w:rPr>
          <w:rFonts w:hint="eastAsia" w:ascii="宋体" w:hAnsi="宋体" w:cs="宋体"/>
          <w:sz w:val="24"/>
          <w:szCs w:val="24"/>
          <w:u w:val="single"/>
        </w:rPr>
        <w:t xml:space="preserve">    </w:t>
      </w:r>
      <w:r>
        <w:rPr>
          <w:rFonts w:hint="eastAsia" w:ascii="宋体" w:hAnsi="宋体" w:cs="宋体"/>
          <w:sz w:val="24"/>
          <w:szCs w:val="24"/>
        </w:rPr>
        <w:t>元/平方米，合同总金额按照：评估单价×实际委托评估面积计算，但本合同结算总金额不得超过</w:t>
      </w:r>
      <w:r>
        <w:rPr>
          <w:rFonts w:ascii="宋体" w:hAnsi="宋体" w:cs="宋体"/>
          <w:sz w:val="24"/>
          <w:szCs w:val="24"/>
          <w:u w:val="single"/>
        </w:rPr>
        <w:t xml:space="preserve">    </w:t>
      </w:r>
      <w:r>
        <w:rPr>
          <w:rFonts w:hint="eastAsia" w:ascii="宋体" w:hAnsi="宋体" w:cs="宋体"/>
          <w:sz w:val="24"/>
          <w:szCs w:val="24"/>
        </w:rPr>
        <w:t>万元。</w:t>
      </w:r>
    </w:p>
    <w:p>
      <w:pPr>
        <w:widowControl/>
        <w:spacing w:after="0" w:line="520" w:lineRule="exact"/>
        <w:ind w:left="0" w:firstLine="480" w:firstLineChars="200"/>
        <w:rPr>
          <w:rFonts w:ascii="宋体" w:hAnsi="宋体" w:cs="宋体"/>
          <w:sz w:val="24"/>
          <w:szCs w:val="24"/>
        </w:rPr>
      </w:pPr>
      <w:r>
        <w:rPr>
          <w:rFonts w:hint="eastAsia" w:ascii="仿宋_GB2312" w:hAnsi="仿宋_GB2312" w:eastAsia="仿宋_GB2312" w:cs="仿宋_GB2312"/>
          <w:sz w:val="24"/>
          <w:szCs w:val="24"/>
        </w:rPr>
        <w:t> </w:t>
      </w:r>
      <w:r>
        <w:rPr>
          <w:rFonts w:hint="default" w:ascii="仿宋_GB2312" w:hAnsi="仿宋_GB2312" w:eastAsia="仿宋_GB2312" w:cs="仿宋_GB2312"/>
          <w:sz w:val="24"/>
          <w:szCs w:val="24"/>
          <w:lang w:val="en-US"/>
        </w:rPr>
        <w:t>□</w:t>
      </w:r>
      <w:r>
        <w:rPr>
          <w:rFonts w:hint="eastAsia" w:ascii="宋体" w:hAnsi="宋体" w:cs="宋体"/>
          <w:sz w:val="24"/>
          <w:szCs w:val="24"/>
        </w:rPr>
        <w:t>固定合同总价,本合同总金额为</w:t>
      </w:r>
      <w:r>
        <w:rPr>
          <w:rFonts w:hint="eastAsia" w:ascii="宋体" w:hAnsi="宋体" w:cs="宋体"/>
          <w:sz w:val="24"/>
          <w:szCs w:val="24"/>
          <w:u w:val="single"/>
        </w:rPr>
        <w:t xml:space="preserve">    </w:t>
      </w:r>
      <w:r>
        <w:rPr>
          <w:rFonts w:hint="eastAsia" w:ascii="宋体" w:hAnsi="宋体" w:cs="宋体"/>
          <w:sz w:val="24"/>
          <w:szCs w:val="24"/>
        </w:rPr>
        <w:t>万元。</w:t>
      </w:r>
    </w:p>
    <w:p>
      <w:pPr>
        <w:widowControl/>
        <w:numPr>
          <w:ilvl w:val="0"/>
          <w:numId w:val="1"/>
        </w:numPr>
        <w:spacing w:after="0" w:line="520" w:lineRule="exact"/>
        <w:ind w:left="0" w:firstLine="480" w:firstLineChars="200"/>
        <w:rPr>
          <w:rFonts w:ascii="宋体" w:hAnsi="宋体" w:cs="宋体"/>
          <w:sz w:val="24"/>
          <w:szCs w:val="24"/>
        </w:rPr>
      </w:pPr>
      <w:r>
        <w:rPr>
          <w:rFonts w:hint="eastAsia" w:ascii="宋体" w:hAnsi="宋体" w:cs="宋体"/>
          <w:sz w:val="24"/>
          <w:szCs w:val="24"/>
        </w:rPr>
        <w:t>付款方式：</w:t>
      </w:r>
    </w:p>
    <w:p>
      <w:pPr>
        <w:widowControl/>
        <w:spacing w:after="0" w:line="520" w:lineRule="exact"/>
        <w:ind w:left="0" w:firstLine="480" w:firstLineChars="200"/>
        <w:rPr>
          <w:rFonts w:ascii="宋体" w:hAnsi="宋体" w:cs="宋体"/>
          <w:sz w:val="24"/>
          <w:szCs w:val="24"/>
          <w:u w:val="single"/>
        </w:rPr>
      </w:pPr>
      <w:r>
        <w:rPr>
          <w:rFonts w:hint="eastAsia" w:ascii="宋体" w:hAnsi="宋体" w:cs="宋体"/>
          <w:sz w:val="24"/>
          <w:szCs w:val="24"/>
          <w:u w:val="single"/>
        </w:rPr>
        <w:t>（1）乙方在合同期限截止日满且全部完成了甲方委托评估工作后，乙方向甲方提供相应合法有效的发票，甲方收到发票并完成内部审批后，向乙方支付评估费的90%；</w:t>
      </w:r>
    </w:p>
    <w:p>
      <w:pPr>
        <w:widowControl/>
        <w:numPr>
          <w:ilvl w:val="255"/>
          <w:numId w:val="0"/>
        </w:numPr>
        <w:spacing w:after="0" w:line="520" w:lineRule="exact"/>
        <w:ind w:firstLine="480" w:firstLineChars="200"/>
        <w:rPr>
          <w:rFonts w:ascii="宋体" w:hAnsi="宋体" w:cs="宋体"/>
          <w:sz w:val="24"/>
          <w:szCs w:val="24"/>
          <w:u w:val="single"/>
        </w:rPr>
      </w:pPr>
      <w:r>
        <w:rPr>
          <w:rFonts w:hint="eastAsia" w:ascii="宋体" w:hAnsi="宋体" w:cs="宋体"/>
          <w:sz w:val="24"/>
          <w:szCs w:val="24"/>
          <w:u w:val="single"/>
        </w:rPr>
        <w:t>（2）余款10%作为履约考核评价费，乙方同意根据甲方履约考核评价结果进行支付，履约考核评价为优的，支付全部履约考核评价费</w:t>
      </w:r>
      <w:r>
        <w:rPr>
          <w:rFonts w:hint="eastAsia" w:ascii="宋体" w:hAnsi="宋体" w:cs="宋体"/>
          <w:sz w:val="24"/>
          <w:szCs w:val="24"/>
          <w:u w:val="single"/>
          <w:lang w:eastAsia="zh-CN"/>
        </w:rPr>
        <w:t>；</w:t>
      </w:r>
      <w:r>
        <w:rPr>
          <w:rFonts w:hint="eastAsia" w:ascii="宋体" w:hAnsi="宋体" w:cs="宋体"/>
          <w:sz w:val="24"/>
          <w:szCs w:val="24"/>
          <w:u w:val="single"/>
        </w:rPr>
        <w:t>履约考核评价为合格的，支付</w:t>
      </w:r>
      <w:r>
        <w:rPr>
          <w:rFonts w:hint="eastAsia" w:ascii="宋体" w:hAnsi="宋体" w:cs="宋体"/>
          <w:sz w:val="24"/>
          <w:szCs w:val="24"/>
          <w:u w:val="single"/>
          <w:lang w:val="en-US" w:eastAsia="zh-CN"/>
        </w:rPr>
        <w:t>50%</w:t>
      </w:r>
      <w:r>
        <w:rPr>
          <w:rFonts w:hint="eastAsia" w:ascii="宋体" w:hAnsi="宋体" w:cs="宋体"/>
          <w:sz w:val="24"/>
          <w:szCs w:val="24"/>
          <w:u w:val="single"/>
        </w:rPr>
        <w:t>履约考核评价费</w:t>
      </w:r>
      <w:r>
        <w:rPr>
          <w:rFonts w:hint="eastAsia" w:ascii="宋体" w:hAnsi="宋体" w:cs="宋体"/>
          <w:sz w:val="24"/>
          <w:szCs w:val="24"/>
          <w:u w:val="single"/>
          <w:lang w:eastAsia="zh-CN"/>
        </w:rPr>
        <w:t>；</w:t>
      </w:r>
      <w:r>
        <w:rPr>
          <w:rFonts w:hint="eastAsia" w:ascii="宋体" w:hAnsi="宋体" w:cs="宋体"/>
          <w:sz w:val="24"/>
          <w:szCs w:val="24"/>
          <w:u w:val="single"/>
        </w:rPr>
        <w:t>履约考核评价为不合格的，不予支付。</w:t>
      </w:r>
      <w:r>
        <w:rPr>
          <w:rFonts w:hint="eastAsia" w:ascii="宋体" w:hAnsi="宋体" w:cs="宋体"/>
          <w:sz w:val="24"/>
          <w:szCs w:val="24"/>
          <w:u w:val="single"/>
          <w:lang w:val="en-US" w:eastAsia="zh-CN"/>
        </w:rPr>
        <w:t>如甲方需支付10%余款的，</w:t>
      </w:r>
      <w:r>
        <w:rPr>
          <w:rFonts w:hint="eastAsia" w:ascii="宋体" w:hAnsi="宋体" w:cs="宋体"/>
          <w:sz w:val="24"/>
          <w:szCs w:val="24"/>
          <w:u w:val="single"/>
        </w:rPr>
        <w:t>乙方</w:t>
      </w:r>
      <w:r>
        <w:rPr>
          <w:rFonts w:hint="eastAsia" w:ascii="宋体" w:hAnsi="宋体" w:cs="宋体"/>
          <w:sz w:val="24"/>
          <w:szCs w:val="24"/>
          <w:u w:val="single"/>
          <w:lang w:val="en-US" w:eastAsia="zh-CN"/>
        </w:rPr>
        <w:t>应</w:t>
      </w:r>
      <w:r>
        <w:rPr>
          <w:rFonts w:hint="eastAsia" w:ascii="宋体" w:hAnsi="宋体" w:cs="宋体"/>
          <w:sz w:val="24"/>
          <w:szCs w:val="24"/>
          <w:u w:val="single"/>
        </w:rPr>
        <w:t>按照评价结果向甲方提供等额合法有效的发票，甲方收到发票并完成内部审批后向乙方支付。</w:t>
      </w:r>
    </w:p>
    <w:p>
      <w:pPr>
        <w:widowControl/>
        <w:numPr>
          <w:ilvl w:val="255"/>
          <w:numId w:val="0"/>
        </w:numPr>
        <w:spacing w:after="0" w:line="520" w:lineRule="exact"/>
        <w:ind w:firstLine="480" w:firstLineChars="200"/>
        <w:rPr>
          <w:rFonts w:ascii="宋体" w:hAnsi="宋体" w:cs="宋体"/>
          <w:sz w:val="24"/>
          <w:szCs w:val="24"/>
        </w:rPr>
      </w:pPr>
      <w:r>
        <w:rPr>
          <w:rFonts w:hint="eastAsia" w:ascii="宋体" w:hAnsi="宋体" w:cs="宋体"/>
          <w:sz w:val="24"/>
          <w:szCs w:val="24"/>
        </w:rPr>
        <w:t>3、乙方收款账户信息如下：</w:t>
      </w:r>
    </w:p>
    <w:p>
      <w:pPr>
        <w:widowControl/>
        <w:numPr>
          <w:ilvl w:val="255"/>
          <w:numId w:val="0"/>
        </w:numPr>
        <w:spacing w:after="0" w:line="520" w:lineRule="exact"/>
        <w:ind w:firstLine="480" w:firstLineChars="200"/>
        <w:rPr>
          <w:rFonts w:ascii="宋体" w:hAnsi="宋体" w:cs="宋体"/>
          <w:sz w:val="24"/>
          <w:szCs w:val="24"/>
          <w:u w:val="single"/>
        </w:rPr>
      </w:pPr>
      <w:r>
        <w:rPr>
          <w:rFonts w:hint="eastAsia" w:ascii="宋体" w:hAnsi="宋体" w:cs="宋体"/>
          <w:sz w:val="24"/>
          <w:szCs w:val="24"/>
        </w:rPr>
        <w:t>账户名：</w:t>
      </w:r>
      <w:r>
        <w:rPr>
          <w:rFonts w:hint="eastAsia" w:ascii="宋体" w:hAnsi="宋体" w:cs="宋体"/>
          <w:sz w:val="24"/>
          <w:szCs w:val="24"/>
          <w:u w:val="single"/>
        </w:rPr>
        <w:t xml:space="preserve">                                  </w:t>
      </w:r>
    </w:p>
    <w:p>
      <w:pPr>
        <w:widowControl/>
        <w:numPr>
          <w:ilvl w:val="255"/>
          <w:numId w:val="0"/>
        </w:numPr>
        <w:spacing w:after="0" w:line="520" w:lineRule="exact"/>
        <w:ind w:firstLine="480" w:firstLineChars="200"/>
        <w:rPr>
          <w:rFonts w:hAnsi="宋体" w:cs="宋体"/>
          <w:sz w:val="24"/>
          <w:szCs w:val="24"/>
          <w:u w:val="single"/>
        </w:rPr>
      </w:pPr>
      <w:r>
        <w:rPr>
          <w:rFonts w:hint="eastAsia" w:hAnsi="宋体" w:cs="宋体"/>
          <w:sz w:val="24"/>
          <w:szCs w:val="24"/>
        </w:rPr>
        <w:t>账  号：</w:t>
      </w:r>
      <w:r>
        <w:rPr>
          <w:rFonts w:hint="eastAsia" w:hAnsi="宋体" w:cs="宋体"/>
          <w:sz w:val="24"/>
          <w:szCs w:val="24"/>
          <w:u w:val="single"/>
        </w:rPr>
        <w:t xml:space="preserve">                                  </w:t>
      </w:r>
    </w:p>
    <w:p>
      <w:pPr>
        <w:widowControl/>
        <w:numPr>
          <w:ilvl w:val="255"/>
          <w:numId w:val="0"/>
        </w:numPr>
        <w:spacing w:after="0" w:line="520" w:lineRule="exact"/>
        <w:ind w:firstLine="480" w:firstLineChars="200"/>
        <w:rPr>
          <w:u w:val="single"/>
        </w:rPr>
      </w:pPr>
      <w:r>
        <w:rPr>
          <w:rFonts w:hint="eastAsia" w:hAnsi="宋体" w:cs="宋体"/>
          <w:sz w:val="24"/>
          <w:szCs w:val="24"/>
        </w:rPr>
        <w:t>开户行：</w:t>
      </w:r>
      <w:r>
        <w:rPr>
          <w:rFonts w:hint="eastAsia" w:hAnsi="宋体" w:cs="宋体"/>
          <w:sz w:val="24"/>
          <w:szCs w:val="24"/>
          <w:u w:val="single"/>
        </w:rPr>
        <w:t xml:space="preserve">                                   </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第三条  评估依据</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1、甲方提供的有关资料；</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2、乙方结合周边物业调研的相关资料</w:t>
      </w:r>
      <w:r>
        <w:rPr>
          <w:rFonts w:hint="eastAsia" w:ascii="宋体" w:hAnsi="宋体" w:cs="宋体"/>
          <w:sz w:val="24"/>
          <w:szCs w:val="24"/>
          <w:lang w:eastAsia="zh-CN"/>
        </w:rPr>
        <w:t>，该等资料的真实性、准确性由乙方负责</w:t>
      </w:r>
      <w:r>
        <w:rPr>
          <w:rFonts w:hint="eastAsia" w:ascii="宋体" w:hAnsi="宋体" w:cs="宋体"/>
          <w:sz w:val="24"/>
          <w:szCs w:val="24"/>
        </w:rPr>
        <w:t>；</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3、乙方所掌握的有关本项目服务内容的相关资料；</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4、相关法律、法规依据。</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第四条 合同期限</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本合同期限为</w:t>
      </w:r>
      <w:r>
        <w:rPr>
          <w:rFonts w:hint="eastAsia" w:ascii="宋体" w:hAnsi="宋体" w:cs="宋体"/>
          <w:sz w:val="24"/>
          <w:szCs w:val="24"/>
          <w:u w:val="single"/>
        </w:rPr>
        <w:t xml:space="preserve">    </w:t>
      </w:r>
      <w:r>
        <w:rPr>
          <w:rFonts w:hint="eastAsia" w:ascii="宋体" w:hAnsi="宋体" w:cs="宋体"/>
          <w:sz w:val="24"/>
          <w:szCs w:val="24"/>
        </w:rPr>
        <w:t>个月，自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default" w:ascii="宋体" w:hAnsi="宋体" w:cs="宋体"/>
          <w:sz w:val="24"/>
          <w:szCs w:val="24"/>
          <w:u w:val="single"/>
          <w:lang w:val="en-US"/>
        </w:rPr>
        <w:t xml:space="preserve">     </w:t>
      </w:r>
      <w:r>
        <w:rPr>
          <w:rFonts w:hint="eastAsia" w:ascii="宋体" w:hAnsi="宋体" w:cs="宋体"/>
          <w:sz w:val="24"/>
          <w:szCs w:val="24"/>
        </w:rPr>
        <w:t>年</w:t>
      </w:r>
      <w:r>
        <w:rPr>
          <w:rFonts w:hint="default" w:ascii="宋体" w:hAnsi="宋体" w:cs="宋体"/>
          <w:sz w:val="24"/>
          <w:szCs w:val="24"/>
          <w:u w:val="single"/>
          <w:lang w:val="en-US"/>
        </w:rPr>
        <w:t xml:space="preserve">   </w:t>
      </w:r>
      <w:r>
        <w:rPr>
          <w:rFonts w:hint="eastAsia" w:ascii="宋体" w:hAnsi="宋体" w:cs="宋体"/>
          <w:sz w:val="24"/>
          <w:szCs w:val="24"/>
        </w:rPr>
        <w:t>月</w:t>
      </w:r>
      <w:r>
        <w:rPr>
          <w:rFonts w:hint="default" w:ascii="宋体" w:hAnsi="宋体" w:cs="宋体"/>
          <w:sz w:val="24"/>
          <w:szCs w:val="24"/>
          <w:u w:val="single"/>
          <w:lang w:val="en-US"/>
        </w:rPr>
        <w:t xml:space="preserve">   </w:t>
      </w:r>
      <w:r>
        <w:rPr>
          <w:rFonts w:hint="eastAsia" w:ascii="宋体" w:hAnsi="宋体" w:cs="宋体"/>
          <w:sz w:val="24"/>
          <w:szCs w:val="24"/>
        </w:rPr>
        <w:t>日。</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第五条 成果报告内容要求</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乙方应当通过对物业市场调研，结合专业评估咨询机构专业知识，对物业租金价格进行评估，内容包含但不仅限于以下内容：</w:t>
      </w:r>
    </w:p>
    <w:p>
      <w:pPr>
        <w:widowControl/>
        <w:spacing w:after="0" w:line="520" w:lineRule="exact"/>
        <w:ind w:left="0" w:firstLine="480" w:firstLineChars="200"/>
        <w:rPr>
          <w:rFonts w:ascii="宋体" w:hAnsi="宋体" w:cs="宋体"/>
          <w:sz w:val="24"/>
          <w:szCs w:val="24"/>
          <w:u w:val="single"/>
        </w:rPr>
      </w:pPr>
      <w:r>
        <w:rPr>
          <w:rFonts w:hint="eastAsia" w:ascii="宋体" w:hAnsi="宋体" w:cs="宋体"/>
          <w:sz w:val="24"/>
          <w:szCs w:val="24"/>
          <w:u w:val="single"/>
        </w:rPr>
        <w:t>1、结合</w:t>
      </w:r>
      <w:r>
        <w:rPr>
          <w:rFonts w:hint="eastAsia" w:ascii="宋体" w:hAnsi="宋体" w:cs="宋体"/>
          <w:sz w:val="24"/>
          <w:szCs w:val="24"/>
          <w:u w:val="single"/>
          <w:lang w:val="en-US" w:eastAsia="zh-CN"/>
        </w:rPr>
        <w:t>项目</w:t>
      </w:r>
      <w:r>
        <w:rPr>
          <w:rFonts w:hint="eastAsia" w:ascii="宋体" w:hAnsi="宋体" w:cs="宋体"/>
          <w:sz w:val="24"/>
          <w:szCs w:val="24"/>
          <w:u w:val="single"/>
        </w:rPr>
        <w:t>物业现状、不同地理位置、</w:t>
      </w:r>
      <w:r>
        <w:rPr>
          <w:rFonts w:hint="eastAsia" w:ascii="宋体" w:hAnsi="宋体" w:cs="宋体"/>
          <w:sz w:val="24"/>
          <w:szCs w:val="24"/>
          <w:u w:val="single"/>
          <w:lang w:val="en-US" w:eastAsia="zh-CN"/>
        </w:rPr>
        <w:t>片区</w:t>
      </w:r>
      <w:r>
        <w:rPr>
          <w:rFonts w:hint="eastAsia" w:ascii="宋体" w:hAnsi="宋体" w:cs="宋体"/>
          <w:sz w:val="24"/>
          <w:szCs w:val="24"/>
          <w:u w:val="single"/>
        </w:rPr>
        <w:t>及周边商住环境、交通条件等因素综合评估，评估结果应包括评估分析、具体到每间</w:t>
      </w:r>
      <w:r>
        <w:rPr>
          <w:rFonts w:hint="eastAsia" w:ascii="宋体" w:hAnsi="宋体" w:cs="宋体"/>
          <w:sz w:val="24"/>
          <w:szCs w:val="24"/>
          <w:u w:val="single"/>
          <w:lang w:val="en-US" w:eastAsia="zh-CN"/>
        </w:rPr>
        <w:t>宿舍、商铺等的</w:t>
      </w:r>
      <w:r>
        <w:rPr>
          <w:rFonts w:hint="eastAsia" w:ascii="宋体" w:hAnsi="宋体" w:cs="宋体"/>
          <w:sz w:val="24"/>
          <w:szCs w:val="24"/>
          <w:u w:val="single"/>
        </w:rPr>
        <w:t>租赁价格，租金年涨幅率等要素。</w:t>
      </w:r>
    </w:p>
    <w:p>
      <w:pPr>
        <w:widowControl/>
        <w:spacing w:after="0" w:line="520" w:lineRule="exact"/>
        <w:ind w:left="0" w:firstLine="480" w:firstLineChars="200"/>
        <w:rPr>
          <w:rFonts w:ascii="宋体" w:hAnsi="宋体" w:cs="宋体"/>
          <w:sz w:val="24"/>
          <w:szCs w:val="24"/>
          <w:u w:val="single"/>
        </w:rPr>
      </w:pPr>
      <w:r>
        <w:rPr>
          <w:rFonts w:hint="eastAsia" w:ascii="宋体" w:hAnsi="宋体" w:cs="宋体"/>
          <w:sz w:val="24"/>
          <w:szCs w:val="24"/>
          <w:u w:val="single"/>
        </w:rPr>
        <w:t>2、针对委托清单中物业单元的租金评估</w:t>
      </w:r>
      <w:r>
        <w:rPr>
          <w:rFonts w:hint="eastAsia" w:ascii="宋体" w:hAnsi="宋体" w:cs="宋体"/>
          <w:sz w:val="24"/>
          <w:szCs w:val="24"/>
          <w:u w:val="single"/>
          <w:lang w:val="en-US" w:eastAsia="zh-CN"/>
        </w:rPr>
        <w:t>情况</w:t>
      </w:r>
      <w:r>
        <w:rPr>
          <w:rFonts w:hint="eastAsia" w:ascii="宋体" w:hAnsi="宋体" w:cs="宋体"/>
          <w:sz w:val="24"/>
          <w:szCs w:val="24"/>
          <w:u w:val="single"/>
        </w:rPr>
        <w:t>，明确列示评估单价、总价及建议的租金年涨幅率。不同楼层、朝向、户型等级的单元，租金评估结果必须有明确的差异体现及合理解释。</w:t>
      </w:r>
    </w:p>
    <w:p>
      <w:pPr>
        <w:widowControl/>
        <w:spacing w:after="0" w:line="520" w:lineRule="exact"/>
        <w:ind w:left="0" w:firstLine="480" w:firstLineChars="200"/>
        <w:rPr>
          <w:rFonts w:hint="eastAsia" w:ascii="宋体" w:hAnsi="宋体" w:cs="宋体"/>
          <w:sz w:val="24"/>
          <w:szCs w:val="24"/>
          <w:u w:val="single"/>
        </w:rPr>
      </w:pPr>
      <w:r>
        <w:rPr>
          <w:rFonts w:hint="eastAsia" w:ascii="宋体" w:hAnsi="宋体" w:cs="宋体"/>
          <w:sz w:val="24"/>
          <w:szCs w:val="24"/>
          <w:u w:val="single"/>
        </w:rPr>
        <w:t>3、列明不少于三处周边同类型、同地段可比物业的近半年内实际租赁案例（包括物业地址、面积、租金、租期等详细信息）及相应的政府指导价（如有），并进行详细可比性分析。</w:t>
      </w:r>
    </w:p>
    <w:p>
      <w:pPr>
        <w:widowControl/>
        <w:spacing w:after="0" w:line="520" w:lineRule="exact"/>
        <w:ind w:left="0" w:firstLine="480" w:firstLineChars="200"/>
        <w:rPr>
          <w:rFonts w:hint="eastAsia" w:ascii="宋体" w:hAnsi="宋体" w:cs="宋体"/>
          <w:sz w:val="24"/>
          <w:szCs w:val="24"/>
          <w:u w:val="single"/>
        </w:rPr>
      </w:pPr>
      <w:r>
        <w:rPr>
          <w:rFonts w:hint="eastAsia" w:ascii="宋体" w:hAnsi="宋体" w:cs="宋体"/>
          <w:sz w:val="24"/>
          <w:szCs w:val="24"/>
          <w:u w:val="single"/>
          <w:lang w:val="en-US" w:eastAsia="zh-CN"/>
        </w:rPr>
        <w:t>4、评估过程中所有假设、限定条件、评估方法的选择及理由、评估结果的有效期等必须明确说明。</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乙方评估时应考虑：</w:t>
      </w:r>
    </w:p>
    <w:p>
      <w:pPr>
        <w:widowControl/>
        <w:spacing w:after="0" w:line="520" w:lineRule="exact"/>
        <w:ind w:left="0" w:firstLine="480" w:firstLineChars="200"/>
        <w:rPr>
          <w:rFonts w:ascii="宋体" w:hAnsi="宋体" w:cs="宋体"/>
          <w:sz w:val="24"/>
          <w:szCs w:val="24"/>
          <w:u w:val="single"/>
        </w:rPr>
      </w:pPr>
      <w:r>
        <w:rPr>
          <w:rFonts w:hint="eastAsia" w:ascii="宋体" w:hAnsi="宋体" w:cs="宋体"/>
          <w:sz w:val="24"/>
          <w:szCs w:val="24"/>
          <w:u w:val="single"/>
        </w:rPr>
        <w:t>1、</w:t>
      </w:r>
      <w:r>
        <w:rPr>
          <w:rFonts w:hint="eastAsia" w:ascii="宋体" w:hAnsi="宋体" w:cs="宋体"/>
          <w:sz w:val="24"/>
          <w:szCs w:val="24"/>
          <w:u w:val="single"/>
          <w:lang w:val="en-US" w:eastAsia="zh-CN"/>
        </w:rPr>
        <w:t>宿舍为</w:t>
      </w:r>
      <w:r>
        <w:rPr>
          <w:rFonts w:hint="eastAsia" w:ascii="宋体" w:hAnsi="宋体" w:cs="宋体"/>
          <w:sz w:val="24"/>
          <w:szCs w:val="24"/>
          <w:u w:val="single"/>
        </w:rPr>
        <w:t>精装修并配置不同数量的家电家私，此情况评估时应予考虑。</w:t>
      </w:r>
    </w:p>
    <w:p>
      <w:pPr>
        <w:widowControl/>
        <w:spacing w:after="0" w:line="520" w:lineRule="exact"/>
        <w:ind w:left="0" w:firstLine="480" w:firstLineChars="200"/>
        <w:rPr>
          <w:rFonts w:ascii="宋体" w:hAnsi="宋体" w:cs="宋体"/>
          <w:sz w:val="24"/>
          <w:szCs w:val="24"/>
          <w:u w:val="single"/>
        </w:rPr>
      </w:pPr>
      <w:r>
        <w:rPr>
          <w:rFonts w:hint="eastAsia" w:ascii="宋体" w:hAnsi="宋体" w:cs="宋体"/>
          <w:sz w:val="24"/>
          <w:szCs w:val="24"/>
          <w:u w:val="single"/>
        </w:rPr>
        <w:t>2、商业物业租赁价格评估以市场实际租金水平为主要依据，综合物业现状和性质等因素进行评估。</w:t>
      </w:r>
    </w:p>
    <w:p>
      <w:pPr>
        <w:widowControl/>
        <w:spacing w:after="0" w:line="520" w:lineRule="exact"/>
        <w:ind w:left="0" w:firstLine="480" w:firstLineChars="200"/>
        <w:rPr>
          <w:rFonts w:ascii="宋体" w:hAnsi="宋体" w:cs="宋体"/>
          <w:sz w:val="24"/>
          <w:szCs w:val="24"/>
          <w:u w:val="single"/>
        </w:rPr>
      </w:pPr>
      <w:r>
        <w:rPr>
          <w:rFonts w:hint="eastAsia" w:ascii="宋体" w:hAnsi="宋体" w:cs="宋体"/>
          <w:sz w:val="24"/>
          <w:szCs w:val="24"/>
          <w:u w:val="single"/>
        </w:rPr>
        <w:t>3、物业评估时应当综合考虑停车位等因素。</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第六条 成果报告提交的时间及数量</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成果报告交付时间：</w:t>
      </w:r>
      <w:r>
        <w:rPr>
          <w:rFonts w:hint="eastAsia" w:ascii="宋体" w:hAnsi="宋体" w:cs="宋体"/>
          <w:sz w:val="24"/>
          <w:szCs w:val="24"/>
          <w:lang w:val="en-US" w:eastAsia="zh-CN"/>
        </w:rPr>
        <w:t>乙方应</w:t>
      </w:r>
      <w:r>
        <w:rPr>
          <w:rFonts w:hint="eastAsia" w:ascii="宋体" w:hAnsi="宋体" w:cs="宋体"/>
          <w:sz w:val="24"/>
          <w:szCs w:val="24"/>
        </w:rPr>
        <w:t>自</w:t>
      </w:r>
      <w:r>
        <w:rPr>
          <w:rFonts w:hint="eastAsia" w:ascii="宋体" w:hAnsi="宋体" w:cs="宋体"/>
          <w:sz w:val="24"/>
          <w:szCs w:val="24"/>
          <w:lang w:val="en-US" w:eastAsia="zh-CN"/>
        </w:rPr>
        <w:t>收到甲方发出的</w:t>
      </w:r>
      <w:r>
        <w:rPr>
          <w:rFonts w:hint="eastAsia" w:ascii="宋体" w:hAnsi="宋体" w:cs="宋体"/>
          <w:sz w:val="24"/>
          <w:szCs w:val="24"/>
        </w:rPr>
        <w:t>评估委托清单之日起</w:t>
      </w:r>
      <w:r>
        <w:rPr>
          <w:rFonts w:ascii="宋体" w:hAnsi="宋体" w:cs="宋体"/>
          <w:sz w:val="24"/>
          <w:szCs w:val="24"/>
          <w:u w:val="single"/>
        </w:rPr>
        <w:t>20</w:t>
      </w:r>
      <w:r>
        <w:rPr>
          <w:rFonts w:hint="eastAsia" w:ascii="宋体" w:hAnsi="宋体" w:cs="宋体"/>
          <w:sz w:val="24"/>
          <w:szCs w:val="24"/>
          <w:u w:val="single"/>
        </w:rPr>
        <w:t>日</w:t>
      </w:r>
      <w:r>
        <w:rPr>
          <w:rFonts w:hint="eastAsia" w:ascii="宋体" w:hAnsi="宋体" w:cs="宋体"/>
          <w:sz w:val="24"/>
          <w:szCs w:val="24"/>
        </w:rPr>
        <w:t>内向甲方交付</w:t>
      </w:r>
      <w:r>
        <w:rPr>
          <w:rFonts w:hint="eastAsia" w:ascii="宋体" w:hAnsi="宋体" w:cs="宋体"/>
          <w:sz w:val="24"/>
          <w:szCs w:val="24"/>
          <w:u w:val="single"/>
        </w:rPr>
        <w:t>壹</w:t>
      </w:r>
      <w:r>
        <w:rPr>
          <w:rFonts w:hint="eastAsia" w:ascii="宋体" w:hAnsi="宋体" w:cs="宋体"/>
          <w:sz w:val="24"/>
          <w:szCs w:val="24"/>
        </w:rPr>
        <w:t>式</w:t>
      </w:r>
      <w:r>
        <w:rPr>
          <w:rFonts w:hint="eastAsia" w:ascii="宋体" w:hAnsi="宋体" w:cs="宋体"/>
          <w:sz w:val="24"/>
          <w:szCs w:val="24"/>
          <w:u w:val="single"/>
        </w:rPr>
        <w:t>肆</w:t>
      </w:r>
      <w:r>
        <w:rPr>
          <w:rFonts w:hint="eastAsia" w:ascii="宋体" w:hAnsi="宋体" w:cs="宋体"/>
          <w:sz w:val="24"/>
          <w:szCs w:val="24"/>
        </w:rPr>
        <w:t>份书面成果报告及电子版成果报告。</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第七条 权利和义务</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（一）甲方的权利和义务</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1、协助乙方开展编制本项目相关工作，并向乙方提供必要的方便和配合。</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2、协助乙方收集相关基础资料。</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3、有权对乙方的工作进度、质量进行监督、检查，并提出意见和建议。</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4、对乙方形成成果提出意见，按照需求及时给予确认。</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5、按本合同约定，按时支付乙方服务费用。</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6、甲方应当向乙方发出评估清单，清单内容包含评估物业面积、位置、名称、数量等内容。</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（二）乙方的权利和义务</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1、乙方应按国家及深圳的有关法律、法规、规范以及本合同约定的工作内容、技术标准、工作进度和成果要求，指派具备相应资质和经验的项目团队</w:t>
      </w:r>
      <w:r>
        <w:rPr>
          <w:rFonts w:hint="eastAsia" w:ascii="宋体" w:hAnsi="宋体" w:cs="宋体"/>
          <w:sz w:val="24"/>
          <w:szCs w:val="24"/>
          <w:lang w:eastAsia="zh-CN"/>
        </w:rPr>
        <w:t>，</w:t>
      </w:r>
      <w:r>
        <w:rPr>
          <w:rFonts w:hint="eastAsia" w:ascii="宋体" w:hAnsi="宋体" w:cs="宋体"/>
          <w:sz w:val="24"/>
          <w:szCs w:val="24"/>
        </w:rPr>
        <w:t>开展相关工作，并按时完成工作成果。</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rPr>
        <w:t>2、乙方应当按照甲方发出评估清单开展评估工作</w:t>
      </w:r>
      <w:r>
        <w:rPr>
          <w:rFonts w:hint="eastAsia" w:ascii="宋体" w:hAnsi="宋体" w:cs="宋体"/>
          <w:sz w:val="24"/>
          <w:szCs w:val="24"/>
          <w:lang w:eastAsia="zh-CN"/>
        </w:rPr>
        <w:t>，</w:t>
      </w:r>
      <w:r>
        <w:rPr>
          <w:rFonts w:hint="eastAsia" w:ascii="宋体" w:hAnsi="宋体" w:cs="宋体"/>
          <w:sz w:val="24"/>
          <w:szCs w:val="24"/>
        </w:rPr>
        <w:t>并按照合同约定要求提供成果报告。乙方提交的成果文件应符合甲方要求，</w:t>
      </w:r>
      <w:r>
        <w:rPr>
          <w:rFonts w:hint="eastAsia" w:ascii="宋体" w:hAnsi="宋体" w:cs="宋体"/>
          <w:sz w:val="24"/>
          <w:szCs w:val="24"/>
          <w:lang w:val="en-US" w:eastAsia="zh-CN"/>
        </w:rPr>
        <w:t>并按甲方要求</w:t>
      </w:r>
      <w:r>
        <w:rPr>
          <w:rFonts w:hint="eastAsia" w:ascii="宋体" w:hAnsi="宋体" w:cs="宋体"/>
          <w:sz w:val="24"/>
          <w:szCs w:val="24"/>
        </w:rPr>
        <w:t>就成果报告交付文件内容进行专题汇报。</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根据甲方工作需要，乙方应配合甲方组织开展专家评审工作，评审过程中所产生的各项费用（包括且不限于专家费等）均由乙方承担</w:t>
      </w:r>
      <w:r>
        <w:rPr>
          <w:rFonts w:hint="eastAsia" w:ascii="宋体" w:hAnsi="宋体" w:cs="宋体"/>
          <w:sz w:val="24"/>
          <w:szCs w:val="24"/>
          <w:lang w:eastAsia="zh-CN"/>
        </w:rPr>
        <w:t>，相关费用已含在合同金额中。</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、乙方应有规范的管理以控制成果质量，在项目成果交付给甲方前，乙方应进行严格审核</w:t>
      </w:r>
      <w:r>
        <w:rPr>
          <w:rFonts w:hint="eastAsia" w:ascii="宋体" w:hAnsi="宋体" w:cs="宋体"/>
          <w:sz w:val="24"/>
          <w:szCs w:val="24"/>
          <w:lang w:eastAsia="zh-CN"/>
        </w:rPr>
        <w:t>，对其提交的成果报告的真实性、准确性、合法性、完整性承担全部责任</w:t>
      </w:r>
      <w:r>
        <w:rPr>
          <w:rFonts w:hint="eastAsia" w:ascii="宋体" w:hAnsi="宋体" w:cs="宋体"/>
          <w:sz w:val="24"/>
          <w:szCs w:val="24"/>
        </w:rPr>
        <w:t>。对乙方正式提交的成果，如经甲方审核认定未完全符合合同要求的，乙方须按甲方提出的合理且合规的要求在合同约定服务范围内予以修改，由此引起的费用由乙方承担。如报告存在错误、遗漏或不符合要求，乙方须在甲方要求时限内无偿修改、重做。因此给甲方或第三方造成损失的，乙方承担全部赔偿责任。</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、因政府政策原因或不可抗力原因或甲方自身原因，影响乙方工作进度或致使工作停滞，乙方有权将完成工作的期限顺延，由此造成工作延期的后果，乙方不承担相关责任。</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、乙方提交工作成果后，根据甲方要求，需要乙方对其工作成果的内容给予解释说明和补充完善，乙方应予以协助，必要时出具书面说明。</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、乙方须以保密方式处理甲方直接或间接提供的任何资料，以及因本项目委托工作所直接或间接取得、处理或接触的任何其他资料，未经甲方同意，乙方不得擅自公开或泄露给他人或挪作他用。</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、乙方确认，其为本合同履行所提交的一切工作成果（包括过程稿、最终稿、数据、分析模型等）的知识产权及所有权，</w:t>
      </w:r>
      <w:r>
        <w:rPr>
          <w:rFonts w:hint="eastAsia" w:ascii="宋体" w:hAnsi="宋体" w:cs="宋体"/>
          <w:sz w:val="24"/>
          <w:szCs w:val="24"/>
          <w:lang w:val="en-US" w:eastAsia="zh-CN"/>
        </w:rPr>
        <w:t>自作出之日起</w:t>
      </w:r>
      <w:r>
        <w:rPr>
          <w:rFonts w:hint="eastAsia" w:ascii="宋体" w:hAnsi="宋体" w:cs="宋体"/>
          <w:sz w:val="24"/>
          <w:szCs w:val="24"/>
        </w:rPr>
        <w:t>全部归甲方独家所有。未经甲方书面同意，</w:t>
      </w:r>
      <w:r>
        <w:rPr>
          <w:rFonts w:hint="eastAsia" w:ascii="宋体" w:hAnsi="宋体" w:cs="宋体"/>
          <w:sz w:val="24"/>
          <w:szCs w:val="24"/>
          <w:lang w:val="en-US" w:eastAsia="zh-CN"/>
        </w:rPr>
        <w:t>乙方</w:t>
      </w:r>
      <w:r>
        <w:rPr>
          <w:rFonts w:hint="eastAsia" w:ascii="宋体" w:hAnsi="宋体" w:cs="宋体"/>
          <w:sz w:val="24"/>
          <w:szCs w:val="24"/>
        </w:rPr>
        <w:t>不得以任何形式发表、使用或许可第三方使用。</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、乙方提交的工作成果应符合法律法规，以及相关规范的规定和甲方的要求。</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第八条 合同提前终止或解除</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本合同生效后，非因乙方原因导致本合同提前终止或解除，甲方按照乙方已完成的工作量结算合同费用，除此之外，甲方不再承担任何其它补偿、赔偿责任。</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2、乙方有下列情形之一的，甲方有权单方书面通知乙方解除本合同，自甲方的书面通知到达乙方之日合同解除，甲方无须承担任何违约责任，且乙方应赔偿甲方全部损失：</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（1）逾期交付任何成果报告超过10日的；</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（2）提交的成果报告经两次修改后仍无法达到甲方合理要求的；</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（3）未经甲方同意，将本合同工作转包、分包给第三方的；</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（4）违反本合同保密或知识产权条款的；</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lang w:val="en-US" w:eastAsia="zh-CN"/>
        </w:rPr>
        <w:t>（5）乙方行为涉嫌违法、违规，或其履约能力出现严重问题的。</w:t>
      </w:r>
    </w:p>
    <w:p>
      <w:pPr>
        <w:pStyle w:val="31"/>
        <w:tabs>
          <w:tab w:val="left" w:pos="1443"/>
        </w:tabs>
        <w:spacing w:after="0" w:line="520" w:lineRule="exact"/>
        <w:ind w:left="0" w:firstLine="481" w:firstLineChars="200"/>
        <w:rPr>
          <w:b/>
          <w:bCs/>
          <w:sz w:val="24"/>
          <w:szCs w:val="24"/>
          <w:lang w:bidi="en-US"/>
        </w:rPr>
      </w:pPr>
      <w:r>
        <w:rPr>
          <w:rFonts w:hint="eastAsia"/>
          <w:b/>
          <w:bCs/>
          <w:sz w:val="24"/>
          <w:szCs w:val="24"/>
          <w:lang w:bidi="en-US"/>
        </w:rPr>
        <w:t>第九条 通知与送达</w:t>
      </w:r>
    </w:p>
    <w:p>
      <w:pPr>
        <w:pStyle w:val="31"/>
        <w:tabs>
          <w:tab w:val="left" w:pos="1443"/>
        </w:tabs>
        <w:spacing w:after="0" w:line="520" w:lineRule="exact"/>
        <w:ind w:left="0" w:firstLine="480" w:firstLineChars="200"/>
        <w:rPr>
          <w:sz w:val="24"/>
          <w:szCs w:val="24"/>
          <w:lang w:bidi="en-US"/>
        </w:rPr>
      </w:pPr>
      <w:r>
        <w:rPr>
          <w:rFonts w:hint="eastAsia"/>
          <w:sz w:val="24"/>
          <w:szCs w:val="24"/>
          <w:lang w:bidi="en-US"/>
        </w:rPr>
        <w:t>甲乙双方约定相关文书、通知等资料的送达地址如下：</w:t>
      </w:r>
    </w:p>
    <w:p>
      <w:pPr>
        <w:pStyle w:val="31"/>
        <w:tabs>
          <w:tab w:val="left" w:pos="1443"/>
        </w:tabs>
        <w:spacing w:after="0" w:line="520" w:lineRule="exact"/>
        <w:ind w:left="0" w:firstLine="480" w:firstLineChars="200"/>
        <w:rPr>
          <w:sz w:val="24"/>
          <w:szCs w:val="24"/>
          <w:lang w:bidi="en-US"/>
        </w:rPr>
      </w:pPr>
      <w:r>
        <w:rPr>
          <w:rFonts w:hint="eastAsia"/>
          <w:sz w:val="24"/>
          <w:szCs w:val="24"/>
          <w:lang w:bidi="en-US"/>
        </w:rPr>
        <w:t>甲方送达地址：</w:t>
      </w:r>
      <w:r>
        <w:rPr>
          <w:rFonts w:hint="eastAsia"/>
          <w:sz w:val="24"/>
          <w:szCs w:val="24"/>
          <w:u w:val="single"/>
          <w:lang w:bidi="en-US"/>
        </w:rPr>
        <w:t xml:space="preserve">                                  </w:t>
      </w:r>
      <w:r>
        <w:rPr>
          <w:rFonts w:hint="eastAsia"/>
          <w:sz w:val="24"/>
          <w:szCs w:val="24"/>
          <w:lang w:bidi="en-US"/>
        </w:rPr>
        <w:t xml:space="preserve">  </w:t>
      </w:r>
    </w:p>
    <w:p>
      <w:pPr>
        <w:pStyle w:val="31"/>
        <w:tabs>
          <w:tab w:val="left" w:pos="1443"/>
        </w:tabs>
        <w:spacing w:after="0" w:line="520" w:lineRule="exact"/>
        <w:ind w:left="0" w:firstLine="480" w:firstLineChars="200"/>
        <w:rPr>
          <w:sz w:val="24"/>
          <w:szCs w:val="24"/>
          <w:u w:val="single"/>
          <w:lang w:bidi="en-US"/>
        </w:rPr>
      </w:pPr>
      <w:r>
        <w:rPr>
          <w:rFonts w:hint="eastAsia"/>
          <w:sz w:val="24"/>
          <w:szCs w:val="24"/>
          <w:lang w:bidi="en-US"/>
        </w:rPr>
        <w:t xml:space="preserve">联系人： </w:t>
      </w:r>
      <w:r>
        <w:rPr>
          <w:rFonts w:hint="eastAsia"/>
          <w:sz w:val="24"/>
          <w:szCs w:val="24"/>
          <w:u w:val="single"/>
          <w:lang w:bidi="en-US"/>
        </w:rPr>
        <w:t xml:space="preserve">                           </w:t>
      </w:r>
      <w:r>
        <w:rPr>
          <w:rFonts w:hint="default"/>
          <w:sz w:val="24"/>
          <w:szCs w:val="24"/>
          <w:u w:val="single"/>
          <w:lang w:val="en-US" w:bidi="en-US"/>
        </w:rPr>
        <w:t xml:space="preserve">       </w:t>
      </w:r>
      <w:r>
        <w:rPr>
          <w:rFonts w:hint="eastAsia"/>
          <w:sz w:val="24"/>
          <w:szCs w:val="24"/>
          <w:u w:val="single"/>
          <w:lang w:bidi="en-US"/>
        </w:rPr>
        <w:t xml:space="preserve">     </w:t>
      </w:r>
    </w:p>
    <w:p>
      <w:pPr>
        <w:pStyle w:val="31"/>
        <w:tabs>
          <w:tab w:val="left" w:pos="1443"/>
        </w:tabs>
        <w:spacing w:after="0" w:line="520" w:lineRule="exact"/>
        <w:ind w:left="0" w:firstLine="480" w:firstLineChars="200"/>
        <w:rPr>
          <w:sz w:val="24"/>
          <w:szCs w:val="24"/>
          <w:u w:val="single"/>
          <w:lang w:bidi="en-US"/>
        </w:rPr>
      </w:pPr>
      <w:r>
        <w:rPr>
          <w:rFonts w:hint="eastAsia"/>
          <w:sz w:val="24"/>
          <w:szCs w:val="24"/>
          <w:lang w:bidi="en-US"/>
        </w:rPr>
        <w:t xml:space="preserve">电话： </w:t>
      </w:r>
      <w:r>
        <w:rPr>
          <w:rFonts w:hint="eastAsia"/>
          <w:sz w:val="24"/>
          <w:szCs w:val="24"/>
          <w:u w:val="single"/>
          <w:lang w:bidi="en-US"/>
        </w:rPr>
        <w:t xml:space="preserve">                             </w:t>
      </w:r>
      <w:r>
        <w:rPr>
          <w:rFonts w:hint="default"/>
          <w:sz w:val="24"/>
          <w:szCs w:val="24"/>
          <w:u w:val="single"/>
          <w:lang w:val="en-US" w:bidi="en-US"/>
        </w:rPr>
        <w:t xml:space="preserve">       </w:t>
      </w:r>
      <w:r>
        <w:rPr>
          <w:rFonts w:hint="eastAsia"/>
          <w:sz w:val="24"/>
          <w:szCs w:val="24"/>
          <w:u w:val="single"/>
          <w:lang w:bidi="en-US"/>
        </w:rPr>
        <w:t xml:space="preserve">     </w:t>
      </w:r>
    </w:p>
    <w:p>
      <w:pPr>
        <w:pStyle w:val="31"/>
        <w:tabs>
          <w:tab w:val="left" w:pos="1443"/>
        </w:tabs>
        <w:spacing w:after="0" w:line="520" w:lineRule="exact"/>
        <w:ind w:left="0" w:firstLine="480" w:firstLineChars="200"/>
        <w:rPr>
          <w:sz w:val="24"/>
          <w:szCs w:val="24"/>
          <w:lang w:bidi="en-US"/>
        </w:rPr>
      </w:pPr>
      <w:r>
        <w:rPr>
          <w:rFonts w:hint="eastAsia"/>
          <w:sz w:val="24"/>
          <w:szCs w:val="24"/>
          <w:lang w:bidi="en-US"/>
        </w:rPr>
        <w:t>乙方送达地址：</w:t>
      </w:r>
      <w:r>
        <w:rPr>
          <w:rFonts w:hint="eastAsia"/>
          <w:sz w:val="24"/>
          <w:szCs w:val="24"/>
          <w:u w:val="single"/>
          <w:lang w:bidi="en-US"/>
        </w:rPr>
        <w:t xml:space="preserve">                     </w:t>
      </w:r>
      <w:r>
        <w:rPr>
          <w:rFonts w:hint="default"/>
          <w:sz w:val="24"/>
          <w:szCs w:val="24"/>
          <w:u w:val="single"/>
          <w:lang w:val="en-US" w:bidi="en-US"/>
        </w:rPr>
        <w:t xml:space="preserve">       </w:t>
      </w:r>
      <w:r>
        <w:rPr>
          <w:rFonts w:hint="eastAsia"/>
          <w:sz w:val="24"/>
          <w:szCs w:val="24"/>
          <w:u w:val="single"/>
          <w:lang w:bidi="en-US"/>
        </w:rPr>
        <w:t xml:space="preserve">      </w:t>
      </w:r>
      <w:r>
        <w:rPr>
          <w:rFonts w:hint="eastAsia"/>
          <w:sz w:val="24"/>
          <w:szCs w:val="24"/>
          <w:lang w:bidi="en-US"/>
        </w:rPr>
        <w:t xml:space="preserve">                                </w:t>
      </w:r>
    </w:p>
    <w:p>
      <w:pPr>
        <w:pStyle w:val="31"/>
        <w:tabs>
          <w:tab w:val="left" w:pos="1443"/>
        </w:tabs>
        <w:spacing w:after="0" w:line="520" w:lineRule="exact"/>
        <w:ind w:left="0" w:firstLine="480" w:firstLineChars="200"/>
        <w:rPr>
          <w:sz w:val="24"/>
          <w:szCs w:val="24"/>
          <w:u w:val="single"/>
          <w:lang w:bidi="en-US"/>
        </w:rPr>
      </w:pPr>
      <w:r>
        <w:rPr>
          <w:rFonts w:hint="eastAsia"/>
          <w:sz w:val="24"/>
          <w:szCs w:val="24"/>
          <w:lang w:bidi="en-US"/>
        </w:rPr>
        <w:t>联系人：</w:t>
      </w:r>
      <w:r>
        <w:rPr>
          <w:rFonts w:hint="eastAsia"/>
          <w:sz w:val="24"/>
          <w:szCs w:val="24"/>
          <w:u w:val="single"/>
          <w:lang w:bidi="en-US"/>
        </w:rPr>
        <w:t xml:space="preserve">                           </w:t>
      </w:r>
      <w:r>
        <w:rPr>
          <w:rFonts w:hint="default"/>
          <w:sz w:val="24"/>
          <w:szCs w:val="24"/>
          <w:u w:val="single"/>
          <w:lang w:val="en-US" w:bidi="en-US"/>
        </w:rPr>
        <w:t xml:space="preserve">       </w:t>
      </w:r>
      <w:r>
        <w:rPr>
          <w:rFonts w:hint="eastAsia"/>
          <w:sz w:val="24"/>
          <w:szCs w:val="24"/>
          <w:u w:val="single"/>
          <w:lang w:bidi="en-US"/>
        </w:rPr>
        <w:t xml:space="preserve">      </w:t>
      </w:r>
    </w:p>
    <w:p>
      <w:pPr>
        <w:pStyle w:val="31"/>
        <w:tabs>
          <w:tab w:val="left" w:pos="1443"/>
        </w:tabs>
        <w:spacing w:after="0" w:line="520" w:lineRule="exact"/>
        <w:ind w:left="0" w:firstLine="480" w:firstLineChars="200"/>
        <w:rPr>
          <w:sz w:val="24"/>
          <w:szCs w:val="24"/>
          <w:lang w:bidi="en-US"/>
        </w:rPr>
      </w:pPr>
      <w:r>
        <w:rPr>
          <w:rFonts w:hint="eastAsia"/>
          <w:sz w:val="24"/>
          <w:szCs w:val="24"/>
          <w:lang w:bidi="en-US"/>
        </w:rPr>
        <w:t>电话：</w:t>
      </w:r>
      <w:r>
        <w:rPr>
          <w:rFonts w:hint="eastAsia"/>
          <w:sz w:val="24"/>
          <w:szCs w:val="24"/>
          <w:u w:val="single"/>
          <w:lang w:bidi="en-US"/>
        </w:rPr>
        <w:t xml:space="preserve">                            </w:t>
      </w:r>
      <w:r>
        <w:rPr>
          <w:rFonts w:hint="default"/>
          <w:sz w:val="24"/>
          <w:szCs w:val="24"/>
          <w:u w:val="single"/>
          <w:lang w:val="en-US" w:bidi="en-US"/>
        </w:rPr>
        <w:t xml:space="preserve">      </w:t>
      </w:r>
      <w:r>
        <w:rPr>
          <w:rFonts w:hint="eastAsia"/>
          <w:sz w:val="24"/>
          <w:szCs w:val="24"/>
          <w:u w:val="single"/>
          <w:lang w:bidi="en-US"/>
        </w:rPr>
        <w:t xml:space="preserve">        </w:t>
      </w:r>
      <w:r>
        <w:rPr>
          <w:rFonts w:hint="eastAsia"/>
          <w:sz w:val="24"/>
          <w:szCs w:val="24"/>
          <w:lang w:bidi="en-US"/>
        </w:rPr>
        <w:t xml:space="preserve">    </w:t>
      </w:r>
    </w:p>
    <w:p>
      <w:pPr>
        <w:pStyle w:val="31"/>
        <w:tabs>
          <w:tab w:val="left" w:pos="1443"/>
        </w:tabs>
        <w:spacing w:line="520" w:lineRule="exact"/>
        <w:ind w:left="0" w:firstLine="480" w:firstLineChars="200"/>
      </w:pPr>
      <w:r>
        <w:rPr>
          <w:rFonts w:hint="eastAsia"/>
          <w:sz w:val="24"/>
          <w:szCs w:val="24"/>
          <w:lang w:bidi="en-US"/>
        </w:rPr>
        <w:t>双方共同确认：上述送达方式适用于协议履行及各个司法阶段，包括但不限于协议履行期间、一审、二审、再审、执行以及督促程序。同时双方保证送达地址准确、有效，如果提供的地址不确切，或者不及时告知变更后的地址，使通知、协议或相关法律文书无法送达或未及时送达，自行承担由此可能产生的法律后果。</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第十条 违约责任</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1、因甲方原因导致评估报告迟延交付的，交付时间顺延。</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2、乙方在签订本合同后单方提前解除或终止合同的，乙方应向甲方支付本合同总金额20%的违约金。</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3、乙方无正当理由，不得迟于本合同约定的时间交付物业租金评估成果报告，逾期交付物业租金价格评估成果报告，每日按合同总金额万分之</w:t>
      </w:r>
      <w:r>
        <w:rPr>
          <w:rFonts w:hint="eastAsia" w:ascii="宋体" w:hAnsi="宋体" w:cs="宋体"/>
          <w:sz w:val="24"/>
          <w:szCs w:val="24"/>
          <w:lang w:val="en-US" w:eastAsia="zh-CN"/>
        </w:rPr>
        <w:t>三</w:t>
      </w:r>
      <w:r>
        <w:rPr>
          <w:rFonts w:hint="eastAsia" w:ascii="宋体" w:hAnsi="宋体" w:cs="宋体"/>
          <w:sz w:val="24"/>
          <w:szCs w:val="24"/>
        </w:rPr>
        <w:t>支付违约金。迟延超过10日，甲方有权单方书面通知乙方解除本合同，乙方应向甲方支付本合同总金额20%的违约金。</w:t>
      </w:r>
    </w:p>
    <w:p>
      <w:pPr>
        <w:widowControl/>
        <w:spacing w:after="0" w:line="520" w:lineRule="exact"/>
        <w:ind w:left="0"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乙方提交的成果报告存在错误、失实，或评估结果严重偏离市场公允水平（偏离幅度超过±10%），经甲方指出后未能及时、有效纠正，并给甲方决策造成误导或实际损失的，甲方有权拒付任何委托评估费用，已支付的乙方应予返还，并且乙方还应向甲方支付评估费用总额30%的违约金。若违约金不足以弥补甲方损失，乙方应继续赔偿。</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未经甲方许可，乙方不得将甲方的资料、成果或与本项目有关的任何资料和信息，告知或转让给第三方或用于本合同外的其他项目，如乙方违反上述保密义务，乙方应当向甲方支付本合同总金额50%的违约金，给甲方造成的直接或间接损失，乙方还应承担全部的赔偿责任。</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任何一方违约的，守约方因维权付出的所有费用，包括但不限于律师代理费、诉讼费、担保费、保全费、差旅费、材料费、调查费、评估费、鉴定费等均由违约方支付，给守约方造成损失的，违约方还应另行赔偿。</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第十一条  争议解决</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甲乙双方在履行本合同过程中发生</w:t>
      </w:r>
      <w:r>
        <w:rPr>
          <w:rFonts w:ascii="宋体" w:hAnsi="宋体" w:cs="宋体"/>
          <w:sz w:val="24"/>
          <w:szCs w:val="24"/>
        </w:rPr>
        <w:t>争议</w:t>
      </w:r>
      <w:r>
        <w:rPr>
          <w:rFonts w:hint="eastAsia" w:ascii="宋体" w:hAnsi="宋体" w:cs="宋体"/>
          <w:sz w:val="24"/>
          <w:szCs w:val="24"/>
        </w:rPr>
        <w:t>的</w:t>
      </w:r>
      <w:r>
        <w:rPr>
          <w:rFonts w:ascii="宋体" w:hAnsi="宋体" w:cs="宋体"/>
          <w:sz w:val="24"/>
          <w:szCs w:val="24"/>
        </w:rPr>
        <w:t>，双方</w:t>
      </w:r>
      <w:r>
        <w:rPr>
          <w:rFonts w:hint="eastAsia" w:ascii="宋体" w:hAnsi="宋体" w:cs="宋体"/>
          <w:sz w:val="24"/>
          <w:szCs w:val="24"/>
        </w:rPr>
        <w:t>首先</w:t>
      </w:r>
      <w:r>
        <w:rPr>
          <w:rFonts w:ascii="宋体" w:hAnsi="宋体" w:cs="宋体"/>
          <w:sz w:val="24"/>
          <w:szCs w:val="24"/>
        </w:rPr>
        <w:t>应友好协商解决，协商</w:t>
      </w:r>
      <w:r>
        <w:rPr>
          <w:rFonts w:hint="eastAsia" w:ascii="宋体" w:hAnsi="宋体" w:cs="宋体"/>
          <w:sz w:val="24"/>
          <w:szCs w:val="24"/>
        </w:rPr>
        <w:t>不成的</w:t>
      </w:r>
      <w:r>
        <w:rPr>
          <w:rFonts w:ascii="宋体" w:hAnsi="宋体" w:cs="宋体"/>
          <w:sz w:val="24"/>
          <w:szCs w:val="24"/>
        </w:rPr>
        <w:t>，</w:t>
      </w:r>
      <w:r>
        <w:rPr>
          <w:rFonts w:hint="eastAsia" w:ascii="宋体" w:hAnsi="宋体" w:cs="宋体"/>
          <w:sz w:val="24"/>
          <w:szCs w:val="24"/>
        </w:rPr>
        <w:t>提交</w:t>
      </w:r>
      <w:r>
        <w:rPr>
          <w:rFonts w:ascii="宋体" w:hAnsi="宋体" w:cs="宋体"/>
          <w:sz w:val="24"/>
          <w:szCs w:val="24"/>
        </w:rPr>
        <w:t>甲方住所地人民法院诉讼</w:t>
      </w:r>
      <w:r>
        <w:rPr>
          <w:rFonts w:hint="eastAsia" w:ascii="宋体" w:hAnsi="宋体" w:cs="宋体"/>
          <w:sz w:val="24"/>
          <w:szCs w:val="24"/>
        </w:rPr>
        <w:t>解决</w:t>
      </w:r>
      <w:r>
        <w:rPr>
          <w:rFonts w:ascii="宋体" w:hAnsi="宋体" w:cs="宋体"/>
          <w:sz w:val="24"/>
          <w:szCs w:val="24"/>
        </w:rPr>
        <w:t>。</w:t>
      </w:r>
    </w:p>
    <w:p>
      <w:pPr>
        <w:widowControl/>
        <w:spacing w:after="0" w:line="520" w:lineRule="exact"/>
        <w:ind w:left="0" w:firstLine="481" w:firstLineChars="200"/>
        <w:rPr>
          <w:rFonts w:ascii="宋体" w:hAnsi="宋体" w:cs="宋体"/>
          <w:b/>
          <w:bCs/>
          <w:sz w:val="24"/>
          <w:szCs w:val="24"/>
        </w:rPr>
      </w:pPr>
      <w:r>
        <w:rPr>
          <w:rFonts w:hint="eastAsia" w:ascii="宋体" w:hAnsi="宋体" w:cs="宋体"/>
          <w:b/>
          <w:bCs/>
          <w:sz w:val="24"/>
          <w:szCs w:val="24"/>
        </w:rPr>
        <w:t>第十二条  其它</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1、本合同自双方法定代表人或授权代表签字并加盖公章之日起生效。如有变更或未尽事宜，由双方协商一致后，另行签订补充协议，补充协议构成本合同的组成部分。</w:t>
      </w:r>
    </w:p>
    <w:p>
      <w:pPr>
        <w:widowControl/>
        <w:spacing w:after="0" w:line="520" w:lineRule="exact"/>
        <w:ind w:left="0" w:firstLine="480" w:firstLineChars="200"/>
        <w:rPr>
          <w:rFonts w:ascii="宋体" w:hAnsi="宋体" w:cs="宋体"/>
          <w:sz w:val="24"/>
          <w:szCs w:val="24"/>
        </w:rPr>
      </w:pPr>
      <w:r>
        <w:rPr>
          <w:rFonts w:hint="eastAsia" w:ascii="宋体" w:hAnsi="宋体" w:cs="宋体"/>
          <w:sz w:val="24"/>
          <w:szCs w:val="24"/>
        </w:rPr>
        <w:t>2、本合同</w:t>
      </w:r>
      <w:r>
        <w:rPr>
          <w:rFonts w:hint="eastAsia" w:ascii="宋体" w:hAnsi="宋体" w:cs="宋体"/>
          <w:sz w:val="24"/>
          <w:szCs w:val="24"/>
          <w:u w:val="single"/>
        </w:rPr>
        <w:t>壹</w:t>
      </w:r>
      <w:r>
        <w:rPr>
          <w:rFonts w:hint="eastAsia" w:ascii="宋体" w:hAnsi="宋体" w:cs="宋体"/>
          <w:sz w:val="24"/>
          <w:szCs w:val="24"/>
        </w:rPr>
        <w:t>式</w:t>
      </w:r>
      <w:r>
        <w:rPr>
          <w:rFonts w:hint="eastAsia" w:ascii="宋体" w:hAnsi="宋体" w:cs="宋体"/>
          <w:sz w:val="24"/>
          <w:szCs w:val="24"/>
          <w:lang w:val="en-US" w:eastAsia="zh-CN"/>
        </w:rPr>
        <w:t>陆</w:t>
      </w:r>
      <w:r>
        <w:rPr>
          <w:rFonts w:hint="eastAsia" w:ascii="宋体" w:hAnsi="宋体" w:cs="宋体"/>
          <w:sz w:val="24"/>
          <w:szCs w:val="24"/>
        </w:rPr>
        <w:t>份，甲方执</w:t>
      </w:r>
      <w:r>
        <w:rPr>
          <w:rFonts w:hint="eastAsia" w:ascii="宋体" w:hAnsi="宋体" w:cs="宋体"/>
          <w:sz w:val="24"/>
          <w:szCs w:val="24"/>
          <w:lang w:val="en-US" w:eastAsia="zh-CN"/>
        </w:rPr>
        <w:t>肆</w:t>
      </w:r>
      <w:r>
        <w:rPr>
          <w:rFonts w:hint="eastAsia" w:ascii="宋体" w:hAnsi="宋体" w:cs="宋体"/>
          <w:sz w:val="24"/>
          <w:szCs w:val="24"/>
        </w:rPr>
        <w:t>份，乙方执</w:t>
      </w:r>
      <w:r>
        <w:rPr>
          <w:rFonts w:hint="eastAsia" w:ascii="宋体" w:hAnsi="宋体" w:cs="宋体"/>
          <w:sz w:val="24"/>
          <w:szCs w:val="24"/>
          <w:u w:val="single"/>
        </w:rPr>
        <w:t>贰</w:t>
      </w:r>
      <w:r>
        <w:rPr>
          <w:rFonts w:hint="eastAsia" w:ascii="宋体" w:hAnsi="宋体" w:cs="宋体"/>
          <w:sz w:val="24"/>
          <w:szCs w:val="24"/>
        </w:rPr>
        <w:t>份，均具有同等法律效力。</w:t>
      </w:r>
    </w:p>
    <w:p>
      <w:pPr>
        <w:widowControl/>
        <w:spacing w:after="0" w:line="520" w:lineRule="exact"/>
        <w:ind w:left="0" w:firstLine="480" w:firstLineChars="200"/>
        <w:rPr>
          <w:rFonts w:cs="宋体"/>
          <w:sz w:val="24"/>
          <w:szCs w:val="24"/>
        </w:rPr>
      </w:pPr>
      <w:r>
        <w:rPr>
          <w:rFonts w:hint="eastAsia" w:ascii="宋体" w:hAnsi="宋体" w:cs="宋体"/>
          <w:sz w:val="24"/>
          <w:szCs w:val="24"/>
        </w:rPr>
        <w:t>3、</w:t>
      </w:r>
      <w:r>
        <w:rPr>
          <w:rFonts w:hint="eastAsia" w:cs="宋体"/>
          <w:sz w:val="24"/>
          <w:szCs w:val="24"/>
        </w:rPr>
        <w:t>其他补充约定（本条约定与本合同其他条款发生冲突时，以本条约定为准）：</w:t>
      </w:r>
    </w:p>
    <w:p>
      <w:pPr>
        <w:widowControl/>
        <w:spacing w:after="0" w:line="520" w:lineRule="exact"/>
        <w:ind w:left="0" w:firstLine="420" w:firstLineChars="200"/>
        <w:rPr>
          <w:rFonts w:hAnsi="宋体" w:cs="宋体"/>
          <w:sz w:val="24"/>
          <w:szCs w:val="24"/>
        </w:rPr>
      </w:pPr>
      <w:r>
        <w:rPr>
          <w:rFonts w:hint="eastAsia"/>
        </w:rPr>
        <w:t>（1）附件</w:t>
      </w:r>
      <w:r>
        <w:t>1</w:t>
      </w:r>
      <w:r>
        <w:rPr>
          <w:rFonts w:hint="eastAsia"/>
        </w:rPr>
        <w:t>《</w:t>
      </w:r>
      <w:r>
        <w:rPr>
          <w:rFonts w:hint="eastAsia" w:ascii="宋体" w:hAnsi="宋体" w:cs="宋体"/>
          <w:sz w:val="24"/>
          <w:szCs w:val="24"/>
        </w:rPr>
        <w:t>评估委托清单</w:t>
      </w:r>
      <w:r>
        <w:rPr>
          <w:rFonts w:hint="eastAsia" w:hAnsi="宋体" w:cs="宋体"/>
          <w:sz w:val="24"/>
          <w:szCs w:val="24"/>
        </w:rPr>
        <w:t>样本》仅作参考，实际总评估面积以</w:t>
      </w:r>
      <w:r>
        <w:rPr>
          <w:rFonts w:hint="eastAsia" w:hAnsi="宋体" w:cs="宋体"/>
          <w:sz w:val="24"/>
          <w:szCs w:val="24"/>
          <w:lang w:val="en-US" w:eastAsia="zh-CN"/>
        </w:rPr>
        <w:t>项目最终竣工测绘报告面积为准。</w:t>
      </w:r>
    </w:p>
    <w:p>
      <w:pPr>
        <w:widowControl/>
        <w:spacing w:after="0" w:line="520" w:lineRule="exact"/>
        <w:ind w:left="0" w:firstLine="480" w:firstLineChars="200"/>
        <w:rPr>
          <w:rFonts w:ascii="宋体" w:hAnsi="宋体" w:cs="宋体"/>
          <w:sz w:val="24"/>
          <w:szCs w:val="24"/>
        </w:rPr>
      </w:pPr>
      <w:r>
        <w:rPr>
          <w:rFonts w:hint="eastAsia" w:cs="宋体"/>
          <w:sz w:val="24"/>
          <w:szCs w:val="24"/>
          <w:u w:val="single"/>
        </w:rPr>
        <w:t>（</w:t>
      </w:r>
      <w:r>
        <w:rPr>
          <w:rFonts w:cs="宋体"/>
          <w:sz w:val="24"/>
          <w:szCs w:val="24"/>
          <w:u w:val="single"/>
        </w:rPr>
        <w:t>2</w:t>
      </w:r>
      <w:r>
        <w:rPr>
          <w:rFonts w:hint="eastAsia" w:cs="宋体"/>
          <w:sz w:val="24"/>
          <w:szCs w:val="24"/>
          <w:u w:val="single"/>
        </w:rPr>
        <w:t>）乙方应根据甲方评估委托清单</w:t>
      </w:r>
      <w:r>
        <w:rPr>
          <w:rFonts w:hint="eastAsia" w:cs="宋体"/>
          <w:sz w:val="24"/>
          <w:szCs w:val="24"/>
          <w:u w:val="single"/>
          <w:lang w:eastAsia="zh-CN"/>
        </w:rPr>
        <w:t>分别出具罗山三项目租金评估报告</w:t>
      </w:r>
      <w:r>
        <w:rPr>
          <w:rFonts w:hint="eastAsia" w:cs="宋体"/>
          <w:sz w:val="24"/>
          <w:szCs w:val="24"/>
          <w:u w:val="single"/>
        </w:rPr>
        <w:t>。</w:t>
      </w:r>
    </w:p>
    <w:p>
      <w:pPr>
        <w:pStyle w:val="2"/>
        <w:spacing w:after="0" w:line="520" w:lineRule="exact"/>
        <w:ind w:left="0" w:firstLine="480" w:firstLineChars="200"/>
        <w:rPr>
          <w:rFonts w:hAnsi="宋体" w:cs="宋体"/>
          <w:sz w:val="24"/>
          <w:szCs w:val="24"/>
        </w:rPr>
      </w:pPr>
      <w:r>
        <w:rPr>
          <w:rFonts w:hint="eastAsia"/>
          <w:sz w:val="24"/>
          <w:szCs w:val="24"/>
        </w:rPr>
        <w:t>附件1：</w:t>
      </w:r>
      <w:r>
        <w:rPr>
          <w:rFonts w:hint="eastAsia" w:hAnsi="宋体" w:cs="宋体"/>
          <w:sz w:val="24"/>
          <w:szCs w:val="24"/>
        </w:rPr>
        <w:t>评估委托清单样本</w:t>
      </w:r>
    </w:p>
    <w:p>
      <w:pPr>
        <w:pStyle w:val="2"/>
        <w:spacing w:after="0" w:line="520" w:lineRule="exact"/>
        <w:ind w:left="0" w:firstLine="480" w:firstLineChars="200"/>
        <w:rPr>
          <w:rFonts w:hAnsi="宋体" w:cs="宋体"/>
          <w:sz w:val="24"/>
          <w:szCs w:val="24"/>
        </w:rPr>
      </w:pPr>
      <w:r>
        <w:rPr>
          <w:rFonts w:hint="eastAsia"/>
          <w:sz w:val="24"/>
          <w:szCs w:val="24"/>
        </w:rPr>
        <w:t>附件2：</w:t>
      </w:r>
      <w:r>
        <w:rPr>
          <w:rFonts w:hint="eastAsia" w:hAnsi="宋体" w:cs="宋体"/>
          <w:sz w:val="24"/>
          <w:szCs w:val="24"/>
        </w:rPr>
        <w:t>履约评价表</w:t>
      </w:r>
    </w:p>
    <w:p>
      <w:pPr>
        <w:pStyle w:val="2"/>
        <w:spacing w:after="0" w:line="520" w:lineRule="exact"/>
        <w:ind w:left="0" w:firstLine="480" w:firstLineChars="200"/>
        <w:rPr>
          <w:sz w:val="24"/>
          <w:szCs w:val="24"/>
        </w:rPr>
      </w:pPr>
      <w:r>
        <w:rPr>
          <w:rFonts w:hint="eastAsia" w:hAnsi="宋体" w:cs="宋体"/>
          <w:sz w:val="24"/>
          <w:szCs w:val="24"/>
        </w:rPr>
        <w:t>附件3：廉洁协议</w:t>
      </w:r>
    </w:p>
    <w:p>
      <w:pPr>
        <w:spacing w:after="0" w:line="520" w:lineRule="exact"/>
        <w:ind w:left="0" w:firstLine="481" w:firstLineChars="200"/>
        <w:rPr>
          <w:rFonts w:ascii="宋体" w:hAnsi="宋体" w:cs="宋体"/>
          <w:sz w:val="24"/>
          <w:szCs w:val="24"/>
        </w:rPr>
      </w:pPr>
      <w:r>
        <w:rPr>
          <w:rFonts w:hint="eastAsia" w:ascii="宋体" w:hAnsi="宋体" w:cs="宋体"/>
          <w:b/>
          <w:bCs/>
          <w:sz w:val="24"/>
          <w:szCs w:val="24"/>
          <w:lang w:bidi="en-US"/>
        </w:rPr>
        <w:t>本合同签约方已经充分知悉合同条款，并已完全了解其中含义，各方同意严格按照本合同约定执行。</w:t>
      </w:r>
    </w:p>
    <w:p>
      <w:pPr>
        <w:widowControl/>
        <w:spacing w:after="0" w:line="520" w:lineRule="exact"/>
        <w:ind w:left="0" w:firstLine="481" w:firstLineChars="200"/>
        <w:rPr>
          <w:rFonts w:ascii="宋体" w:hAnsi="宋体" w:cs="宋体"/>
          <w:b/>
          <w:bCs/>
          <w:sz w:val="24"/>
          <w:szCs w:val="24"/>
        </w:rPr>
      </w:pPr>
      <w:r>
        <w:rPr>
          <w:rFonts w:ascii="宋体" w:hAnsi="宋体" w:cs="宋体"/>
          <w:b/>
          <w:bCs/>
          <w:sz w:val="24"/>
          <w:szCs w:val="24"/>
        </w:rPr>
        <w:t>（以下无正文）</w:t>
      </w:r>
    </w:p>
    <w:p>
      <w:pPr>
        <w:pStyle w:val="2"/>
        <w:ind w:firstLine="420"/>
      </w:pPr>
    </w:p>
    <w:p>
      <w:pPr>
        <w:widowControl/>
        <w:spacing w:after="0" w:line="520" w:lineRule="exact"/>
        <w:ind w:left="0"/>
        <w:rPr>
          <w:rFonts w:hint="eastAsia" w:ascii="宋体" w:hAnsi="宋体" w:cs="宋体"/>
          <w:b/>
          <w:bCs/>
          <w:sz w:val="24"/>
          <w:szCs w:val="24"/>
        </w:rPr>
      </w:pPr>
    </w:p>
    <w:p>
      <w:pPr>
        <w:widowControl/>
        <w:spacing w:after="0" w:line="520" w:lineRule="exact"/>
        <w:ind w:left="0"/>
        <w:rPr>
          <w:rFonts w:ascii="宋体" w:hAnsi="宋体" w:cs="宋体"/>
          <w:sz w:val="24"/>
          <w:szCs w:val="24"/>
        </w:rPr>
      </w:pPr>
      <w:r>
        <w:rPr>
          <w:rFonts w:hint="eastAsia" w:ascii="宋体" w:hAnsi="宋体" w:cs="宋体"/>
          <w:sz w:val="24"/>
          <w:szCs w:val="24"/>
        </w:rPr>
        <w:t>甲方（盖章）：                        乙方（盖章）：</w:t>
      </w:r>
    </w:p>
    <w:p>
      <w:pPr>
        <w:widowControl/>
        <w:spacing w:after="0" w:line="520" w:lineRule="exact"/>
        <w:ind w:left="0"/>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法定代表人（或授权代表）：</w:t>
      </w:r>
    </w:p>
    <w:p>
      <w:pPr>
        <w:widowControl/>
        <w:spacing w:after="0" w:line="520" w:lineRule="exact"/>
        <w:ind w:left="0"/>
        <w:rPr>
          <w:rFonts w:ascii="宋体" w:hAnsi="宋体" w:cs="宋体"/>
          <w:sz w:val="24"/>
          <w:szCs w:val="24"/>
        </w:rPr>
        <w:sectPr>
          <w:footerReference r:id="rId7" w:type="default"/>
          <w:pgSz w:w="11906" w:h="16838"/>
          <w:pgMar w:top="1497" w:right="1576" w:bottom="1497" w:left="1576" w:header="851" w:footer="562" w:gutter="0"/>
          <w:pgNumType w:fmt="numberInDash" w:start="1"/>
          <w:cols w:space="720" w:num="1"/>
          <w:docGrid w:type="lines" w:linePitch="312" w:charSpace="0"/>
        </w:sectPr>
      </w:pPr>
      <w:r>
        <w:rPr>
          <w:rFonts w:hint="eastAsia" w:ascii="宋体" w:hAnsi="宋体" w:cs="宋体"/>
          <w:sz w:val="24"/>
          <w:szCs w:val="24"/>
        </w:rPr>
        <w:t xml:space="preserve">签订日期：   年   月   日 </w:t>
      </w:r>
    </w:p>
    <w:p>
      <w:pPr>
        <w:widowControl/>
        <w:spacing w:after="0" w:line="560" w:lineRule="exact"/>
        <w:ind w:left="0"/>
        <w:jc w:val="left"/>
        <w:rPr>
          <w:rFonts w:ascii="方正小标宋简体" w:eastAsia="方正小标宋简体"/>
          <w:sz w:val="44"/>
          <w:szCs w:val="44"/>
        </w:rPr>
      </w:pPr>
      <w:r>
        <w:rPr>
          <w:rFonts w:hint="eastAsia" w:ascii="宋体" w:hAnsi="宋体" w:cs="宋体"/>
          <w:b/>
          <w:bCs/>
          <w:sz w:val="24"/>
          <w:szCs w:val="24"/>
        </w:rPr>
        <w:t xml:space="preserve">附件1：   </w:t>
      </w:r>
      <w:r>
        <w:rPr>
          <w:rFonts w:ascii="方正小标宋简体" w:eastAsia="方正小标宋简体"/>
          <w:sz w:val="44"/>
          <w:szCs w:val="44"/>
        </w:rPr>
        <w:t xml:space="preserve"> </w:t>
      </w:r>
    </w:p>
    <w:p>
      <w:pPr>
        <w:pStyle w:val="2"/>
        <w:ind w:left="0"/>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评估委托清单明细</w:t>
      </w:r>
    </w:p>
    <w:p>
      <w:pPr>
        <w:pStyle w:val="3"/>
        <w:spacing w:after="0" w:line="560" w:lineRule="exact"/>
        <w:ind w:left="0" w:leftChars="0" w:firstLine="640" w:firstLineChars="200"/>
        <w:jc w:val="left"/>
        <w:rPr>
          <w:rFonts w:ascii="黑体" w:hAnsi="黑体" w:eastAsia="黑体"/>
          <w:sz w:val="32"/>
          <w:szCs w:val="32"/>
        </w:rPr>
      </w:pPr>
      <w:r>
        <w:rPr>
          <w:rFonts w:hint="eastAsia" w:ascii="黑体" w:hAnsi="黑体" w:eastAsia="黑体"/>
          <w:sz w:val="32"/>
          <w:szCs w:val="32"/>
        </w:rPr>
        <w:t>一、评估范围和评估对象</w:t>
      </w:r>
    </w:p>
    <w:tbl>
      <w:tblPr>
        <w:tblStyle w:val="14"/>
        <w:tblW w:w="5000" w:type="pct"/>
        <w:tblInd w:w="0" w:type="dxa"/>
        <w:tblLayout w:type="autofit"/>
        <w:tblCellMar>
          <w:top w:w="0" w:type="dxa"/>
          <w:left w:w="108" w:type="dxa"/>
          <w:bottom w:w="0" w:type="dxa"/>
          <w:right w:w="108" w:type="dxa"/>
        </w:tblCellMar>
      </w:tblPr>
      <w:tblGrid>
        <w:gridCol w:w="578"/>
        <w:gridCol w:w="806"/>
        <w:gridCol w:w="709"/>
        <w:gridCol w:w="1275"/>
        <w:gridCol w:w="1461"/>
        <w:gridCol w:w="1231"/>
        <w:gridCol w:w="1231"/>
        <w:gridCol w:w="1231"/>
      </w:tblGrid>
      <w:tr>
        <w:tblPrEx>
          <w:tblCellMar>
            <w:top w:w="0" w:type="dxa"/>
            <w:left w:w="108" w:type="dxa"/>
            <w:bottom w:w="0" w:type="dxa"/>
            <w:right w:w="108" w:type="dxa"/>
          </w:tblCellMar>
        </w:tblPrEx>
        <w:trPr>
          <w:trHeight w:val="624" w:hRule="atLeast"/>
        </w:trPr>
        <w:tc>
          <w:tcPr>
            <w:tcW w:w="3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序号</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委托单位</w:t>
            </w:r>
          </w:p>
        </w:tc>
        <w:tc>
          <w:tcPr>
            <w:tcW w:w="4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物业名称</w:t>
            </w:r>
          </w:p>
        </w:tc>
        <w:tc>
          <w:tcPr>
            <w:tcW w:w="160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占地面积(</w:t>
            </w:r>
            <w:r>
              <w:rPr>
                <w:rFonts w:hint="eastAsia" w:ascii="宋体" w:hAnsi="宋体" w:cs="宋体"/>
                <w:b/>
                <w:bCs/>
                <w:color w:val="000000"/>
                <w:kern w:val="0"/>
                <w:szCs w:val="21"/>
              </w:rPr>
              <w:t>㎡</w:t>
            </w:r>
            <w:r>
              <w:rPr>
                <w:rFonts w:hint="eastAsia" w:ascii="仿宋_GB2312" w:hAnsi="宋体" w:eastAsia="仿宋_GB2312" w:cs="宋体"/>
                <w:b/>
                <w:bCs/>
                <w:color w:val="000000"/>
                <w:kern w:val="0"/>
                <w:szCs w:val="21"/>
              </w:rPr>
              <w:t>)</w:t>
            </w:r>
          </w:p>
        </w:tc>
        <w:tc>
          <w:tcPr>
            <w:tcW w:w="1444"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建筑面积(</w:t>
            </w:r>
            <w:r>
              <w:rPr>
                <w:rFonts w:hint="eastAsia" w:ascii="宋体" w:hAnsi="宋体" w:cs="宋体"/>
                <w:b/>
                <w:bCs/>
                <w:color w:val="000000"/>
                <w:kern w:val="0"/>
                <w:szCs w:val="21"/>
              </w:rPr>
              <w:t>㎡</w:t>
            </w:r>
            <w:r>
              <w:rPr>
                <w:rFonts w:hint="eastAsia" w:ascii="仿宋_GB2312" w:hAnsi="宋体" w:eastAsia="仿宋_GB2312" w:cs="宋体"/>
                <w:b/>
                <w:bCs/>
                <w:color w:val="000000"/>
                <w:kern w:val="0"/>
                <w:szCs w:val="21"/>
              </w:rPr>
              <w:t>)</w:t>
            </w:r>
          </w:p>
        </w:tc>
        <w:tc>
          <w:tcPr>
            <w:tcW w:w="7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地址</w:t>
            </w:r>
          </w:p>
        </w:tc>
      </w:tr>
      <w:tr>
        <w:tblPrEx>
          <w:tblCellMar>
            <w:top w:w="0" w:type="dxa"/>
            <w:left w:w="108" w:type="dxa"/>
            <w:bottom w:w="0" w:type="dxa"/>
            <w:right w:w="108" w:type="dxa"/>
          </w:tblCellMar>
        </w:tblPrEx>
        <w:trPr>
          <w:trHeight w:val="624" w:hRule="atLeast"/>
        </w:trPr>
        <w:tc>
          <w:tcPr>
            <w:tcW w:w="340"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left="0"/>
              <w:jc w:val="left"/>
              <w:rPr>
                <w:rFonts w:ascii="仿宋_GB2312" w:hAnsi="宋体" w:eastAsia="仿宋_GB2312" w:cs="宋体"/>
                <w:b/>
                <w:bCs/>
                <w:color w:val="000000"/>
                <w:kern w:val="0"/>
                <w:szCs w:val="21"/>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left="0"/>
              <w:jc w:val="left"/>
              <w:rPr>
                <w:rFonts w:ascii="仿宋_GB2312" w:hAnsi="宋体" w:eastAsia="仿宋_GB2312" w:cs="宋体"/>
                <w:b/>
                <w:bCs/>
                <w:color w:val="000000"/>
                <w:kern w:val="0"/>
                <w:szCs w:val="21"/>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left="0"/>
              <w:jc w:val="left"/>
              <w:rPr>
                <w:rFonts w:ascii="仿宋_GB2312" w:hAnsi="宋体" w:eastAsia="仿宋_GB2312" w:cs="宋体"/>
                <w:b/>
                <w:bCs/>
                <w:color w:val="FF0000"/>
                <w:kern w:val="0"/>
                <w:szCs w:val="21"/>
              </w:rPr>
            </w:pPr>
          </w:p>
        </w:tc>
        <w:tc>
          <w:tcPr>
            <w:tcW w:w="748" w:type="pct"/>
            <w:tcBorders>
              <w:top w:val="nil"/>
              <w:left w:val="nil"/>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总量面积(</w:t>
            </w:r>
            <w:r>
              <w:rPr>
                <w:rFonts w:hint="eastAsia" w:ascii="宋体" w:hAnsi="宋体" w:cs="宋体"/>
                <w:b/>
                <w:bCs/>
                <w:color w:val="000000"/>
                <w:kern w:val="0"/>
                <w:szCs w:val="21"/>
              </w:rPr>
              <w:t>㎡</w:t>
            </w:r>
            <w:r>
              <w:rPr>
                <w:rFonts w:hint="eastAsia" w:ascii="仿宋_GB2312" w:hAnsi="宋体" w:eastAsia="仿宋_GB2312" w:cs="宋体"/>
                <w:b/>
                <w:bCs/>
                <w:color w:val="000000"/>
                <w:kern w:val="0"/>
                <w:szCs w:val="21"/>
              </w:rPr>
              <w:t>)</w:t>
            </w:r>
          </w:p>
        </w:tc>
        <w:tc>
          <w:tcPr>
            <w:tcW w:w="857" w:type="pct"/>
            <w:tcBorders>
              <w:top w:val="nil"/>
              <w:left w:val="nil"/>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拟评估空地面积(</w:t>
            </w:r>
            <w:r>
              <w:rPr>
                <w:rFonts w:hint="eastAsia" w:ascii="宋体" w:hAnsi="宋体" w:cs="宋体"/>
                <w:b/>
                <w:bCs/>
                <w:color w:val="000000"/>
                <w:kern w:val="0"/>
                <w:szCs w:val="21"/>
              </w:rPr>
              <w:t>㎡</w:t>
            </w:r>
            <w:r>
              <w:rPr>
                <w:rFonts w:hint="eastAsia" w:ascii="仿宋_GB2312" w:hAnsi="宋体" w:eastAsia="仿宋_GB2312" w:cs="宋体"/>
                <w:b/>
                <w:bCs/>
                <w:color w:val="000000"/>
                <w:kern w:val="0"/>
                <w:szCs w:val="21"/>
              </w:rPr>
              <w:t>)</w:t>
            </w:r>
          </w:p>
        </w:tc>
        <w:tc>
          <w:tcPr>
            <w:tcW w:w="722" w:type="pct"/>
            <w:tcBorders>
              <w:top w:val="nil"/>
              <w:left w:val="nil"/>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总量面积(</w:t>
            </w:r>
            <w:r>
              <w:rPr>
                <w:rFonts w:hint="eastAsia" w:ascii="宋体" w:hAnsi="宋体" w:cs="宋体"/>
                <w:b/>
                <w:bCs/>
                <w:color w:val="000000"/>
                <w:kern w:val="0"/>
                <w:szCs w:val="21"/>
              </w:rPr>
              <w:t>㎡</w:t>
            </w:r>
            <w:r>
              <w:rPr>
                <w:rFonts w:hint="eastAsia" w:ascii="仿宋_GB2312" w:hAnsi="宋体" w:eastAsia="仿宋_GB2312" w:cs="宋体"/>
                <w:b/>
                <w:bCs/>
                <w:color w:val="000000"/>
                <w:kern w:val="0"/>
                <w:szCs w:val="21"/>
              </w:rPr>
              <w:t>)</w:t>
            </w:r>
          </w:p>
        </w:tc>
        <w:tc>
          <w:tcPr>
            <w:tcW w:w="722" w:type="pct"/>
            <w:tcBorders>
              <w:top w:val="nil"/>
              <w:left w:val="nil"/>
              <w:bottom w:val="single" w:color="auto" w:sz="4" w:space="0"/>
              <w:right w:val="single" w:color="auto" w:sz="4" w:space="0"/>
            </w:tcBorders>
            <w:shd w:val="clear" w:color="auto" w:fill="auto"/>
            <w:vAlign w:val="center"/>
          </w:tcPr>
          <w:p>
            <w:pPr>
              <w:widowControl/>
              <w:spacing w:after="0" w:line="240" w:lineRule="auto"/>
              <w:ind w:left="0"/>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拟评估面积(</w:t>
            </w:r>
            <w:r>
              <w:rPr>
                <w:rFonts w:hint="eastAsia" w:ascii="宋体" w:hAnsi="宋体" w:cs="宋体"/>
                <w:b/>
                <w:bCs/>
                <w:color w:val="000000"/>
                <w:kern w:val="0"/>
                <w:szCs w:val="21"/>
              </w:rPr>
              <w:t>㎡</w:t>
            </w:r>
            <w:r>
              <w:rPr>
                <w:rFonts w:hint="eastAsia" w:ascii="仿宋_GB2312" w:hAnsi="宋体" w:eastAsia="仿宋_GB2312" w:cs="宋体"/>
                <w:b/>
                <w:bCs/>
                <w:color w:val="000000"/>
                <w:kern w:val="0"/>
                <w:szCs w:val="21"/>
              </w:rPr>
              <w:t>)</w:t>
            </w:r>
          </w:p>
        </w:tc>
        <w:tc>
          <w:tcPr>
            <w:tcW w:w="722" w:type="pct"/>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left="0"/>
              <w:jc w:val="left"/>
              <w:rPr>
                <w:rFonts w:ascii="仿宋_GB2312" w:hAnsi="宋体" w:eastAsia="仿宋_GB2312" w:cs="宋体"/>
                <w:b/>
                <w:bCs/>
                <w:color w:val="000000"/>
                <w:kern w:val="0"/>
                <w:szCs w:val="21"/>
              </w:rPr>
            </w:pP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ind w:left="0"/>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ind w:left="0"/>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ind w:left="0"/>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ind w:left="0"/>
              <w:jc w:val="center"/>
              <w:rPr>
                <w:rFonts w:ascii="宋体" w:hAnsi="宋体" w:cs="宋体"/>
                <w:color w:val="000000"/>
                <w:kern w:val="0"/>
                <w:sz w:val="22"/>
                <w:szCs w:val="22"/>
              </w:rPr>
            </w:pP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ind w:left="0"/>
              <w:jc w:val="center"/>
              <w:rPr>
                <w:rFonts w:ascii="宋体" w:hAnsi="宋体" w:cs="宋体"/>
                <w:color w:val="000000"/>
                <w:kern w:val="0"/>
                <w:sz w:val="22"/>
                <w:szCs w:val="22"/>
              </w:rPr>
            </w:pP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ind w:left="0"/>
              <w:jc w:val="center"/>
              <w:rPr>
                <w:rFonts w:ascii="宋体" w:hAnsi="宋体" w:cs="宋体"/>
                <w:color w:val="000000"/>
                <w:kern w:val="0"/>
                <w:sz w:val="22"/>
                <w:szCs w:val="22"/>
              </w:rPr>
            </w:pP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trPr>
        <w:tc>
          <w:tcPr>
            <w:tcW w:w="340" w:type="pct"/>
            <w:tcBorders>
              <w:top w:val="nil"/>
              <w:left w:val="single" w:color="auto" w:sz="4" w:space="0"/>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73"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6"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48"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7"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22" w:type="pct"/>
            <w:tcBorders>
              <w:top w:val="nil"/>
              <w:left w:val="nil"/>
              <w:bottom w:val="single" w:color="auto" w:sz="4" w:space="0"/>
              <w:right w:val="single" w:color="auto" w:sz="4" w:space="0"/>
            </w:tcBorders>
            <w:shd w:val="clear" w:color="auto" w:fill="auto"/>
            <w:noWrap/>
            <w:vAlign w:val="bottom"/>
          </w:tcPr>
          <w:p>
            <w:pPr>
              <w:widowControl/>
              <w:spacing w:after="0" w:line="240" w:lineRule="auto"/>
              <w:ind w:left="0"/>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3"/>
        <w:spacing w:after="0" w:line="560" w:lineRule="exact"/>
        <w:ind w:left="0" w:leftChars="0" w:firstLine="640" w:firstLineChars="200"/>
        <w:jc w:val="left"/>
        <w:rPr>
          <w:rFonts w:ascii="黑体" w:hAnsi="黑体" w:eastAsia="黑体"/>
          <w:sz w:val="32"/>
          <w:szCs w:val="32"/>
        </w:rPr>
      </w:pPr>
      <w:r>
        <w:rPr>
          <w:rFonts w:hint="eastAsia" w:ascii="黑体" w:hAnsi="黑体" w:eastAsia="黑体"/>
          <w:sz w:val="32"/>
          <w:szCs w:val="32"/>
        </w:rPr>
        <w:t>二、委托评估的有关约定或特别说明：</w:t>
      </w:r>
    </w:p>
    <w:p>
      <w:pPr>
        <w:spacing w:after="0" w:line="560" w:lineRule="exact"/>
        <w:ind w:left="0" w:firstLine="640" w:firstLineChars="200"/>
        <w:rPr>
          <w:rFonts w:ascii="仿宋_GB2312" w:eastAsia="仿宋_GB2312"/>
          <w:sz w:val="32"/>
          <w:szCs w:val="32"/>
        </w:rPr>
      </w:pPr>
      <w:r>
        <w:rPr>
          <w:rFonts w:hint="eastAsia" w:ascii="仿宋_GB2312" w:eastAsia="仿宋_GB2312"/>
          <w:sz w:val="32"/>
          <w:szCs w:val="32"/>
        </w:rPr>
        <w:t>1、XX</w:t>
      </w:r>
    </w:p>
    <w:p>
      <w:pPr>
        <w:spacing w:after="0" w:line="560" w:lineRule="exact"/>
        <w:ind w:left="0" w:firstLine="640" w:firstLineChars="200"/>
        <w:rPr>
          <w:rFonts w:ascii="仿宋_GB2312" w:eastAsia="仿宋_GB2312"/>
          <w:sz w:val="32"/>
          <w:szCs w:val="32"/>
        </w:rPr>
      </w:pPr>
      <w:r>
        <w:rPr>
          <w:rFonts w:hint="eastAsia" w:ascii="仿宋_GB2312" w:eastAsia="仿宋_GB2312"/>
          <w:sz w:val="32"/>
          <w:szCs w:val="32"/>
        </w:rPr>
        <w:t>2、XX</w:t>
      </w:r>
    </w:p>
    <w:p>
      <w:pPr>
        <w:pStyle w:val="2"/>
      </w:pPr>
    </w:p>
    <w:p>
      <w:pPr>
        <w:widowControl/>
        <w:spacing w:after="0" w:line="560" w:lineRule="exact"/>
        <w:ind w:left="0"/>
        <w:jc w:val="left"/>
        <w:rPr>
          <w:rFonts w:ascii="宋体" w:hAnsi="宋体" w:cs="宋体"/>
          <w:b/>
          <w:bCs/>
          <w:sz w:val="24"/>
          <w:szCs w:val="24"/>
        </w:rPr>
        <w:sectPr>
          <w:pgSz w:w="11906" w:h="16838"/>
          <w:pgMar w:top="1440" w:right="1800" w:bottom="1440" w:left="1800" w:header="851" w:footer="562" w:gutter="0"/>
          <w:pgNumType w:fmt="numberInDash"/>
          <w:cols w:space="720" w:num="1"/>
          <w:docGrid w:type="lines" w:linePitch="312" w:charSpace="0"/>
        </w:sectPr>
      </w:pPr>
    </w:p>
    <w:p>
      <w:pPr>
        <w:spacing w:after="0" w:line="560" w:lineRule="exact"/>
        <w:ind w:left="0"/>
        <w:rPr>
          <w:rFonts w:hint="eastAsia" w:ascii="宋体" w:hAnsi="宋体" w:cs="宋体"/>
          <w:sz w:val="24"/>
          <w:szCs w:val="24"/>
        </w:rPr>
      </w:pPr>
      <w:r>
        <w:rPr>
          <w:rFonts w:hint="eastAsia" w:ascii="宋体" w:hAnsi="宋体" w:cs="宋体"/>
          <w:sz w:val="24"/>
          <w:szCs w:val="24"/>
        </w:rPr>
        <w:t>附件2：履约评价表</w:t>
      </w:r>
    </w:p>
    <w:tbl>
      <w:tblPr>
        <w:tblStyle w:val="14"/>
        <w:tblW w:w="0" w:type="auto"/>
        <w:tblInd w:w="0" w:type="dxa"/>
        <w:tblLayout w:type="fixed"/>
        <w:tblCellMar>
          <w:top w:w="0" w:type="dxa"/>
          <w:left w:w="0" w:type="dxa"/>
          <w:bottom w:w="0" w:type="dxa"/>
          <w:right w:w="0" w:type="dxa"/>
        </w:tblCellMar>
      </w:tblPr>
      <w:tblGrid>
        <w:gridCol w:w="652"/>
        <w:gridCol w:w="724"/>
        <w:gridCol w:w="635"/>
        <w:gridCol w:w="776"/>
        <w:gridCol w:w="636"/>
        <w:gridCol w:w="3213"/>
        <w:gridCol w:w="1020"/>
        <w:gridCol w:w="765"/>
      </w:tblGrid>
      <w:tr>
        <w:tblPrEx>
          <w:tblCellMar>
            <w:top w:w="0" w:type="dxa"/>
            <w:left w:w="0" w:type="dxa"/>
            <w:bottom w:w="0" w:type="dxa"/>
            <w:right w:w="0" w:type="dxa"/>
          </w:tblCellMar>
        </w:tblPrEx>
        <w:trPr>
          <w:trHeight w:val="732" w:hRule="atLeast"/>
        </w:trPr>
        <w:tc>
          <w:tcPr>
            <w:tcW w:w="8421"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left="0"/>
              <w:jc w:val="center"/>
              <w:textAlignment w:val="center"/>
              <w:rPr>
                <w:rFonts w:hint="eastAsia" w:ascii="黑体" w:hAnsi="宋体" w:eastAsia="黑体" w:cs="黑体"/>
                <w:b/>
                <w:color w:val="auto"/>
                <w:sz w:val="36"/>
                <w:szCs w:val="36"/>
              </w:rPr>
            </w:pPr>
            <w:r>
              <w:rPr>
                <w:rFonts w:hint="eastAsia" w:ascii="黑体" w:hAnsi="宋体" w:eastAsia="黑体" w:cs="黑体"/>
                <w:b/>
                <w:color w:val="auto"/>
                <w:kern w:val="0"/>
                <w:sz w:val="28"/>
                <w:szCs w:val="28"/>
                <w:lang w:bidi="ar"/>
              </w:rPr>
              <w:t>技术服务类节点履约评价评分标准表</w:t>
            </w:r>
            <w:r>
              <w:rPr>
                <w:rFonts w:hint="eastAsia" w:ascii="黑体" w:hAnsi="宋体" w:eastAsia="黑体" w:cs="黑体"/>
                <w:b/>
                <w:color w:val="auto"/>
                <w:kern w:val="0"/>
                <w:sz w:val="28"/>
                <w:szCs w:val="28"/>
                <w:lang w:bidi="ar"/>
              </w:rPr>
              <w:br w:type="textWrapping"/>
            </w:r>
          </w:p>
        </w:tc>
      </w:tr>
      <w:tr>
        <w:tblPrEx>
          <w:tblCellMar>
            <w:top w:w="0" w:type="dxa"/>
            <w:left w:w="0" w:type="dxa"/>
            <w:bottom w:w="0" w:type="dxa"/>
            <w:right w:w="0" w:type="dxa"/>
          </w:tblCellMar>
        </w:tblPrEx>
        <w:trPr>
          <w:trHeight w:val="800" w:hRule="atLeast"/>
        </w:trPr>
        <w:tc>
          <w:tcPr>
            <w:tcW w:w="8421"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ind w:left="0"/>
              <w:jc w:val="left"/>
              <w:textAlignment w:val="center"/>
              <w:rPr>
                <w:rFonts w:hint="eastAsia" w:ascii="黑体" w:hAnsi="宋体" w:eastAsia="黑体" w:cs="黑体"/>
                <w:b/>
                <w:color w:val="auto"/>
                <w:sz w:val="24"/>
                <w:szCs w:val="24"/>
              </w:rPr>
            </w:pPr>
            <w:r>
              <w:rPr>
                <w:rFonts w:hint="eastAsia" w:ascii="黑体" w:hAnsi="宋体" w:eastAsia="黑体" w:cs="黑体"/>
                <w:b/>
                <w:color w:val="auto"/>
                <w:kern w:val="0"/>
                <w:sz w:val="24"/>
                <w:szCs w:val="24"/>
                <w:lang w:val="en-US" w:eastAsia="zh-CN" w:bidi="ar"/>
              </w:rPr>
              <w:t>项目</w:t>
            </w:r>
            <w:r>
              <w:rPr>
                <w:rFonts w:hint="eastAsia" w:ascii="黑体" w:hAnsi="宋体" w:eastAsia="黑体" w:cs="黑体"/>
                <w:b/>
                <w:color w:val="auto"/>
                <w:kern w:val="0"/>
                <w:sz w:val="24"/>
                <w:szCs w:val="24"/>
                <w:lang w:bidi="ar"/>
              </w:rPr>
              <w:t xml:space="preserve">名称：                          履约单位：                 </w:t>
            </w:r>
            <w:r>
              <w:rPr>
                <w:rFonts w:hint="eastAsia" w:ascii="黑体" w:hAnsi="宋体" w:eastAsia="黑体" w:cs="黑体"/>
                <w:b/>
                <w:color w:val="auto"/>
                <w:kern w:val="0"/>
                <w:sz w:val="24"/>
                <w:szCs w:val="24"/>
                <w:lang w:bidi="ar"/>
              </w:rPr>
              <w:br w:type="textWrapping"/>
            </w:r>
            <w:r>
              <w:rPr>
                <w:rFonts w:hint="eastAsia" w:ascii="黑体" w:hAnsi="宋体" w:eastAsia="黑体" w:cs="黑体"/>
                <w:b/>
                <w:color w:val="auto"/>
                <w:kern w:val="0"/>
                <w:sz w:val="24"/>
                <w:szCs w:val="24"/>
                <w:lang w:bidi="ar"/>
              </w:rPr>
              <w:t>评价人员：                          评价时间：</w:t>
            </w:r>
          </w:p>
        </w:tc>
      </w:tr>
      <w:tr>
        <w:tblPrEx>
          <w:tblCellMar>
            <w:top w:w="0" w:type="dxa"/>
            <w:left w:w="0" w:type="dxa"/>
            <w:bottom w:w="0" w:type="dxa"/>
            <w:right w:w="0" w:type="dxa"/>
          </w:tblCellMar>
        </w:tblPrEx>
        <w:trPr>
          <w:trHeight w:val="1047" w:hRule="atLeast"/>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序号</w:t>
            </w: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一级指标名称</w:t>
            </w: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一级指标权重分值</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二级指标名称</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二级指标权重分值</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考核要素</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履约率</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得分</w:t>
            </w:r>
          </w:p>
        </w:tc>
      </w:tr>
      <w:tr>
        <w:tblPrEx>
          <w:tblCellMar>
            <w:top w:w="0" w:type="dxa"/>
            <w:left w:w="0" w:type="dxa"/>
            <w:bottom w:w="0" w:type="dxa"/>
            <w:right w:w="0" w:type="dxa"/>
          </w:tblCellMar>
        </w:tblPrEx>
        <w:trPr>
          <w:trHeight w:val="1180" w:hRule="atLeast"/>
        </w:trPr>
        <w:tc>
          <w:tcPr>
            <w:tcW w:w="6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一</w:t>
            </w:r>
          </w:p>
        </w:tc>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人员配备</w:t>
            </w:r>
          </w:p>
        </w:tc>
        <w:tc>
          <w:tcPr>
            <w:tcW w:w="6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项目负责人</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8</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配备固定的项目负责人且该负责人具有高度责任心、良好的组织协调能力和专业的业务水平。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885" w:hRule="atLeast"/>
        </w:trPr>
        <w:tc>
          <w:tcPr>
            <w:tcW w:w="6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专业人员</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7</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配备的人员数量、专业满足合同及招标文件的要求。</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790" w:hRule="atLeast"/>
        </w:trPr>
        <w:tc>
          <w:tcPr>
            <w:tcW w:w="65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二</w:t>
            </w:r>
          </w:p>
        </w:tc>
        <w:tc>
          <w:tcPr>
            <w:tcW w:w="7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履约质量</w:t>
            </w:r>
          </w:p>
        </w:tc>
        <w:tc>
          <w:tcPr>
            <w:tcW w:w="6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50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履约质量</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按合同及相关标准规范开展工作。</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1240" w:hRule="atLeast"/>
        </w:trPr>
        <w:tc>
          <w:tcPr>
            <w:tcW w:w="652"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6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履约成果</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成果文件完全满足合同要求，成果质量全面、准确、完整；严格按照现场有关规定开展工作；资料档案及时留存。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848" w:hRule="atLeast"/>
        </w:trPr>
        <w:tc>
          <w:tcPr>
            <w:tcW w:w="65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三</w:t>
            </w:r>
          </w:p>
        </w:tc>
        <w:tc>
          <w:tcPr>
            <w:tcW w:w="7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履约进度</w:t>
            </w:r>
          </w:p>
        </w:tc>
        <w:tc>
          <w:tcPr>
            <w:tcW w:w="6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进度控制</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15</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按照合同要求完成合同工作提交成果资料。</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1260" w:hRule="atLeast"/>
        </w:trPr>
        <w:tc>
          <w:tcPr>
            <w:tcW w:w="65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四</w:t>
            </w:r>
          </w:p>
        </w:tc>
        <w:tc>
          <w:tcPr>
            <w:tcW w:w="7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配合与协调</w:t>
            </w:r>
          </w:p>
        </w:tc>
        <w:tc>
          <w:tcPr>
            <w:tcW w:w="6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廉政责任落实</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按照签订的《投标人廉政责任承诺书》、《</w:t>
            </w:r>
            <w:r>
              <w:rPr>
                <w:rFonts w:hint="eastAsia" w:ascii="宋体" w:hAnsi="宋体" w:cs="宋体"/>
                <w:color w:val="auto"/>
                <w:kern w:val="0"/>
                <w:sz w:val="20"/>
                <w:szCs w:val="20"/>
                <w:lang w:val="en-US" w:eastAsia="zh-CN" w:bidi="ar"/>
              </w:rPr>
              <w:t>龙岗区进一步规范政商交往行为告知书</w:t>
            </w:r>
            <w:r>
              <w:rPr>
                <w:rFonts w:hint="eastAsia" w:ascii="宋体" w:hAnsi="宋体" w:eastAsia="宋体" w:cs="宋体"/>
                <w:color w:val="auto"/>
                <w:kern w:val="0"/>
                <w:sz w:val="20"/>
                <w:szCs w:val="20"/>
                <w:lang w:bidi="ar"/>
              </w:rPr>
              <w:t>》落实，若任一条款未落实的，履约率均被判定0%。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left"/>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1185" w:hRule="atLeast"/>
        </w:trPr>
        <w:tc>
          <w:tcPr>
            <w:tcW w:w="65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6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配合协调</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left"/>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积极配合发包单位及其他外部单位工作，积极推动项目进展，能够沟通协调各项问题。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line="240" w:lineRule="auto"/>
              <w:ind w:left="0"/>
              <w:jc w:val="center"/>
              <w:rPr>
                <w:rFonts w:hint="eastAsia" w:ascii="宋体" w:hAnsi="宋体" w:eastAsia="宋体" w:cs="宋体"/>
                <w:color w:val="auto"/>
                <w:sz w:val="20"/>
                <w:szCs w:val="20"/>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宋体" w:hAnsi="宋体" w:eastAsia="宋体" w:cs="宋体"/>
                <w:color w:val="auto"/>
                <w:sz w:val="20"/>
                <w:szCs w:val="20"/>
              </w:rPr>
            </w:pPr>
          </w:p>
        </w:tc>
      </w:tr>
      <w:tr>
        <w:tblPrEx>
          <w:tblCellMar>
            <w:top w:w="0" w:type="dxa"/>
            <w:left w:w="0" w:type="dxa"/>
            <w:bottom w:w="0" w:type="dxa"/>
            <w:right w:w="0" w:type="dxa"/>
          </w:tblCellMar>
        </w:tblPrEx>
        <w:trPr>
          <w:trHeight w:val="1390" w:hRule="atLeast"/>
        </w:trPr>
        <w:tc>
          <w:tcPr>
            <w:tcW w:w="278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黑体" w:hAnsi="宋体" w:eastAsia="黑体" w:cs="黑体"/>
                <w:color w:val="auto"/>
                <w:sz w:val="20"/>
                <w:szCs w:val="20"/>
              </w:rPr>
            </w:pPr>
            <w:r>
              <w:rPr>
                <w:rFonts w:hint="eastAsia" w:ascii="黑体" w:hAnsi="宋体" w:eastAsia="黑体" w:cs="黑体"/>
                <w:color w:val="auto"/>
                <w:kern w:val="0"/>
                <w:sz w:val="20"/>
                <w:szCs w:val="20"/>
                <w:lang w:bidi="ar"/>
              </w:rPr>
              <w:t>总分</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黑体" w:hAnsi="宋体" w:eastAsia="黑体" w:cs="黑体"/>
                <w:color w:val="auto"/>
                <w:sz w:val="20"/>
                <w:szCs w:val="20"/>
              </w:rPr>
            </w:pPr>
            <w:r>
              <w:rPr>
                <w:rFonts w:hint="eastAsia" w:ascii="黑体" w:hAnsi="宋体" w:eastAsia="黑体" w:cs="黑体"/>
                <w:color w:val="auto"/>
                <w:kern w:val="0"/>
                <w:sz w:val="20"/>
                <w:szCs w:val="20"/>
                <w:lang w:bidi="ar"/>
              </w:rPr>
              <w:t>100</w:t>
            </w:r>
          </w:p>
        </w:tc>
        <w:tc>
          <w:tcPr>
            <w:tcW w:w="4233"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after="0" w:line="240" w:lineRule="auto"/>
              <w:ind w:left="0"/>
              <w:jc w:val="left"/>
              <w:textAlignment w:val="center"/>
              <w:rPr>
                <w:rFonts w:hint="eastAsia" w:ascii="黑体" w:hAnsi="宋体" w:eastAsia="黑体" w:cs="黑体"/>
                <w:color w:val="auto"/>
                <w:sz w:val="20"/>
                <w:szCs w:val="20"/>
              </w:rPr>
            </w:pPr>
            <w:r>
              <w:rPr>
                <w:rFonts w:hint="eastAsia" w:ascii="黑体" w:hAnsi="宋体" w:eastAsia="黑体" w:cs="黑体"/>
                <w:color w:val="auto"/>
                <w:kern w:val="0"/>
                <w:sz w:val="20"/>
                <w:szCs w:val="20"/>
                <w:lang w:bidi="ar"/>
              </w:rPr>
              <w:t>单项二级实际得分=二级指标履约率×指标权重分值；</w:t>
            </w:r>
            <w:r>
              <w:rPr>
                <w:rFonts w:hint="eastAsia" w:ascii="黑体" w:hAnsi="宋体" w:eastAsia="黑体" w:cs="黑体"/>
                <w:color w:val="auto"/>
                <w:kern w:val="0"/>
                <w:sz w:val="20"/>
                <w:szCs w:val="20"/>
                <w:lang w:bidi="ar"/>
              </w:rPr>
              <w:br w:type="textWrapping"/>
            </w:r>
            <w:r>
              <w:rPr>
                <w:rFonts w:hint="eastAsia" w:ascii="黑体" w:hAnsi="宋体" w:eastAsia="黑体" w:cs="黑体"/>
                <w:color w:val="auto"/>
                <w:kern w:val="0"/>
                <w:sz w:val="20"/>
                <w:szCs w:val="20"/>
                <w:lang w:bidi="ar"/>
              </w:rPr>
              <w:t>最终得分=∑各二级指标实际得分/∑各二级指标权重分值×100</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0" w:line="240" w:lineRule="auto"/>
              <w:ind w:left="0"/>
              <w:jc w:val="center"/>
              <w:textAlignment w:val="center"/>
              <w:rPr>
                <w:rFonts w:hint="eastAsia" w:ascii="黑体" w:hAnsi="宋体" w:eastAsia="黑体" w:cs="黑体"/>
                <w:color w:val="auto"/>
                <w:sz w:val="20"/>
                <w:szCs w:val="20"/>
              </w:rPr>
            </w:pPr>
          </w:p>
        </w:tc>
      </w:tr>
    </w:tbl>
    <w:p>
      <w:pPr>
        <w:pStyle w:val="2"/>
        <w:ind w:left="0"/>
        <w:rPr>
          <w:rFonts w:hint="eastAsia" w:ascii="宋体" w:hAnsi="宋体" w:cs="宋体"/>
          <w:sz w:val="24"/>
          <w:szCs w:val="24"/>
        </w:rPr>
      </w:pPr>
    </w:p>
    <w:p>
      <w:pPr>
        <w:pStyle w:val="3"/>
        <w:rPr>
          <w:rFonts w:hint="eastAsia" w:ascii="宋体" w:hAnsi="宋体" w:cs="宋体"/>
          <w:sz w:val="24"/>
          <w:szCs w:val="24"/>
        </w:rPr>
      </w:pPr>
    </w:p>
    <w:p>
      <w:pPr>
        <w:spacing w:after="0" w:line="240" w:lineRule="auto"/>
        <w:ind w:left="0"/>
        <w:rPr>
          <w:rFonts w:hint="eastAsia" w:ascii="宋体" w:hAnsi="宋体" w:cs="宋体"/>
          <w:sz w:val="24"/>
          <w:szCs w:val="24"/>
        </w:rPr>
      </w:pPr>
      <w:r>
        <w:rPr>
          <w:rFonts w:hint="eastAsia" w:ascii="宋体" w:hAnsi="宋体" w:cs="宋体"/>
          <w:sz w:val="24"/>
          <w:szCs w:val="24"/>
        </w:rPr>
        <w:br w:type="page"/>
      </w:r>
    </w:p>
    <w:p>
      <w:pPr>
        <w:spacing w:after="0" w:line="560" w:lineRule="exact"/>
        <w:ind w:left="0"/>
        <w:rPr>
          <w:rFonts w:ascii="宋体" w:hAnsi="宋体" w:cs="宋体"/>
          <w:b/>
          <w:spacing w:val="20"/>
          <w:sz w:val="32"/>
          <w:szCs w:val="32"/>
        </w:rPr>
      </w:pPr>
      <w:r>
        <w:rPr>
          <w:rFonts w:hint="eastAsia" w:ascii="宋体" w:hAnsi="宋体" w:cs="宋体"/>
          <w:sz w:val="24"/>
          <w:szCs w:val="24"/>
        </w:rPr>
        <w:t>附件</w:t>
      </w:r>
      <w:r>
        <w:rPr>
          <w:rFonts w:hint="eastAsia" w:ascii="宋体" w:hAnsi="宋体" w:cs="宋体"/>
          <w:sz w:val="24"/>
          <w:szCs w:val="24"/>
          <w:lang w:val="en-US" w:eastAsia="zh-CN"/>
        </w:rPr>
        <w:t>3</w:t>
      </w:r>
      <w:r>
        <w:rPr>
          <w:rFonts w:hint="eastAsia" w:ascii="宋体" w:hAnsi="宋体" w:cs="宋体"/>
          <w:sz w:val="24"/>
          <w:szCs w:val="24"/>
        </w:rPr>
        <w:t xml:space="preserve">：                      </w:t>
      </w:r>
      <w:r>
        <w:rPr>
          <w:rFonts w:hint="eastAsia" w:ascii="宋体" w:hAnsi="宋体" w:cs="宋体"/>
          <w:b/>
          <w:spacing w:val="20"/>
          <w:sz w:val="32"/>
          <w:szCs w:val="32"/>
        </w:rPr>
        <w:t>廉洁协议</w:t>
      </w:r>
    </w:p>
    <w:p>
      <w:pPr>
        <w:pStyle w:val="30"/>
        <w:spacing w:line="500" w:lineRule="exact"/>
        <w:ind w:left="0"/>
        <w:rPr>
          <w:rFonts w:ascii="宋体" w:hAnsi="宋体" w:eastAsia="宋体" w:cs="宋体"/>
          <w:b/>
          <w:bCs/>
          <w:color w:val="auto"/>
          <w:sz w:val="24"/>
          <w:szCs w:val="24"/>
        </w:rPr>
      </w:pPr>
    </w:p>
    <w:p>
      <w:pPr>
        <w:pStyle w:val="30"/>
        <w:spacing w:after="0" w:line="560" w:lineRule="exact"/>
        <w:ind w:left="0"/>
        <w:rPr>
          <w:rFonts w:ascii="宋体" w:hAnsi="宋体" w:eastAsia="宋体" w:cs="宋体"/>
          <w:b/>
          <w:bCs/>
          <w:color w:val="auto"/>
          <w:sz w:val="24"/>
          <w:szCs w:val="24"/>
        </w:rPr>
      </w:pPr>
      <w:r>
        <w:rPr>
          <w:rFonts w:hint="eastAsia" w:ascii="宋体" w:hAnsi="宋体" w:eastAsia="宋体" w:cs="宋体"/>
          <w:b/>
          <w:bCs/>
          <w:color w:val="auto"/>
          <w:sz w:val="24"/>
          <w:szCs w:val="24"/>
        </w:rPr>
        <w:t>甲方：</w:t>
      </w:r>
      <w:r>
        <w:rPr>
          <w:rFonts w:hint="eastAsia" w:ascii="宋体" w:hAnsi="宋体" w:eastAsia="宋体" w:cs="宋体"/>
          <w:b/>
          <w:bCs/>
          <w:color w:val="auto"/>
          <w:sz w:val="24"/>
          <w:szCs w:val="24"/>
          <w:u w:val="single"/>
        </w:rPr>
        <w:t xml:space="preserve">                                 .</w:t>
      </w:r>
    </w:p>
    <w:p>
      <w:pPr>
        <w:widowControl/>
        <w:spacing w:after="0" w:line="560" w:lineRule="exact"/>
        <w:ind w:left="0"/>
        <w:rPr>
          <w:rFonts w:ascii="宋体" w:hAnsi="宋体" w:cs="宋体"/>
          <w:sz w:val="24"/>
          <w:szCs w:val="24"/>
        </w:rPr>
      </w:pPr>
      <w:r>
        <w:rPr>
          <w:rFonts w:hint="eastAsia" w:ascii="宋体" w:hAnsi="宋体" w:cs="宋体"/>
          <w:b/>
          <w:bCs/>
          <w:sz w:val="24"/>
          <w:szCs w:val="24"/>
        </w:rPr>
        <w:t>乙方：</w:t>
      </w:r>
      <w:r>
        <w:rPr>
          <w:rFonts w:hint="eastAsia" w:ascii="宋体" w:hAnsi="宋体" w:cs="宋体"/>
          <w:b/>
          <w:bCs/>
          <w:sz w:val="24"/>
          <w:szCs w:val="24"/>
          <w:u w:val="single"/>
        </w:rPr>
        <w:t xml:space="preserve">                                 .</w:t>
      </w:r>
      <w:r>
        <w:rPr>
          <w:rFonts w:hint="eastAsia" w:ascii="宋体" w:hAnsi="宋体" w:cs="宋体"/>
          <w:b/>
          <w:bCs/>
          <w:sz w:val="24"/>
          <w:szCs w:val="24"/>
        </w:rPr>
        <w:t xml:space="preserve"> </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甲乙双方为加强阳光合作，保证职员职业安全，甲乙双方经协商签</w:t>
      </w:r>
      <w:r>
        <w:rPr>
          <w:rFonts w:hint="eastAsia" w:ascii="宋体" w:hAnsi="宋体" w:cs="宋体"/>
          <w:sz w:val="24"/>
          <w:szCs w:val="24"/>
          <w:lang w:eastAsia="zh-CN"/>
        </w:rPr>
        <w:t>订</w:t>
      </w:r>
      <w:bookmarkStart w:id="0" w:name="_GoBack"/>
      <w:bookmarkEnd w:id="0"/>
      <w:r>
        <w:rPr>
          <w:rFonts w:hint="eastAsia" w:ascii="宋体" w:hAnsi="宋体" w:cs="宋体"/>
          <w:sz w:val="24"/>
          <w:szCs w:val="24"/>
        </w:rPr>
        <w:t>本协议并作为双方共同遵守的廉政行为准则。</w:t>
      </w:r>
    </w:p>
    <w:p>
      <w:pPr>
        <w:widowControl/>
        <w:numPr>
          <w:ilvl w:val="255"/>
          <w:numId w:val="0"/>
        </w:numPr>
        <w:spacing w:after="0" w:line="560" w:lineRule="exact"/>
        <w:ind w:firstLine="480" w:firstLineChars="200"/>
        <w:rPr>
          <w:rFonts w:ascii="宋体" w:hAnsi="宋体" w:cs="宋体"/>
          <w:sz w:val="24"/>
          <w:szCs w:val="24"/>
        </w:rPr>
      </w:pPr>
      <w:r>
        <w:rPr>
          <w:rFonts w:hint="eastAsia" w:ascii="宋体" w:hAnsi="宋体" w:cs="宋体"/>
          <w:sz w:val="24"/>
          <w:szCs w:val="24"/>
        </w:rPr>
        <w:t>一：甲方责任：</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1.甲方从事业务活动必须坚持公开、公平、公正、诚信、透明的原则（除法律法规认定的商业秘密和合同文件另有规定者外）。</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 xml:space="preserve">3.甲方人员应严格遵守本单位有廉政管理的规定，不得接受乙方任何形式的回扣、实物、现金、有价证券、礼券等有价物品，不得参加乙方提供的旅游或其他可能影响职务行为公正履行的活动。 </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4.甲方人员如违反廉政管理制度及本协议规定，甲方视情节轻重、影响大小给予处罚，或移交司法机关处理。</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5．对于乙方举报甲方人员违反廉政规定的情况，甲方应及时进行调查，根据调查情况进行处理，并将调查结果向乙方反馈。</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6.接受举报的一方应为举报方保密，不得对举报方进行报复。</w:t>
      </w:r>
    </w:p>
    <w:p>
      <w:pPr>
        <w:widowControl/>
        <w:numPr>
          <w:ilvl w:val="255"/>
          <w:numId w:val="0"/>
        </w:numPr>
        <w:spacing w:after="0" w:line="560" w:lineRule="exact"/>
        <w:ind w:firstLine="480" w:firstLineChars="200"/>
        <w:rPr>
          <w:rFonts w:ascii="宋体" w:hAnsi="宋体" w:cs="宋体"/>
          <w:sz w:val="24"/>
          <w:szCs w:val="24"/>
        </w:rPr>
      </w:pPr>
      <w:r>
        <w:rPr>
          <w:rFonts w:hint="eastAsia" w:ascii="宋体" w:hAnsi="宋体" w:cs="宋体"/>
          <w:sz w:val="24"/>
          <w:szCs w:val="24"/>
        </w:rPr>
        <w:t>二：乙方责任</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乙方应与甲方保持正常的业务交往，按照有关法律法规和程序开展业务活动。</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1.乙方不得以任何形式给予甲方人员回扣、赠送实物、现金、有价证券、礼券等有价物品或提供旅游等其他可能影响职务行为公正履行的活动（以下统称“财物”）。</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2.乙方有责任接受甲方对乙方在合作期间廉政管理执行情况的监督，并对甲方相关调查工作主动配合。</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本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4．甲方接受乙方实名或匿名举报，保证为举报者的信息保密。</w:t>
      </w:r>
    </w:p>
    <w:p>
      <w:pPr>
        <w:widowControl/>
        <w:numPr>
          <w:ilvl w:val="255"/>
          <w:numId w:val="0"/>
        </w:numPr>
        <w:spacing w:after="0" w:line="560" w:lineRule="exact"/>
        <w:ind w:firstLine="480" w:firstLineChars="200"/>
        <w:rPr>
          <w:rFonts w:ascii="宋体" w:hAnsi="宋体" w:cs="宋体"/>
          <w:sz w:val="24"/>
          <w:szCs w:val="24"/>
        </w:rPr>
      </w:pPr>
      <w:r>
        <w:rPr>
          <w:rFonts w:hint="eastAsia" w:ascii="宋体" w:hAnsi="宋体" w:cs="宋体"/>
          <w:sz w:val="24"/>
          <w:szCs w:val="24"/>
        </w:rPr>
        <w:t>三：其他</w:t>
      </w:r>
    </w:p>
    <w:p>
      <w:pPr>
        <w:widowControl/>
        <w:spacing w:after="0" w:line="560" w:lineRule="exact"/>
        <w:ind w:left="0" w:firstLine="480" w:firstLineChars="200"/>
        <w:rPr>
          <w:rFonts w:ascii="宋体" w:hAnsi="宋体" w:cs="宋体"/>
          <w:sz w:val="24"/>
          <w:szCs w:val="24"/>
        </w:rPr>
      </w:pPr>
      <w:r>
        <w:rPr>
          <w:rFonts w:hint="eastAsia" w:ascii="宋体" w:hAnsi="宋体" w:cs="宋体"/>
          <w:sz w:val="24"/>
          <w:szCs w:val="24"/>
        </w:rPr>
        <w:t>本协议经双方签署并盖章后生效。</w:t>
      </w:r>
    </w:p>
    <w:p>
      <w:pPr>
        <w:pStyle w:val="2"/>
      </w:pPr>
    </w:p>
    <w:p>
      <w:pPr>
        <w:widowControl/>
        <w:spacing w:after="0" w:line="560" w:lineRule="exact"/>
        <w:ind w:left="0"/>
        <w:jc w:val="left"/>
        <w:rPr>
          <w:rFonts w:ascii="宋体" w:hAnsi="宋体" w:cs="宋体"/>
          <w:sz w:val="24"/>
          <w:szCs w:val="24"/>
        </w:rPr>
      </w:pPr>
      <w:r>
        <w:rPr>
          <w:rFonts w:hint="eastAsia" w:ascii="宋体" w:hAnsi="宋体" w:cs="宋体"/>
          <w:sz w:val="24"/>
          <w:szCs w:val="24"/>
        </w:rPr>
        <w:t xml:space="preserve">甲方（盖章）：                       乙方（盖章）：      </w:t>
      </w:r>
    </w:p>
    <w:p>
      <w:pPr>
        <w:widowControl/>
        <w:spacing w:after="0" w:line="560" w:lineRule="exact"/>
        <w:ind w:left="0"/>
        <w:jc w:val="left"/>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法定代表人（或授权代表）：</w:t>
      </w:r>
    </w:p>
    <w:p>
      <w:pPr>
        <w:widowControl/>
        <w:spacing w:after="0" w:line="560" w:lineRule="exact"/>
        <w:ind w:left="0" w:firstLine="0" w:firstLineChars="0"/>
        <w:jc w:val="left"/>
        <w:rPr>
          <w:rFonts w:ascii="宋体" w:hAnsi="宋体" w:cs="宋体"/>
          <w:sz w:val="24"/>
          <w:szCs w:val="24"/>
        </w:rPr>
      </w:pPr>
    </w:p>
    <w:p>
      <w:pPr>
        <w:widowControl/>
        <w:spacing w:after="0" w:line="560" w:lineRule="exact"/>
        <w:ind w:left="0" w:firstLine="480" w:firstLineChars="200"/>
        <w:jc w:val="left"/>
        <w:rPr>
          <w:rFonts w:ascii="宋体" w:hAnsi="宋体" w:cs="宋体"/>
          <w:sz w:val="24"/>
          <w:szCs w:val="24"/>
        </w:rPr>
      </w:pPr>
    </w:p>
    <w:p>
      <w:pPr>
        <w:widowControl/>
        <w:spacing w:after="0" w:line="560" w:lineRule="exact"/>
        <w:ind w:left="0" w:firstLine="1120" w:firstLineChars="400"/>
        <w:jc w:val="left"/>
        <w:rPr>
          <w:rFonts w:ascii="宋体" w:hAnsi="宋体" w:cs="宋体"/>
          <w:sz w:val="28"/>
          <w:szCs w:val="28"/>
        </w:rPr>
      </w:pPr>
    </w:p>
    <w:p>
      <w:pPr>
        <w:widowControl/>
        <w:spacing w:after="0" w:line="560" w:lineRule="exact"/>
        <w:ind w:left="0"/>
        <w:jc w:val="left"/>
        <w:rPr>
          <w:rFonts w:ascii="宋体" w:hAnsi="宋体" w:cs="宋体"/>
          <w:sz w:val="28"/>
          <w:szCs w:val="28"/>
        </w:rPr>
      </w:pPr>
    </w:p>
    <w:p>
      <w:pPr>
        <w:ind w:left="0"/>
        <w:rPr>
          <w:rFonts w:ascii="宋体" w:hAnsi="宋体" w:cs="宋体"/>
          <w:sz w:val="28"/>
          <w:szCs w:val="28"/>
        </w:rPr>
      </w:pPr>
    </w:p>
    <w:sectPr>
      <w:pgSz w:w="11906" w:h="16838"/>
      <w:pgMar w:top="1440" w:right="1800" w:bottom="1440" w:left="1800" w:header="851" w:footer="56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script"/>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jc w:val="center"/>
                          </w:pPr>
                          <w:r>
                            <w:fldChar w:fldCharType="begin"/>
                          </w:r>
                          <w:r>
                            <w:instrText xml:space="preserve"> PAGE   \* MERGEFORMAT </w:instrText>
                          </w:r>
                          <w:r>
                            <w:fldChar w:fldCharType="separate"/>
                          </w:r>
                          <w:r>
                            <w:rPr>
                              <w:lang w:val="zh-CN"/>
                            </w:rPr>
                            <w:t>-</w:t>
                          </w:r>
                          <w:r>
                            <w:t xml:space="preserve"> 8 -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G25fQPTAQAA&#10;pQMAAA4AAAAAAAAAAQAgAAAANAEAAGRycy9lMm9Eb2MueG1sUEsFBgAAAAAGAAYAWQEAAHkFAAAA&#10;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lang w:val="zh-CN"/>
                      </w:rPr>
                      <w:t>-</w:t>
                    </w:r>
                    <w:r>
                      <w:t xml:space="preserve"> 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16982"/>
    <w:multiLevelType w:val="singleLevel"/>
    <w:tmpl w:val="D881698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YzFmZmJkNTU0NjY5MzMxMzFhZTI4YjMyM2IxMDYifQ=="/>
  </w:docVars>
  <w:rsids>
    <w:rsidRoot w:val="00172A27"/>
    <w:rsid w:val="000470A5"/>
    <w:rsid w:val="00094A92"/>
    <w:rsid w:val="000B1549"/>
    <w:rsid w:val="000B362B"/>
    <w:rsid w:val="000C1FAE"/>
    <w:rsid w:val="001211E1"/>
    <w:rsid w:val="00131602"/>
    <w:rsid w:val="001542FA"/>
    <w:rsid w:val="001641B2"/>
    <w:rsid w:val="001671C8"/>
    <w:rsid w:val="00172A27"/>
    <w:rsid w:val="00174E76"/>
    <w:rsid w:val="00176E89"/>
    <w:rsid w:val="00185EF1"/>
    <w:rsid w:val="00190B2C"/>
    <w:rsid w:val="001B4BD6"/>
    <w:rsid w:val="001D7700"/>
    <w:rsid w:val="001F29B0"/>
    <w:rsid w:val="001F43EC"/>
    <w:rsid w:val="00207EE3"/>
    <w:rsid w:val="00210FED"/>
    <w:rsid w:val="00225EDE"/>
    <w:rsid w:val="00230BD8"/>
    <w:rsid w:val="00260E1B"/>
    <w:rsid w:val="0026264B"/>
    <w:rsid w:val="002649EF"/>
    <w:rsid w:val="0026693C"/>
    <w:rsid w:val="00272454"/>
    <w:rsid w:val="0029397E"/>
    <w:rsid w:val="002940CE"/>
    <w:rsid w:val="002B1737"/>
    <w:rsid w:val="002C2237"/>
    <w:rsid w:val="002E6D51"/>
    <w:rsid w:val="003167B3"/>
    <w:rsid w:val="00336FC0"/>
    <w:rsid w:val="00341EA4"/>
    <w:rsid w:val="00354D21"/>
    <w:rsid w:val="00360FF8"/>
    <w:rsid w:val="003658E4"/>
    <w:rsid w:val="0037358E"/>
    <w:rsid w:val="003D72AB"/>
    <w:rsid w:val="00407756"/>
    <w:rsid w:val="00415A47"/>
    <w:rsid w:val="004173F4"/>
    <w:rsid w:val="0043036D"/>
    <w:rsid w:val="00452668"/>
    <w:rsid w:val="004978C8"/>
    <w:rsid w:val="004E2CA7"/>
    <w:rsid w:val="004E6A14"/>
    <w:rsid w:val="004F6F55"/>
    <w:rsid w:val="00526A50"/>
    <w:rsid w:val="005419D2"/>
    <w:rsid w:val="00542119"/>
    <w:rsid w:val="00544461"/>
    <w:rsid w:val="005577AE"/>
    <w:rsid w:val="0056537D"/>
    <w:rsid w:val="005A0603"/>
    <w:rsid w:val="005B16F1"/>
    <w:rsid w:val="005B2B3C"/>
    <w:rsid w:val="00604F92"/>
    <w:rsid w:val="00622C43"/>
    <w:rsid w:val="006307DF"/>
    <w:rsid w:val="00651EA9"/>
    <w:rsid w:val="00670467"/>
    <w:rsid w:val="006B3A80"/>
    <w:rsid w:val="006B6AB8"/>
    <w:rsid w:val="006F0924"/>
    <w:rsid w:val="006F5AB8"/>
    <w:rsid w:val="0074228D"/>
    <w:rsid w:val="00747B00"/>
    <w:rsid w:val="0078266B"/>
    <w:rsid w:val="00784454"/>
    <w:rsid w:val="00792CDD"/>
    <w:rsid w:val="007A0F3C"/>
    <w:rsid w:val="007D31E9"/>
    <w:rsid w:val="007D7CCB"/>
    <w:rsid w:val="007F49D3"/>
    <w:rsid w:val="008263FE"/>
    <w:rsid w:val="0083044C"/>
    <w:rsid w:val="00836AE4"/>
    <w:rsid w:val="00867BF0"/>
    <w:rsid w:val="00886A6C"/>
    <w:rsid w:val="008876A5"/>
    <w:rsid w:val="008877C8"/>
    <w:rsid w:val="008B16D9"/>
    <w:rsid w:val="008D1411"/>
    <w:rsid w:val="008D161F"/>
    <w:rsid w:val="008E5A73"/>
    <w:rsid w:val="00913CAA"/>
    <w:rsid w:val="009167FE"/>
    <w:rsid w:val="00962F92"/>
    <w:rsid w:val="00996B2F"/>
    <w:rsid w:val="009A18DC"/>
    <w:rsid w:val="009B5542"/>
    <w:rsid w:val="009B7CB6"/>
    <w:rsid w:val="009C710A"/>
    <w:rsid w:val="009D6433"/>
    <w:rsid w:val="009D7F16"/>
    <w:rsid w:val="009F7D2A"/>
    <w:rsid w:val="00A01CCF"/>
    <w:rsid w:val="00A24F8E"/>
    <w:rsid w:val="00A35924"/>
    <w:rsid w:val="00A776C8"/>
    <w:rsid w:val="00AB25BC"/>
    <w:rsid w:val="00B12BD4"/>
    <w:rsid w:val="00B56F14"/>
    <w:rsid w:val="00B62C2B"/>
    <w:rsid w:val="00B66D06"/>
    <w:rsid w:val="00B72C51"/>
    <w:rsid w:val="00B80A33"/>
    <w:rsid w:val="00BA6CEE"/>
    <w:rsid w:val="00BC589E"/>
    <w:rsid w:val="00BC6960"/>
    <w:rsid w:val="00BE2574"/>
    <w:rsid w:val="00BE4046"/>
    <w:rsid w:val="00C03EDE"/>
    <w:rsid w:val="00C76381"/>
    <w:rsid w:val="00C764B9"/>
    <w:rsid w:val="00C92F96"/>
    <w:rsid w:val="00CA3712"/>
    <w:rsid w:val="00CA639E"/>
    <w:rsid w:val="00CA761F"/>
    <w:rsid w:val="00D072C7"/>
    <w:rsid w:val="00D317A3"/>
    <w:rsid w:val="00D33C03"/>
    <w:rsid w:val="00D65963"/>
    <w:rsid w:val="00D861BF"/>
    <w:rsid w:val="00E15690"/>
    <w:rsid w:val="00E42006"/>
    <w:rsid w:val="00E673D2"/>
    <w:rsid w:val="00EC696E"/>
    <w:rsid w:val="00EC7395"/>
    <w:rsid w:val="00F05F92"/>
    <w:rsid w:val="00F07FEA"/>
    <w:rsid w:val="00F20171"/>
    <w:rsid w:val="00F27974"/>
    <w:rsid w:val="00F32372"/>
    <w:rsid w:val="00F528C1"/>
    <w:rsid w:val="00F539D0"/>
    <w:rsid w:val="00F66E70"/>
    <w:rsid w:val="00F95380"/>
    <w:rsid w:val="00FA583B"/>
    <w:rsid w:val="00FA72D1"/>
    <w:rsid w:val="00FD6F44"/>
    <w:rsid w:val="0130254E"/>
    <w:rsid w:val="018132B9"/>
    <w:rsid w:val="01A76066"/>
    <w:rsid w:val="01C03431"/>
    <w:rsid w:val="01DA13FD"/>
    <w:rsid w:val="01DF65F9"/>
    <w:rsid w:val="02291129"/>
    <w:rsid w:val="023149C0"/>
    <w:rsid w:val="028068D9"/>
    <w:rsid w:val="028A6A28"/>
    <w:rsid w:val="029E3EC5"/>
    <w:rsid w:val="02E83E9C"/>
    <w:rsid w:val="02EB51D8"/>
    <w:rsid w:val="0304331C"/>
    <w:rsid w:val="03123850"/>
    <w:rsid w:val="031C5AA9"/>
    <w:rsid w:val="034B1D44"/>
    <w:rsid w:val="035644A4"/>
    <w:rsid w:val="03FE68F6"/>
    <w:rsid w:val="04033B99"/>
    <w:rsid w:val="040C5917"/>
    <w:rsid w:val="0430558F"/>
    <w:rsid w:val="043C10E0"/>
    <w:rsid w:val="04C53A9F"/>
    <w:rsid w:val="04D02639"/>
    <w:rsid w:val="04F2260F"/>
    <w:rsid w:val="052627A3"/>
    <w:rsid w:val="053D40AE"/>
    <w:rsid w:val="057C2806"/>
    <w:rsid w:val="05D20A01"/>
    <w:rsid w:val="05E44EB7"/>
    <w:rsid w:val="05EA6F01"/>
    <w:rsid w:val="06503623"/>
    <w:rsid w:val="06524610"/>
    <w:rsid w:val="065D70B4"/>
    <w:rsid w:val="065F04E2"/>
    <w:rsid w:val="066C61B3"/>
    <w:rsid w:val="06E60322"/>
    <w:rsid w:val="071700D6"/>
    <w:rsid w:val="07A3393F"/>
    <w:rsid w:val="07AF71FF"/>
    <w:rsid w:val="08671713"/>
    <w:rsid w:val="08682ED7"/>
    <w:rsid w:val="086A17EB"/>
    <w:rsid w:val="0874220E"/>
    <w:rsid w:val="08CF0C35"/>
    <w:rsid w:val="08FE4D99"/>
    <w:rsid w:val="090C09ED"/>
    <w:rsid w:val="09D36227"/>
    <w:rsid w:val="09D45D51"/>
    <w:rsid w:val="09E53B8C"/>
    <w:rsid w:val="0A242C0F"/>
    <w:rsid w:val="0A434CCB"/>
    <w:rsid w:val="0A707AA7"/>
    <w:rsid w:val="0AA727AC"/>
    <w:rsid w:val="0ADB27B8"/>
    <w:rsid w:val="0B5949C2"/>
    <w:rsid w:val="0B9A3FA4"/>
    <w:rsid w:val="0B9D544B"/>
    <w:rsid w:val="0BE02498"/>
    <w:rsid w:val="0BE5131C"/>
    <w:rsid w:val="0BEB2CC7"/>
    <w:rsid w:val="0BF32B89"/>
    <w:rsid w:val="0BF47F61"/>
    <w:rsid w:val="0C0D58E5"/>
    <w:rsid w:val="0C4041E3"/>
    <w:rsid w:val="0C671EFD"/>
    <w:rsid w:val="0C8E78E9"/>
    <w:rsid w:val="0CD022C4"/>
    <w:rsid w:val="0CE852E7"/>
    <w:rsid w:val="0D033894"/>
    <w:rsid w:val="0D2E3DF4"/>
    <w:rsid w:val="0D873153"/>
    <w:rsid w:val="0D99187F"/>
    <w:rsid w:val="0DEC1420"/>
    <w:rsid w:val="0DED5F50"/>
    <w:rsid w:val="0E1453AC"/>
    <w:rsid w:val="0E3F5604"/>
    <w:rsid w:val="0E616208"/>
    <w:rsid w:val="0EA60BB0"/>
    <w:rsid w:val="0EB34C4C"/>
    <w:rsid w:val="0EDB514F"/>
    <w:rsid w:val="0EDF64C6"/>
    <w:rsid w:val="0EF9067B"/>
    <w:rsid w:val="0EFB55DD"/>
    <w:rsid w:val="0F006544"/>
    <w:rsid w:val="0F080549"/>
    <w:rsid w:val="0F0F3BE3"/>
    <w:rsid w:val="0F113ECF"/>
    <w:rsid w:val="0F1D7E22"/>
    <w:rsid w:val="0F470FD9"/>
    <w:rsid w:val="0F4A29A6"/>
    <w:rsid w:val="0F5F2683"/>
    <w:rsid w:val="0F667565"/>
    <w:rsid w:val="0F737197"/>
    <w:rsid w:val="1074635E"/>
    <w:rsid w:val="107544A9"/>
    <w:rsid w:val="107E6FA0"/>
    <w:rsid w:val="10DE7C77"/>
    <w:rsid w:val="10ED1320"/>
    <w:rsid w:val="110546B8"/>
    <w:rsid w:val="11096110"/>
    <w:rsid w:val="11164E12"/>
    <w:rsid w:val="113B1689"/>
    <w:rsid w:val="11961DB5"/>
    <w:rsid w:val="11A72F2F"/>
    <w:rsid w:val="11D9638B"/>
    <w:rsid w:val="124C6368"/>
    <w:rsid w:val="12787E62"/>
    <w:rsid w:val="12DD1596"/>
    <w:rsid w:val="12FC252C"/>
    <w:rsid w:val="131F29FB"/>
    <w:rsid w:val="134734DF"/>
    <w:rsid w:val="13594430"/>
    <w:rsid w:val="138D2F0C"/>
    <w:rsid w:val="13A24D3E"/>
    <w:rsid w:val="13A615F1"/>
    <w:rsid w:val="13A63542"/>
    <w:rsid w:val="13B50D02"/>
    <w:rsid w:val="13BF6335"/>
    <w:rsid w:val="13C012D3"/>
    <w:rsid w:val="13CE536B"/>
    <w:rsid w:val="14112A3B"/>
    <w:rsid w:val="14376EE8"/>
    <w:rsid w:val="14446F4B"/>
    <w:rsid w:val="14450CC7"/>
    <w:rsid w:val="144850B4"/>
    <w:rsid w:val="1463517B"/>
    <w:rsid w:val="147C1F48"/>
    <w:rsid w:val="14BE6E5C"/>
    <w:rsid w:val="15131955"/>
    <w:rsid w:val="15695D15"/>
    <w:rsid w:val="15941D4E"/>
    <w:rsid w:val="15D65645"/>
    <w:rsid w:val="161E6293"/>
    <w:rsid w:val="163F7C68"/>
    <w:rsid w:val="16682133"/>
    <w:rsid w:val="16A56C0B"/>
    <w:rsid w:val="16E9411D"/>
    <w:rsid w:val="173D1C56"/>
    <w:rsid w:val="174632B8"/>
    <w:rsid w:val="176764A1"/>
    <w:rsid w:val="17776AC1"/>
    <w:rsid w:val="17845162"/>
    <w:rsid w:val="178D0DEA"/>
    <w:rsid w:val="17912041"/>
    <w:rsid w:val="17AB2115"/>
    <w:rsid w:val="17EF758B"/>
    <w:rsid w:val="17F72734"/>
    <w:rsid w:val="181C5FCC"/>
    <w:rsid w:val="18566F32"/>
    <w:rsid w:val="189A0277"/>
    <w:rsid w:val="18A232DE"/>
    <w:rsid w:val="18AC6F46"/>
    <w:rsid w:val="18B45B4E"/>
    <w:rsid w:val="18C05BC7"/>
    <w:rsid w:val="18ED1542"/>
    <w:rsid w:val="191218F2"/>
    <w:rsid w:val="19596099"/>
    <w:rsid w:val="19672D68"/>
    <w:rsid w:val="1974416C"/>
    <w:rsid w:val="19E0461D"/>
    <w:rsid w:val="1A065EE4"/>
    <w:rsid w:val="1A073AB7"/>
    <w:rsid w:val="1A630326"/>
    <w:rsid w:val="1AF71E09"/>
    <w:rsid w:val="1B441136"/>
    <w:rsid w:val="1BF66811"/>
    <w:rsid w:val="1C0A0C05"/>
    <w:rsid w:val="1C0B13F8"/>
    <w:rsid w:val="1C164A8D"/>
    <w:rsid w:val="1C325609"/>
    <w:rsid w:val="1C3C2A43"/>
    <w:rsid w:val="1C4036D0"/>
    <w:rsid w:val="1CEB64B7"/>
    <w:rsid w:val="1D6E5C1A"/>
    <w:rsid w:val="1DA55D98"/>
    <w:rsid w:val="1DC0481F"/>
    <w:rsid w:val="1DCD60B9"/>
    <w:rsid w:val="1E3C3A1B"/>
    <w:rsid w:val="1E482F5C"/>
    <w:rsid w:val="1E5100DC"/>
    <w:rsid w:val="1E9E4AB6"/>
    <w:rsid w:val="1EA75998"/>
    <w:rsid w:val="1EAE19E3"/>
    <w:rsid w:val="1EC65807"/>
    <w:rsid w:val="1EE164E3"/>
    <w:rsid w:val="1EEC4D90"/>
    <w:rsid w:val="1F1615B2"/>
    <w:rsid w:val="1F27551E"/>
    <w:rsid w:val="1F6A3BE0"/>
    <w:rsid w:val="1F7148AF"/>
    <w:rsid w:val="1F954AE0"/>
    <w:rsid w:val="1FB978FC"/>
    <w:rsid w:val="20237509"/>
    <w:rsid w:val="204A7BDE"/>
    <w:rsid w:val="208E2911"/>
    <w:rsid w:val="20BE3109"/>
    <w:rsid w:val="20D03E9F"/>
    <w:rsid w:val="20FE11DB"/>
    <w:rsid w:val="210D0D1F"/>
    <w:rsid w:val="21155AA8"/>
    <w:rsid w:val="21195C83"/>
    <w:rsid w:val="212B0B49"/>
    <w:rsid w:val="21843334"/>
    <w:rsid w:val="219357C5"/>
    <w:rsid w:val="21D62F40"/>
    <w:rsid w:val="21FB0993"/>
    <w:rsid w:val="22135B69"/>
    <w:rsid w:val="225265B5"/>
    <w:rsid w:val="226F0DA3"/>
    <w:rsid w:val="22907A63"/>
    <w:rsid w:val="22A8468C"/>
    <w:rsid w:val="22BB63DF"/>
    <w:rsid w:val="22D92F30"/>
    <w:rsid w:val="22FE2E8E"/>
    <w:rsid w:val="23007DDC"/>
    <w:rsid w:val="23235D13"/>
    <w:rsid w:val="235270A7"/>
    <w:rsid w:val="23822DC6"/>
    <w:rsid w:val="23CB0535"/>
    <w:rsid w:val="23DF75A3"/>
    <w:rsid w:val="24077057"/>
    <w:rsid w:val="24405F43"/>
    <w:rsid w:val="24CC0B11"/>
    <w:rsid w:val="24D063F7"/>
    <w:rsid w:val="24F15D15"/>
    <w:rsid w:val="259551ED"/>
    <w:rsid w:val="25C549AC"/>
    <w:rsid w:val="25CB285F"/>
    <w:rsid w:val="25D12BED"/>
    <w:rsid w:val="25D46469"/>
    <w:rsid w:val="25ED6A05"/>
    <w:rsid w:val="26396AF4"/>
    <w:rsid w:val="26F3521D"/>
    <w:rsid w:val="270B696A"/>
    <w:rsid w:val="27105E1F"/>
    <w:rsid w:val="27217C9E"/>
    <w:rsid w:val="27312E84"/>
    <w:rsid w:val="27361D7E"/>
    <w:rsid w:val="276A1CF6"/>
    <w:rsid w:val="277F143E"/>
    <w:rsid w:val="279B1907"/>
    <w:rsid w:val="27B556DF"/>
    <w:rsid w:val="27E242BF"/>
    <w:rsid w:val="28021F80"/>
    <w:rsid w:val="28127D42"/>
    <w:rsid w:val="2855768E"/>
    <w:rsid w:val="28622210"/>
    <w:rsid w:val="286272ED"/>
    <w:rsid w:val="28667D9E"/>
    <w:rsid w:val="288C0F29"/>
    <w:rsid w:val="28987B4C"/>
    <w:rsid w:val="290931B1"/>
    <w:rsid w:val="294156D1"/>
    <w:rsid w:val="29904B52"/>
    <w:rsid w:val="29A64E5F"/>
    <w:rsid w:val="29BA591D"/>
    <w:rsid w:val="29BF20FF"/>
    <w:rsid w:val="29C764A3"/>
    <w:rsid w:val="29E63137"/>
    <w:rsid w:val="29EB20D8"/>
    <w:rsid w:val="2A580148"/>
    <w:rsid w:val="2A807505"/>
    <w:rsid w:val="2A9101BB"/>
    <w:rsid w:val="2B0658F6"/>
    <w:rsid w:val="2B165A83"/>
    <w:rsid w:val="2B7D0B2C"/>
    <w:rsid w:val="2B997D06"/>
    <w:rsid w:val="2B9F353E"/>
    <w:rsid w:val="2BAD3146"/>
    <w:rsid w:val="2BDA56FD"/>
    <w:rsid w:val="2C063CC3"/>
    <w:rsid w:val="2C16218C"/>
    <w:rsid w:val="2C98599D"/>
    <w:rsid w:val="2D2C0946"/>
    <w:rsid w:val="2D3268EE"/>
    <w:rsid w:val="2D3354CA"/>
    <w:rsid w:val="2D414A34"/>
    <w:rsid w:val="2D514E17"/>
    <w:rsid w:val="2D806ECE"/>
    <w:rsid w:val="2D900CD7"/>
    <w:rsid w:val="2DC62533"/>
    <w:rsid w:val="2DFD0EC5"/>
    <w:rsid w:val="2E452813"/>
    <w:rsid w:val="2E4E348E"/>
    <w:rsid w:val="2E557697"/>
    <w:rsid w:val="2E5708C6"/>
    <w:rsid w:val="2E5C30DE"/>
    <w:rsid w:val="2E9F1623"/>
    <w:rsid w:val="2EB61840"/>
    <w:rsid w:val="2EC659B7"/>
    <w:rsid w:val="2EEA0360"/>
    <w:rsid w:val="2EEE2A6F"/>
    <w:rsid w:val="2EEF1916"/>
    <w:rsid w:val="2F5213C1"/>
    <w:rsid w:val="2FD741F9"/>
    <w:rsid w:val="309255DF"/>
    <w:rsid w:val="30AA5C90"/>
    <w:rsid w:val="30B855F7"/>
    <w:rsid w:val="30C34D67"/>
    <w:rsid w:val="30CE4E24"/>
    <w:rsid w:val="30E82E25"/>
    <w:rsid w:val="30F346BF"/>
    <w:rsid w:val="31115FFA"/>
    <w:rsid w:val="31677D19"/>
    <w:rsid w:val="318848EF"/>
    <w:rsid w:val="31C95E39"/>
    <w:rsid w:val="31ED132C"/>
    <w:rsid w:val="31F70023"/>
    <w:rsid w:val="31F7179F"/>
    <w:rsid w:val="3209521F"/>
    <w:rsid w:val="323E4771"/>
    <w:rsid w:val="32794BE9"/>
    <w:rsid w:val="32F418C2"/>
    <w:rsid w:val="336E5A3B"/>
    <w:rsid w:val="337F57B1"/>
    <w:rsid w:val="33837F92"/>
    <w:rsid w:val="33976E38"/>
    <w:rsid w:val="33BF53DA"/>
    <w:rsid w:val="33C81CF5"/>
    <w:rsid w:val="33E7594E"/>
    <w:rsid w:val="33F52116"/>
    <w:rsid w:val="340B5AAF"/>
    <w:rsid w:val="34B943A0"/>
    <w:rsid w:val="350A7422"/>
    <w:rsid w:val="350F0B4A"/>
    <w:rsid w:val="35664FED"/>
    <w:rsid w:val="356F2D6E"/>
    <w:rsid w:val="356F3D20"/>
    <w:rsid w:val="35760C37"/>
    <w:rsid w:val="35997B20"/>
    <w:rsid w:val="35A147C9"/>
    <w:rsid w:val="35F46058"/>
    <w:rsid w:val="360A3687"/>
    <w:rsid w:val="362F4FA7"/>
    <w:rsid w:val="363275B0"/>
    <w:rsid w:val="367B6D1D"/>
    <w:rsid w:val="36AF189C"/>
    <w:rsid w:val="36CF535D"/>
    <w:rsid w:val="36D56DBD"/>
    <w:rsid w:val="36DD414B"/>
    <w:rsid w:val="36E857E9"/>
    <w:rsid w:val="371057FB"/>
    <w:rsid w:val="371A03F1"/>
    <w:rsid w:val="37475A82"/>
    <w:rsid w:val="375C7A0F"/>
    <w:rsid w:val="377D764C"/>
    <w:rsid w:val="37852759"/>
    <w:rsid w:val="37CB1818"/>
    <w:rsid w:val="37CC4785"/>
    <w:rsid w:val="37D93528"/>
    <w:rsid w:val="382F7561"/>
    <w:rsid w:val="38551E2E"/>
    <w:rsid w:val="385665F6"/>
    <w:rsid w:val="38644802"/>
    <w:rsid w:val="38853297"/>
    <w:rsid w:val="38D00668"/>
    <w:rsid w:val="38D13052"/>
    <w:rsid w:val="38E96BDA"/>
    <w:rsid w:val="38EC77D3"/>
    <w:rsid w:val="391D00D0"/>
    <w:rsid w:val="39301094"/>
    <w:rsid w:val="39613966"/>
    <w:rsid w:val="39836402"/>
    <w:rsid w:val="398B45DE"/>
    <w:rsid w:val="39D11CF1"/>
    <w:rsid w:val="39DA3ECE"/>
    <w:rsid w:val="39FB6120"/>
    <w:rsid w:val="3A0A2F1E"/>
    <w:rsid w:val="3A2023A0"/>
    <w:rsid w:val="3A2A6A1D"/>
    <w:rsid w:val="3A4F13A4"/>
    <w:rsid w:val="3A885736"/>
    <w:rsid w:val="3AAC2512"/>
    <w:rsid w:val="3AD674D3"/>
    <w:rsid w:val="3B553B72"/>
    <w:rsid w:val="3B6D33B2"/>
    <w:rsid w:val="3B762CA9"/>
    <w:rsid w:val="3B8810C8"/>
    <w:rsid w:val="3C82349B"/>
    <w:rsid w:val="3CCF1E2D"/>
    <w:rsid w:val="3CDE4D6F"/>
    <w:rsid w:val="3D3C374B"/>
    <w:rsid w:val="3D4D28A3"/>
    <w:rsid w:val="3D5E5AD9"/>
    <w:rsid w:val="3D8D3368"/>
    <w:rsid w:val="3D9B0F7B"/>
    <w:rsid w:val="3E4E4435"/>
    <w:rsid w:val="3E575368"/>
    <w:rsid w:val="3E5F595D"/>
    <w:rsid w:val="3E9A728A"/>
    <w:rsid w:val="3EB77534"/>
    <w:rsid w:val="3EB836D4"/>
    <w:rsid w:val="3EBF191E"/>
    <w:rsid w:val="3ECB0DE3"/>
    <w:rsid w:val="3EEB4621"/>
    <w:rsid w:val="3F11712E"/>
    <w:rsid w:val="3F55680E"/>
    <w:rsid w:val="3F682EC2"/>
    <w:rsid w:val="3F825D93"/>
    <w:rsid w:val="400F0D4E"/>
    <w:rsid w:val="406560B8"/>
    <w:rsid w:val="406A6B10"/>
    <w:rsid w:val="40C23BCA"/>
    <w:rsid w:val="40CD0C98"/>
    <w:rsid w:val="412001DE"/>
    <w:rsid w:val="41562863"/>
    <w:rsid w:val="415E5D17"/>
    <w:rsid w:val="41612670"/>
    <w:rsid w:val="41A2569D"/>
    <w:rsid w:val="41B97487"/>
    <w:rsid w:val="41C51CA5"/>
    <w:rsid w:val="41D70D12"/>
    <w:rsid w:val="421E2CBC"/>
    <w:rsid w:val="42802068"/>
    <w:rsid w:val="42AB0C1E"/>
    <w:rsid w:val="42BA303D"/>
    <w:rsid w:val="42F449F5"/>
    <w:rsid w:val="430475BC"/>
    <w:rsid w:val="43180FF8"/>
    <w:rsid w:val="434A5A29"/>
    <w:rsid w:val="438A4546"/>
    <w:rsid w:val="439539B4"/>
    <w:rsid w:val="43DF365E"/>
    <w:rsid w:val="43DF730C"/>
    <w:rsid w:val="445A42DB"/>
    <w:rsid w:val="44814C4B"/>
    <w:rsid w:val="44A161C6"/>
    <w:rsid w:val="44CC3C57"/>
    <w:rsid w:val="44EE4D80"/>
    <w:rsid w:val="454071D0"/>
    <w:rsid w:val="458337E3"/>
    <w:rsid w:val="46297335"/>
    <w:rsid w:val="4671119F"/>
    <w:rsid w:val="46840BA8"/>
    <w:rsid w:val="46CB4A27"/>
    <w:rsid w:val="47434B7A"/>
    <w:rsid w:val="475A7751"/>
    <w:rsid w:val="47650D44"/>
    <w:rsid w:val="47694BEE"/>
    <w:rsid w:val="47A32E8A"/>
    <w:rsid w:val="48005153"/>
    <w:rsid w:val="484143C7"/>
    <w:rsid w:val="486E2CD3"/>
    <w:rsid w:val="48812860"/>
    <w:rsid w:val="49267F27"/>
    <w:rsid w:val="49B92B0F"/>
    <w:rsid w:val="49C7069E"/>
    <w:rsid w:val="49ED651F"/>
    <w:rsid w:val="4A137F28"/>
    <w:rsid w:val="4A370777"/>
    <w:rsid w:val="4A3C1D9E"/>
    <w:rsid w:val="4A7543DB"/>
    <w:rsid w:val="4A8941B9"/>
    <w:rsid w:val="4A9C7F91"/>
    <w:rsid w:val="4AD65163"/>
    <w:rsid w:val="4B195F41"/>
    <w:rsid w:val="4B3111F0"/>
    <w:rsid w:val="4B48238F"/>
    <w:rsid w:val="4B61205F"/>
    <w:rsid w:val="4BE75AA9"/>
    <w:rsid w:val="4C066AC5"/>
    <w:rsid w:val="4C3210EA"/>
    <w:rsid w:val="4C391A73"/>
    <w:rsid w:val="4C3A0D35"/>
    <w:rsid w:val="4C441340"/>
    <w:rsid w:val="4C761830"/>
    <w:rsid w:val="4CEA640F"/>
    <w:rsid w:val="4D006191"/>
    <w:rsid w:val="4D1E0B09"/>
    <w:rsid w:val="4D256130"/>
    <w:rsid w:val="4D261B2B"/>
    <w:rsid w:val="4D291E3C"/>
    <w:rsid w:val="4D3F48BC"/>
    <w:rsid w:val="4D7E2A1D"/>
    <w:rsid w:val="4DB0784B"/>
    <w:rsid w:val="4DB24C7E"/>
    <w:rsid w:val="4DB45E77"/>
    <w:rsid w:val="4DD26C3C"/>
    <w:rsid w:val="4DFC54A8"/>
    <w:rsid w:val="4E0E3983"/>
    <w:rsid w:val="4E2C1798"/>
    <w:rsid w:val="4E6C371D"/>
    <w:rsid w:val="4E7F2A72"/>
    <w:rsid w:val="4EDA1A8C"/>
    <w:rsid w:val="4F49163C"/>
    <w:rsid w:val="4F507EFD"/>
    <w:rsid w:val="4F9124B7"/>
    <w:rsid w:val="4FBA519E"/>
    <w:rsid w:val="4FBF7B0F"/>
    <w:rsid w:val="500C2576"/>
    <w:rsid w:val="500E2370"/>
    <w:rsid w:val="502511FD"/>
    <w:rsid w:val="5029176D"/>
    <w:rsid w:val="505F79EA"/>
    <w:rsid w:val="50711F28"/>
    <w:rsid w:val="507237C3"/>
    <w:rsid w:val="50D37096"/>
    <w:rsid w:val="51056288"/>
    <w:rsid w:val="51076B88"/>
    <w:rsid w:val="5146036C"/>
    <w:rsid w:val="515F5349"/>
    <w:rsid w:val="51954E9E"/>
    <w:rsid w:val="51B302BE"/>
    <w:rsid w:val="51C71D7B"/>
    <w:rsid w:val="51DE1EE2"/>
    <w:rsid w:val="51EB3E6C"/>
    <w:rsid w:val="523B423F"/>
    <w:rsid w:val="524B4437"/>
    <w:rsid w:val="52501CF6"/>
    <w:rsid w:val="526633A3"/>
    <w:rsid w:val="52AA5958"/>
    <w:rsid w:val="52C72103"/>
    <w:rsid w:val="52CB63C6"/>
    <w:rsid w:val="53071C4B"/>
    <w:rsid w:val="537C52BB"/>
    <w:rsid w:val="539332E3"/>
    <w:rsid w:val="53952FF9"/>
    <w:rsid w:val="53AD74C1"/>
    <w:rsid w:val="53F401AE"/>
    <w:rsid w:val="541E5516"/>
    <w:rsid w:val="546C5A9F"/>
    <w:rsid w:val="54C36FD8"/>
    <w:rsid w:val="54D240C9"/>
    <w:rsid w:val="54EF6E8C"/>
    <w:rsid w:val="54F47E58"/>
    <w:rsid w:val="55195CB9"/>
    <w:rsid w:val="55282CEE"/>
    <w:rsid w:val="556248F6"/>
    <w:rsid w:val="55681E78"/>
    <w:rsid w:val="55A278BD"/>
    <w:rsid w:val="55F2265D"/>
    <w:rsid w:val="56127761"/>
    <w:rsid w:val="561567B0"/>
    <w:rsid w:val="562E4663"/>
    <w:rsid w:val="563422B1"/>
    <w:rsid w:val="564263F9"/>
    <w:rsid w:val="564751B4"/>
    <w:rsid w:val="56503A04"/>
    <w:rsid w:val="56575043"/>
    <w:rsid w:val="567940A0"/>
    <w:rsid w:val="57045934"/>
    <w:rsid w:val="57121D7E"/>
    <w:rsid w:val="5730370D"/>
    <w:rsid w:val="57453E00"/>
    <w:rsid w:val="57B13D57"/>
    <w:rsid w:val="57FA6084"/>
    <w:rsid w:val="583D1328"/>
    <w:rsid w:val="58496BC9"/>
    <w:rsid w:val="58B42AAA"/>
    <w:rsid w:val="58E32AAD"/>
    <w:rsid w:val="58F72F4B"/>
    <w:rsid w:val="595251BE"/>
    <w:rsid w:val="597B508A"/>
    <w:rsid w:val="59C410B1"/>
    <w:rsid w:val="59CE10DB"/>
    <w:rsid w:val="5A1A44A4"/>
    <w:rsid w:val="5A212C3E"/>
    <w:rsid w:val="5A430C63"/>
    <w:rsid w:val="5AB706E2"/>
    <w:rsid w:val="5B223596"/>
    <w:rsid w:val="5B231282"/>
    <w:rsid w:val="5B325E15"/>
    <w:rsid w:val="5BA97F12"/>
    <w:rsid w:val="5C1346E9"/>
    <w:rsid w:val="5C283D12"/>
    <w:rsid w:val="5C5D55D0"/>
    <w:rsid w:val="5C710FE5"/>
    <w:rsid w:val="5C7E36B3"/>
    <w:rsid w:val="5C8114B0"/>
    <w:rsid w:val="5CFF3D28"/>
    <w:rsid w:val="5D2E5AF0"/>
    <w:rsid w:val="5D4F1D0E"/>
    <w:rsid w:val="5D662359"/>
    <w:rsid w:val="5D6C4811"/>
    <w:rsid w:val="5D7852B2"/>
    <w:rsid w:val="5D7E3A89"/>
    <w:rsid w:val="5DAB5AD3"/>
    <w:rsid w:val="5DB94428"/>
    <w:rsid w:val="5DD62F43"/>
    <w:rsid w:val="5DF00FA1"/>
    <w:rsid w:val="5E01408F"/>
    <w:rsid w:val="5E094191"/>
    <w:rsid w:val="5E453FBF"/>
    <w:rsid w:val="5E5C0F5D"/>
    <w:rsid w:val="5EA07928"/>
    <w:rsid w:val="5EC46ABA"/>
    <w:rsid w:val="5EF93785"/>
    <w:rsid w:val="5F717C5D"/>
    <w:rsid w:val="5F9367DD"/>
    <w:rsid w:val="5FB53E3C"/>
    <w:rsid w:val="5FE9507C"/>
    <w:rsid w:val="5FF66F97"/>
    <w:rsid w:val="604D6455"/>
    <w:rsid w:val="60587FA4"/>
    <w:rsid w:val="60947D0F"/>
    <w:rsid w:val="60D27DED"/>
    <w:rsid w:val="60EF46E4"/>
    <w:rsid w:val="611A3CDF"/>
    <w:rsid w:val="6125796F"/>
    <w:rsid w:val="613561B6"/>
    <w:rsid w:val="613C7F7C"/>
    <w:rsid w:val="6151218A"/>
    <w:rsid w:val="61612259"/>
    <w:rsid w:val="617B4637"/>
    <w:rsid w:val="61A85CE5"/>
    <w:rsid w:val="61D110CD"/>
    <w:rsid w:val="61E61E9D"/>
    <w:rsid w:val="61E629CB"/>
    <w:rsid w:val="627F7E50"/>
    <w:rsid w:val="628325FF"/>
    <w:rsid w:val="628D2EB0"/>
    <w:rsid w:val="62DE614F"/>
    <w:rsid w:val="62FA64F9"/>
    <w:rsid w:val="633103E7"/>
    <w:rsid w:val="63564DF2"/>
    <w:rsid w:val="63A17917"/>
    <w:rsid w:val="64247253"/>
    <w:rsid w:val="647D7BDF"/>
    <w:rsid w:val="64B514AE"/>
    <w:rsid w:val="65320509"/>
    <w:rsid w:val="65A16B9B"/>
    <w:rsid w:val="65ED483E"/>
    <w:rsid w:val="65EF0F12"/>
    <w:rsid w:val="665964D3"/>
    <w:rsid w:val="66DF214E"/>
    <w:rsid w:val="66EF41EC"/>
    <w:rsid w:val="67225515"/>
    <w:rsid w:val="672F6E29"/>
    <w:rsid w:val="67527934"/>
    <w:rsid w:val="67683D4B"/>
    <w:rsid w:val="67690300"/>
    <w:rsid w:val="67DE5604"/>
    <w:rsid w:val="67EB4B79"/>
    <w:rsid w:val="67F546DE"/>
    <w:rsid w:val="68262867"/>
    <w:rsid w:val="68544A9D"/>
    <w:rsid w:val="68580695"/>
    <w:rsid w:val="686F469D"/>
    <w:rsid w:val="68C51AFA"/>
    <w:rsid w:val="694758DA"/>
    <w:rsid w:val="695C37BB"/>
    <w:rsid w:val="69E75752"/>
    <w:rsid w:val="6A033229"/>
    <w:rsid w:val="6A07391B"/>
    <w:rsid w:val="6A3678A1"/>
    <w:rsid w:val="6A6E4F4E"/>
    <w:rsid w:val="6A7B0308"/>
    <w:rsid w:val="6A8C23FE"/>
    <w:rsid w:val="6A9149CB"/>
    <w:rsid w:val="6A957110"/>
    <w:rsid w:val="6AC90186"/>
    <w:rsid w:val="6AD87989"/>
    <w:rsid w:val="6B161D94"/>
    <w:rsid w:val="6B2322F4"/>
    <w:rsid w:val="6B4C60F4"/>
    <w:rsid w:val="6B4E67B0"/>
    <w:rsid w:val="6B4E7B82"/>
    <w:rsid w:val="6C1B7FEC"/>
    <w:rsid w:val="6C51476C"/>
    <w:rsid w:val="6C7247D9"/>
    <w:rsid w:val="6C8A4F2D"/>
    <w:rsid w:val="6CA30124"/>
    <w:rsid w:val="6CB25302"/>
    <w:rsid w:val="6CFC06D1"/>
    <w:rsid w:val="6D190644"/>
    <w:rsid w:val="6D624BFE"/>
    <w:rsid w:val="6D68124B"/>
    <w:rsid w:val="6D75606A"/>
    <w:rsid w:val="6D8474F6"/>
    <w:rsid w:val="6D9B09F9"/>
    <w:rsid w:val="6DE47D42"/>
    <w:rsid w:val="6DF27FF7"/>
    <w:rsid w:val="6DFE433A"/>
    <w:rsid w:val="6DFE5F82"/>
    <w:rsid w:val="6E2200F8"/>
    <w:rsid w:val="6E644767"/>
    <w:rsid w:val="6E8B7EE0"/>
    <w:rsid w:val="6E8C7CC9"/>
    <w:rsid w:val="6ECF4EB9"/>
    <w:rsid w:val="6EE5301D"/>
    <w:rsid w:val="6EE97108"/>
    <w:rsid w:val="6F0A0A9C"/>
    <w:rsid w:val="6F42039E"/>
    <w:rsid w:val="6F4303FB"/>
    <w:rsid w:val="6F7A02AF"/>
    <w:rsid w:val="6FA00F72"/>
    <w:rsid w:val="6FAB3E19"/>
    <w:rsid w:val="6FC11649"/>
    <w:rsid w:val="6FE74252"/>
    <w:rsid w:val="704B7DF1"/>
    <w:rsid w:val="70975F90"/>
    <w:rsid w:val="70BE76F0"/>
    <w:rsid w:val="711855E2"/>
    <w:rsid w:val="71277E60"/>
    <w:rsid w:val="713835DF"/>
    <w:rsid w:val="71404AD4"/>
    <w:rsid w:val="71D61F30"/>
    <w:rsid w:val="72917A41"/>
    <w:rsid w:val="72B74EFD"/>
    <w:rsid w:val="72BC2121"/>
    <w:rsid w:val="72C4327E"/>
    <w:rsid w:val="72CD0110"/>
    <w:rsid w:val="72D903C7"/>
    <w:rsid w:val="72E84B4D"/>
    <w:rsid w:val="7308071B"/>
    <w:rsid w:val="732E0880"/>
    <w:rsid w:val="73404A7F"/>
    <w:rsid w:val="735F6544"/>
    <w:rsid w:val="73E647B6"/>
    <w:rsid w:val="73FC20CD"/>
    <w:rsid w:val="740E2C49"/>
    <w:rsid w:val="740E6D6C"/>
    <w:rsid w:val="74242406"/>
    <w:rsid w:val="74442C1A"/>
    <w:rsid w:val="74A30015"/>
    <w:rsid w:val="74BB0D35"/>
    <w:rsid w:val="74CC7723"/>
    <w:rsid w:val="74FC7F6B"/>
    <w:rsid w:val="7537666F"/>
    <w:rsid w:val="753A4A24"/>
    <w:rsid w:val="75492FC2"/>
    <w:rsid w:val="7595595C"/>
    <w:rsid w:val="75E77FC7"/>
    <w:rsid w:val="75F46451"/>
    <w:rsid w:val="764106ED"/>
    <w:rsid w:val="764C498F"/>
    <w:rsid w:val="767E74BE"/>
    <w:rsid w:val="76986222"/>
    <w:rsid w:val="76F7212F"/>
    <w:rsid w:val="76FE7438"/>
    <w:rsid w:val="77821231"/>
    <w:rsid w:val="78095693"/>
    <w:rsid w:val="785E1D80"/>
    <w:rsid w:val="78AB20DC"/>
    <w:rsid w:val="79287BCD"/>
    <w:rsid w:val="793B5441"/>
    <w:rsid w:val="79403C85"/>
    <w:rsid w:val="7974113C"/>
    <w:rsid w:val="79AF4A16"/>
    <w:rsid w:val="79BD336E"/>
    <w:rsid w:val="79F80A69"/>
    <w:rsid w:val="7A8F08F6"/>
    <w:rsid w:val="7AD8194A"/>
    <w:rsid w:val="7AE64748"/>
    <w:rsid w:val="7B0C0C7F"/>
    <w:rsid w:val="7B1C4DA1"/>
    <w:rsid w:val="7B5141AA"/>
    <w:rsid w:val="7B537D91"/>
    <w:rsid w:val="7B5854CA"/>
    <w:rsid w:val="7C4F2BCD"/>
    <w:rsid w:val="7C7A4310"/>
    <w:rsid w:val="7CA939DC"/>
    <w:rsid w:val="7D090751"/>
    <w:rsid w:val="7D614A09"/>
    <w:rsid w:val="7D7674C6"/>
    <w:rsid w:val="7D8145E2"/>
    <w:rsid w:val="7DA40243"/>
    <w:rsid w:val="7DAA000E"/>
    <w:rsid w:val="7DB8103B"/>
    <w:rsid w:val="7DD3780E"/>
    <w:rsid w:val="7DDB509C"/>
    <w:rsid w:val="7E285595"/>
    <w:rsid w:val="7E3B5CCE"/>
    <w:rsid w:val="7E916D19"/>
    <w:rsid w:val="7EB1090F"/>
    <w:rsid w:val="7F0662D0"/>
    <w:rsid w:val="7F196281"/>
    <w:rsid w:val="7F401D56"/>
    <w:rsid w:val="7F5A7476"/>
    <w:rsid w:val="7F687075"/>
    <w:rsid w:val="7FAE77FD"/>
    <w:rsid w:val="7FD05F79"/>
    <w:rsid w:val="ADDF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40" w:line="580" w:lineRule="exact"/>
      <w:ind w:left="646"/>
      <w:jc w:val="both"/>
    </w:pPr>
    <w:rPr>
      <w:rFonts w:ascii="Calibri" w:hAnsi="Calibri"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sz w:val="32"/>
    </w:rPr>
  </w:style>
  <w:style w:type="paragraph" w:styleId="6">
    <w:name w:val="heading 3"/>
    <w:basedOn w:val="1"/>
    <w:next w:val="1"/>
    <w:link w:val="20"/>
    <w:qFormat/>
    <w:uiPriority w:val="0"/>
    <w:pPr>
      <w:widowControl/>
      <w:spacing w:after="0" w:line="240" w:lineRule="auto"/>
      <w:ind w:left="0"/>
      <w:jc w:val="left"/>
      <w:outlineLvl w:val="2"/>
    </w:pPr>
    <w:rPr>
      <w:rFonts w:ascii="宋体" w:hAnsi="宋体"/>
      <w:b/>
      <w:sz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7">
    <w:name w:val="annotation text"/>
    <w:basedOn w:val="1"/>
    <w:semiHidden/>
    <w:unhideWhenUsed/>
    <w:qFormat/>
    <w:uiPriority w:val="99"/>
    <w:pPr>
      <w:jc w:val="left"/>
    </w:pPr>
  </w:style>
  <w:style w:type="paragraph" w:styleId="8">
    <w:name w:val="Body Text Indent"/>
    <w:basedOn w:val="1"/>
    <w:qFormat/>
    <w:uiPriority w:val="0"/>
    <w:pPr>
      <w:ind w:left="2603"/>
    </w:pPr>
    <w:rPr>
      <w:rFonts w:ascii="华文细黑" w:hAnsi="华文细黑" w:eastAsia="华文细黑"/>
      <w:color w:val="000000"/>
    </w:rPr>
  </w:style>
  <w:style w:type="paragraph" w:styleId="9">
    <w:name w:val="Balloon Text"/>
    <w:basedOn w:val="1"/>
    <w:link w:val="21"/>
    <w:qFormat/>
    <w:uiPriority w:val="0"/>
    <w:pPr>
      <w:spacing w:after="0" w:line="240" w:lineRule="auto"/>
    </w:pPr>
    <w:rPr>
      <w:sz w:val="18"/>
    </w:rPr>
  </w:style>
  <w:style w:type="paragraph" w:styleId="10">
    <w:name w:val="footer"/>
    <w:basedOn w:val="1"/>
    <w:link w:val="24"/>
    <w:qFormat/>
    <w:uiPriority w:val="0"/>
    <w:pPr>
      <w:tabs>
        <w:tab w:val="center" w:pos="4153"/>
        <w:tab w:val="right" w:pos="8306"/>
      </w:tabs>
      <w:snapToGrid w:val="0"/>
      <w:spacing w:line="240" w:lineRule="atLeast"/>
      <w:jc w:val="left"/>
    </w:pPr>
    <w:rPr>
      <w:sz w:val="18"/>
    </w:rPr>
  </w:style>
  <w:style w:type="paragraph" w:styleId="11">
    <w:name w:val="header"/>
    <w:basedOn w:val="1"/>
    <w:link w:val="25"/>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12">
    <w:name w:val="Normal (Web)"/>
    <w:basedOn w:val="1"/>
    <w:qFormat/>
    <w:uiPriority w:val="0"/>
    <w:pPr>
      <w:widowControl/>
      <w:spacing w:before="100" w:beforeAutospacing="1" w:after="100" w:afterAutospacing="1" w:line="240" w:lineRule="auto"/>
      <w:ind w:left="0"/>
      <w:jc w:val="left"/>
    </w:pPr>
    <w:rPr>
      <w:rFonts w:ascii="宋体" w:hAnsi="宋体"/>
      <w:kern w:val="0"/>
      <w:sz w:val="24"/>
    </w:rPr>
  </w:style>
  <w:style w:type="paragraph" w:styleId="13">
    <w:name w:val="Body Text First Indent 2"/>
    <w:basedOn w:val="8"/>
    <w:qFormat/>
    <w:uiPriority w:val="0"/>
    <w:pPr>
      <w:spacing w:after="120"/>
      <w:ind w:left="420" w:leftChars="200" w:firstLine="420" w:firstLineChars="200"/>
    </w:pPr>
    <w:rPr>
      <w:rFonts w:ascii="Times New Roman" w:hAnsi="Times New Roman" w:eastAsia="宋体"/>
      <w:color w:val="auto"/>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page number"/>
    <w:basedOn w:val="16"/>
    <w:qFormat/>
    <w:uiPriority w:val="0"/>
  </w:style>
  <w:style w:type="character" w:styleId="19">
    <w:name w:val="Hyperlink"/>
    <w:qFormat/>
    <w:uiPriority w:val="0"/>
    <w:rPr>
      <w:color w:val="0000CC"/>
      <w:u w:val="single"/>
    </w:rPr>
  </w:style>
  <w:style w:type="character" w:customStyle="1" w:styleId="20">
    <w:name w:val="标题 3 Char"/>
    <w:link w:val="6"/>
    <w:qFormat/>
    <w:uiPriority w:val="0"/>
    <w:rPr>
      <w:rFonts w:ascii="宋体" w:hAnsi="宋体"/>
      <w:b/>
      <w:sz w:val="27"/>
    </w:rPr>
  </w:style>
  <w:style w:type="character" w:customStyle="1" w:styleId="21">
    <w:name w:val="批注框文本 Char"/>
    <w:link w:val="9"/>
    <w:qFormat/>
    <w:uiPriority w:val="0"/>
    <w:rPr>
      <w:kern w:val="2"/>
      <w:sz w:val="18"/>
    </w:rPr>
  </w:style>
  <w:style w:type="character" w:customStyle="1" w:styleId="22">
    <w:name w:val="注释级别 2字符"/>
    <w:link w:val="23"/>
    <w:qFormat/>
    <w:uiPriority w:val="0"/>
    <w:rPr>
      <w:sz w:val="22"/>
      <w:lang w:val="en-US" w:eastAsia="zh-CN"/>
    </w:rPr>
  </w:style>
  <w:style w:type="paragraph" w:customStyle="1" w:styleId="23">
    <w:name w:val="Note Level 2"/>
    <w:link w:val="22"/>
    <w:qFormat/>
    <w:uiPriority w:val="0"/>
    <w:rPr>
      <w:rFonts w:ascii="Calibri" w:hAnsi="Calibri" w:eastAsia="宋体" w:cs="Times New Roman"/>
      <w:sz w:val="22"/>
      <w:lang w:val="en-US" w:eastAsia="zh-CN" w:bidi="ar-SA"/>
    </w:rPr>
  </w:style>
  <w:style w:type="character" w:customStyle="1" w:styleId="24">
    <w:name w:val="页脚 Char"/>
    <w:link w:val="10"/>
    <w:qFormat/>
    <w:uiPriority w:val="0"/>
    <w:rPr>
      <w:sz w:val="18"/>
    </w:rPr>
  </w:style>
  <w:style w:type="character" w:customStyle="1" w:styleId="25">
    <w:name w:val="页眉 Char"/>
    <w:link w:val="11"/>
    <w:qFormat/>
    <w:uiPriority w:val="0"/>
    <w:rPr>
      <w:sz w:val="18"/>
    </w:rPr>
  </w:style>
  <w:style w:type="character" w:customStyle="1" w:styleId="26">
    <w:name w:val="apple-converted-space"/>
    <w:qFormat/>
    <w:uiPriority w:val="0"/>
  </w:style>
  <w:style w:type="paragraph" w:customStyle="1" w:styleId="27">
    <w:name w:val="列出段落1"/>
    <w:basedOn w:val="1"/>
    <w:qFormat/>
    <w:uiPriority w:val="0"/>
    <w:pPr>
      <w:ind w:firstLine="420" w:firstLineChars="200"/>
    </w:pPr>
  </w:style>
  <w:style w:type="paragraph" w:customStyle="1" w:styleId="28">
    <w:name w:val="List Paragraph1"/>
    <w:basedOn w:val="1"/>
    <w:qFormat/>
    <w:uiPriority w:val="0"/>
    <w:pPr>
      <w:ind w:firstLine="420" w:firstLineChars="200"/>
    </w:pPr>
  </w:style>
  <w:style w:type="paragraph" w:customStyle="1" w:styleId="29">
    <w:name w:val="彩色列表1"/>
    <w:basedOn w:val="1"/>
    <w:qFormat/>
    <w:uiPriority w:val="0"/>
    <w:pPr>
      <w:ind w:firstLine="420" w:firstLineChars="200"/>
    </w:pPr>
  </w:style>
  <w:style w:type="paragraph" w:customStyle="1" w:styleId="30">
    <w:name w:val="正文 A"/>
    <w:qFormat/>
    <w:uiPriority w:val="0"/>
    <w:pPr>
      <w:widowControl w:val="0"/>
      <w:spacing w:after="240" w:line="580" w:lineRule="exact"/>
      <w:ind w:left="646"/>
      <w:jc w:val="both"/>
    </w:pPr>
    <w:rPr>
      <w:rFonts w:ascii="Calibri" w:hAnsi="Calibri" w:eastAsia="Calibri" w:cs="Calibri"/>
      <w:color w:val="000000"/>
      <w:kern w:val="2"/>
      <w:sz w:val="21"/>
      <w:szCs w:val="21"/>
      <w:u w:color="000000"/>
      <w:lang w:val="en-US" w:eastAsia="zh-CN" w:bidi="ar-SA"/>
    </w:rPr>
  </w:style>
  <w:style w:type="paragraph" w:customStyle="1" w:styleId="31">
    <w:name w:val="正文文本1"/>
    <w:basedOn w:val="1"/>
    <w:qFormat/>
    <w:uiPriority w:val="0"/>
    <w:pPr>
      <w:spacing w:line="384" w:lineRule="auto"/>
      <w:ind w:firstLine="400"/>
    </w:pPr>
    <w:rPr>
      <w:rFonts w:ascii="宋体" w:hAnsi="宋体" w:cs="宋体"/>
      <w:sz w:val="30"/>
      <w:szCs w:val="30"/>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b:Sources xmlns:b="http://schemas.openxmlformats.org/officeDocument/2006/bibliography" StyleName="APA" xmlns:b="http://schemas.openxmlformats.org/officeDocument/2006/bibliography"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DAF62-B0CD-4FA2-A5A2-DB16B6DA28A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4021</Words>
  <Characters>4044</Characters>
  <Lines>1</Lines>
  <Paragraphs>1</Paragraphs>
  <TotalTime>13</TotalTime>
  <ScaleCrop>false</ScaleCrop>
  <LinksUpToDate>false</LinksUpToDate>
  <CharactersWithSpaces>4851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2019-04-03T15:12:00Z</dcterms:created>
  <dc:creator>微软用户</dc:creator>
  <cp:lastModifiedBy>邱子萌</cp:lastModifiedBy>
  <cp:lastPrinted>2020-07-21T11:24:00Z</cp:lastPrinted>
  <dcterms:modified xsi:type="dcterms:W3CDTF">2026-04-15T09:45:20Z</dcterms:modified>
  <dc:title>合同编号：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39ABF362111B40EFB8EEDB3385D89078</vt:lpwstr>
  </property>
  <property fmtid="{D5CDD505-2E9C-101B-9397-08002B2CF9AE}" pid="4" name="KSOTemplateDocerSaveRecord">
    <vt:lpwstr>eyJoZGlkIjoiODgxOGMyN2JhZTY4YTkxNWNkYWM2ZWU0ZGJlNWYxYjciLCJ1c2VySWQiOiIyMDk1OTA1NjYifQ==</vt:lpwstr>
  </property>
</Properties>
</file>