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4"/>
        </w:rPr>
      </w:pPr>
      <w:r>
        <w:rPr>
          <w:rFonts w:hint="eastAsia" w:ascii="宋体" w:hAnsi="宋体"/>
          <w:b/>
          <w:bCs/>
          <w:sz w:val="44"/>
        </w:rPr>
        <w:t>深圳市龙岗区第七人民医院</w:t>
      </w:r>
    </w:p>
    <w:p>
      <w:pPr>
        <w:jc w:val="center"/>
        <w:rPr>
          <w:rFonts w:hint="eastAsia" w:ascii="宋体" w:hAnsi="宋体"/>
          <w:b/>
          <w:bCs/>
          <w:sz w:val="44"/>
        </w:rPr>
      </w:pPr>
      <w:r>
        <w:rPr>
          <w:rFonts w:hint="eastAsia" w:ascii="宋体" w:hAnsi="宋体"/>
          <w:b/>
          <w:bCs/>
          <w:sz w:val="44"/>
          <w:highlight w:val="none"/>
        </w:rPr>
        <w:t>基本公共卫生服务短信通知</w:t>
      </w:r>
      <w:r>
        <w:rPr>
          <w:rFonts w:hint="eastAsia" w:ascii="宋体" w:hAnsi="宋体"/>
          <w:b/>
          <w:bCs/>
          <w:sz w:val="44"/>
          <w:highlight w:val="none"/>
          <w:lang w:val="en-US" w:eastAsia="zh-CN"/>
        </w:rPr>
        <w:t>服务</w:t>
      </w:r>
      <w:r>
        <w:rPr>
          <w:rFonts w:hint="eastAsia" w:ascii="宋体" w:hAnsi="宋体"/>
          <w:b/>
          <w:bCs/>
          <w:sz w:val="44"/>
          <w:highlight w:val="none"/>
        </w:rPr>
        <w:t>项目</w:t>
      </w:r>
      <w:r>
        <w:rPr>
          <w:rFonts w:hint="eastAsia" w:ascii="宋体" w:hAnsi="宋体"/>
          <w:b/>
          <w:bCs/>
          <w:sz w:val="44"/>
        </w:rPr>
        <w:t>院内</w:t>
      </w:r>
    </w:p>
    <w:p>
      <w:pPr>
        <w:jc w:val="center"/>
        <w:rPr>
          <w:rFonts w:ascii="宋体" w:hAnsi="宋体"/>
          <w:b/>
          <w:bCs/>
          <w:sz w:val="44"/>
        </w:rPr>
      </w:pPr>
      <w:r>
        <w:rPr>
          <w:rFonts w:hint="eastAsia" w:ascii="宋体" w:hAnsi="宋体"/>
          <w:b/>
          <w:bCs/>
          <w:sz w:val="44"/>
        </w:rPr>
        <w:t>采购标书招标文件信息</w:t>
      </w:r>
    </w:p>
    <w:p>
      <w:pPr>
        <w:jc w:val="center"/>
        <w:rPr>
          <w:rFonts w:ascii="宋体" w:hAnsi="宋体"/>
          <w:b/>
          <w:bCs/>
          <w:sz w:val="44"/>
        </w:rPr>
      </w:pPr>
    </w:p>
    <w:p>
      <w:pPr>
        <w:pStyle w:val="2"/>
      </w:pPr>
    </w:p>
    <w:p>
      <w:pPr>
        <w:snapToGrid w:val="0"/>
        <w:spacing w:line="360" w:lineRule="auto"/>
        <w:rPr>
          <w:rFonts w:hint="eastAsia" w:ascii="仿宋_GB2312" w:hAnsi="仿宋_GB2312" w:eastAsia="仿宋_GB2312" w:cs="仿宋_GB2312"/>
          <w:color w:val="auto"/>
          <w:sz w:val="36"/>
          <w:szCs w:val="36"/>
          <w:lang w:eastAsia="zh-CN"/>
        </w:rPr>
      </w:pPr>
      <w:r>
        <w:rPr>
          <w:rFonts w:hint="eastAsia" w:ascii="仿宋_GB2312" w:hAnsi="仿宋_GB2312" w:eastAsia="仿宋_GB2312" w:cs="仿宋_GB2312"/>
          <w:b/>
          <w:bCs/>
          <w:color w:val="auto"/>
          <w:sz w:val="36"/>
          <w:szCs w:val="36"/>
        </w:rPr>
        <w:t>采购项目：</w:t>
      </w:r>
      <w:r>
        <w:rPr>
          <w:rFonts w:hint="eastAsia" w:ascii="仿宋_GB2312" w:hAnsi="仿宋_GB2312" w:eastAsia="仿宋_GB2312" w:cs="仿宋_GB2312"/>
          <w:color w:val="auto"/>
          <w:sz w:val="36"/>
          <w:szCs w:val="36"/>
        </w:rPr>
        <w:t>深圳市龙岗区第七人民医院</w:t>
      </w:r>
      <w:r>
        <w:rPr>
          <w:rFonts w:hint="eastAsia" w:ascii="仿宋_GB2312" w:hAnsi="仿宋_GB2312" w:eastAsia="仿宋_GB2312" w:cs="仿宋_GB2312"/>
          <w:color w:val="auto"/>
          <w:sz w:val="36"/>
          <w:szCs w:val="36"/>
          <w:lang w:eastAsia="zh-CN"/>
        </w:rPr>
        <w:t>基本公共卫生</w:t>
      </w:r>
    </w:p>
    <w:p>
      <w:pPr>
        <w:snapToGrid w:val="0"/>
        <w:spacing w:line="360" w:lineRule="auto"/>
        <w:rPr>
          <w:rFonts w:hint="eastAsia" w:ascii="仿宋_GB2312" w:hAnsi="仿宋_GB2312" w:eastAsia="仿宋_GB2312" w:cs="仿宋_GB2312"/>
          <w:color w:val="auto"/>
          <w:sz w:val="36"/>
          <w:szCs w:val="36"/>
          <w:lang w:eastAsia="zh-CN"/>
        </w:rPr>
      </w:pPr>
      <w:r>
        <w:rPr>
          <w:rFonts w:hint="eastAsia" w:ascii="仿宋_GB2312" w:hAnsi="仿宋_GB2312" w:eastAsia="仿宋_GB2312" w:cs="仿宋_GB2312"/>
          <w:color w:val="auto"/>
          <w:sz w:val="36"/>
          <w:szCs w:val="36"/>
          <w:lang w:eastAsia="zh-CN"/>
        </w:rPr>
        <w:t>服务短信通知服务项目</w:t>
      </w:r>
    </w:p>
    <w:p>
      <w:pPr>
        <w:snapToGrid w:val="0"/>
        <w:spacing w:line="360" w:lineRule="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sz w:val="36"/>
          <w:szCs w:val="36"/>
          <w:highlight w:val="none"/>
        </w:rPr>
        <w:t>深龙七医采[</w:t>
      </w:r>
      <w:r>
        <w:rPr>
          <w:rFonts w:hint="eastAsia" w:ascii="仿宋_GB2312" w:hAnsi="仿宋_GB2312" w:eastAsia="仿宋_GB2312" w:cs="仿宋_GB2312"/>
          <w:sz w:val="36"/>
          <w:szCs w:val="36"/>
          <w:lang w:eastAsia="zh-CN"/>
        </w:rPr>
        <w:t>LGQY2026XX00</w:t>
      </w:r>
      <w:r>
        <w:rPr>
          <w:rFonts w:hint="eastAsia" w:ascii="仿宋_GB2312" w:hAnsi="仿宋_GB2312" w:eastAsia="仿宋_GB2312" w:cs="仿宋_GB2312"/>
          <w:sz w:val="36"/>
          <w:szCs w:val="36"/>
          <w:lang w:val="en-US" w:eastAsia="zh-CN"/>
        </w:rPr>
        <w:t>3</w:t>
      </w:r>
      <w:r>
        <w:rPr>
          <w:rFonts w:hint="eastAsia" w:ascii="仿宋_GB2312" w:hAnsi="仿宋_GB2312" w:eastAsia="仿宋_GB2312" w:cs="仿宋_GB2312"/>
          <w:sz w:val="36"/>
          <w:szCs w:val="36"/>
          <w:highlight w:val="none"/>
        </w:rPr>
        <w:t>]</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rPr>
        <w:t>服务类</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rPr>
        <w:t>1项</w:t>
      </w:r>
    </w:p>
    <w:p>
      <w:pPr>
        <w:snapToGrid w:val="0"/>
        <w:spacing w:line="360" w:lineRule="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bCs/>
          <w:sz w:val="36"/>
          <w:szCs w:val="36"/>
        </w:rPr>
        <w:t>预算金额：</w:t>
      </w:r>
      <w:r>
        <w:rPr>
          <w:rFonts w:hint="eastAsia" w:ascii="仿宋_GB2312" w:hAnsi="仿宋_GB2312" w:eastAsia="仿宋_GB2312" w:cs="仿宋_GB2312"/>
          <w:b w:val="0"/>
          <w:bCs w:val="0"/>
          <w:sz w:val="36"/>
          <w:szCs w:val="36"/>
          <w:lang w:val="en-US" w:eastAsia="zh-CN"/>
        </w:rPr>
        <w:t>10.5</w:t>
      </w:r>
      <w:r>
        <w:rPr>
          <w:rFonts w:hint="eastAsia" w:ascii="仿宋_GB2312" w:hAnsi="仿宋_GB2312" w:eastAsia="仿宋_GB2312" w:cs="仿宋_GB2312"/>
          <w:sz w:val="36"/>
          <w:szCs w:val="36"/>
        </w:rPr>
        <w:t>万元</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院内公开采购</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snapToGrid w:val="0"/>
        <w:spacing w:line="360" w:lineRule="auto"/>
        <w:rPr>
          <w:rFonts w:ascii="方正仿宋_GB2312" w:hAnsi="方正仿宋_GB2312" w:eastAsia="方正仿宋_GB2312" w:cs="方正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8"/>
        <w:rPr>
          <w:rFonts w:hint="default"/>
        </w:rPr>
      </w:pPr>
    </w:p>
    <w:p>
      <w:pPr>
        <w:pStyle w:val="8"/>
        <w:rPr>
          <w:rFonts w:hint="default"/>
          <w:szCs w:val="20"/>
        </w:rPr>
      </w:pPr>
    </w:p>
    <w:p>
      <w:pPr>
        <w:pStyle w:val="5"/>
      </w:pPr>
    </w:p>
    <w:p>
      <w:pPr>
        <w:pStyle w:val="3"/>
      </w:pPr>
    </w:p>
    <w:p/>
    <w:p>
      <w:pPr>
        <w:pStyle w:val="3"/>
        <w:ind w:firstLine="2160" w:firstLineChars="6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日期：</w:t>
      </w:r>
      <w:r>
        <w:rPr>
          <w:rFonts w:hint="eastAsia" w:ascii="仿宋_GB2312" w:hAnsi="仿宋_GB2312" w:eastAsia="仿宋_GB2312" w:cs="仿宋_GB2312"/>
          <w:sz w:val="36"/>
          <w:szCs w:val="36"/>
          <w:lang w:val="en-US" w:eastAsia="zh-CN"/>
        </w:rPr>
        <w:t>2026</w:t>
      </w:r>
      <w:r>
        <w:rPr>
          <w:rFonts w:hint="eastAsia" w:ascii="仿宋_GB2312" w:hAnsi="仿宋_GB2312" w:eastAsia="仿宋_GB2312" w:cs="仿宋_GB2312"/>
          <w:sz w:val="36"/>
          <w:szCs w:val="36"/>
        </w:rPr>
        <w:t>年</w:t>
      </w:r>
      <w:r>
        <w:rPr>
          <w:rFonts w:hint="eastAsia" w:ascii="仿宋_GB2312" w:hAnsi="仿宋_GB2312" w:eastAsia="仿宋_GB2312" w:cs="仿宋_GB2312"/>
          <w:sz w:val="36"/>
          <w:szCs w:val="36"/>
          <w:lang w:val="en-US" w:eastAsia="zh-CN"/>
        </w:rPr>
        <w:t>4</w:t>
      </w:r>
      <w:r>
        <w:rPr>
          <w:rFonts w:hint="eastAsia" w:ascii="仿宋_GB2312" w:hAnsi="仿宋_GB2312" w:eastAsia="仿宋_GB2312" w:cs="仿宋_GB2312"/>
          <w:sz w:val="36"/>
          <w:szCs w:val="36"/>
        </w:rPr>
        <w:t>月</w:t>
      </w:r>
      <w:r>
        <w:rPr>
          <w:rFonts w:hint="eastAsia" w:ascii="仿宋_GB2312" w:hAnsi="仿宋_GB2312" w:eastAsia="仿宋_GB2312" w:cs="仿宋_GB2312"/>
          <w:sz w:val="36"/>
          <w:szCs w:val="36"/>
          <w:lang w:val="en-US" w:eastAsia="zh-CN"/>
        </w:rPr>
        <w:t>14</w:t>
      </w:r>
      <w:r>
        <w:rPr>
          <w:rFonts w:hint="eastAsia" w:ascii="仿宋_GB2312" w:hAnsi="仿宋_GB2312" w:eastAsia="仿宋_GB2312" w:cs="仿宋_GB2312"/>
          <w:sz w:val="36"/>
          <w:szCs w:val="36"/>
        </w:rPr>
        <w:t>日</w:t>
      </w:r>
    </w:p>
    <w:p>
      <w:pPr>
        <w:rPr>
          <w:rFonts w:ascii="方正仿宋_GB2312" w:hAnsi="方正仿宋_GB2312" w:eastAsia="方正仿宋_GB2312" w:cs="方正仿宋_GB2312"/>
          <w:sz w:val="32"/>
          <w:szCs w:val="32"/>
        </w:rPr>
      </w:pPr>
    </w:p>
    <w:p>
      <w:pPr>
        <w:pStyle w:val="2"/>
      </w:pPr>
    </w:p>
    <w:p/>
    <w:p>
      <w:pPr>
        <w:spacing w:line="360" w:lineRule="auto"/>
        <w:jc w:val="center"/>
        <w:rPr>
          <w:rFonts w:ascii="方正仿宋_GB2312" w:hAnsi="方正仿宋_GB2312" w:eastAsia="方正仿宋_GB2312" w:cs="方正仿宋_GB2312"/>
          <w:b/>
          <w:bCs/>
          <w:sz w:val="36"/>
          <w:szCs w:val="36"/>
        </w:rPr>
      </w:pPr>
      <w:r>
        <w:rPr>
          <w:rFonts w:hint="eastAsia" w:ascii="宋体" w:hAnsi="宋体" w:cs="宋体"/>
          <w:b/>
          <w:bCs/>
          <w:sz w:val="40"/>
          <w:szCs w:val="40"/>
        </w:rPr>
        <w:t>第一章</w:t>
      </w:r>
    </w:p>
    <w:p>
      <w:pPr>
        <w:pStyle w:val="20"/>
        <w:spacing w:line="560" w:lineRule="exact"/>
        <w:ind w:firstLine="0" w:firstLineChars="0"/>
        <w:jc w:val="center"/>
        <w:rPr>
          <w:rFonts w:hint="eastAsia" w:ascii="宋体" w:hAnsi="宋体" w:eastAsia="宋体" w:cs="黑体"/>
          <w:color w:val="000000"/>
          <w:kern w:val="0"/>
          <w:sz w:val="40"/>
          <w:szCs w:val="40"/>
          <w:lang w:eastAsia="zh-CN"/>
        </w:rPr>
      </w:pPr>
      <w:r>
        <w:rPr>
          <w:rFonts w:hint="eastAsia" w:ascii="宋体" w:hAnsi="宋体" w:eastAsia="宋体" w:cs="黑体"/>
          <w:color w:val="000000"/>
          <w:kern w:val="0"/>
          <w:sz w:val="40"/>
          <w:szCs w:val="40"/>
        </w:rPr>
        <w:t>深圳市龙岗区第七人民医院</w:t>
      </w:r>
      <w:r>
        <w:rPr>
          <w:rFonts w:hint="eastAsia" w:ascii="宋体" w:hAnsi="宋体" w:eastAsia="宋体" w:cs="黑体"/>
          <w:color w:val="000000"/>
          <w:kern w:val="0"/>
          <w:sz w:val="40"/>
          <w:szCs w:val="40"/>
          <w:lang w:eastAsia="zh-CN"/>
        </w:rPr>
        <w:t>基本公共卫生服务</w:t>
      </w:r>
    </w:p>
    <w:p>
      <w:pPr>
        <w:pStyle w:val="20"/>
        <w:spacing w:line="560" w:lineRule="exact"/>
        <w:ind w:firstLine="0" w:firstLineChars="0"/>
        <w:jc w:val="center"/>
        <w:rPr>
          <w:rFonts w:ascii="宋体" w:hAnsi="宋体" w:eastAsia="宋体" w:cs="黑体"/>
          <w:color w:val="000000"/>
          <w:kern w:val="0"/>
          <w:sz w:val="40"/>
          <w:szCs w:val="40"/>
        </w:rPr>
      </w:pPr>
      <w:r>
        <w:rPr>
          <w:rFonts w:hint="eastAsia" w:ascii="宋体" w:hAnsi="宋体" w:eastAsia="宋体" w:cs="黑体"/>
          <w:color w:val="000000"/>
          <w:kern w:val="0"/>
          <w:sz w:val="40"/>
          <w:szCs w:val="40"/>
          <w:lang w:eastAsia="zh-CN"/>
        </w:rPr>
        <w:t>短信通知服务项目</w:t>
      </w:r>
      <w:r>
        <w:rPr>
          <w:rFonts w:hint="eastAsia" w:ascii="宋体" w:hAnsi="宋体" w:eastAsia="宋体" w:cs="黑体"/>
          <w:color w:val="000000"/>
          <w:kern w:val="0"/>
          <w:sz w:val="40"/>
          <w:szCs w:val="40"/>
        </w:rPr>
        <w:t>院内公开采购的公告</w:t>
      </w:r>
    </w:p>
    <w:p>
      <w:pPr>
        <w:spacing w:line="480" w:lineRule="exact"/>
        <w:ind w:firstLine="560" w:firstLineChars="200"/>
        <w:rPr>
          <w:rFonts w:ascii="方正仿宋_GB2312" w:hAnsi="宋体" w:eastAsia="方正仿宋_GB2312"/>
          <w:sz w:val="28"/>
          <w:szCs w:val="28"/>
        </w:rPr>
      </w:pP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根据政府采购的相关规定和《深圳市龙岗区第七人民医院采购管理办法》的有关规定，我院拟对以下项目进行院内公开招标，欢迎符合条件具有供应能力的供应商前来报名参加。</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一、采购项目</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（一）项目编号：</w:t>
      </w:r>
      <w:r>
        <w:rPr>
          <w:rFonts w:hint="eastAsia" w:ascii="仿宋_GB2312" w:hAnsi="仿宋_GB2312" w:eastAsia="仿宋_GB2312" w:cs="仿宋_GB2312"/>
          <w:sz w:val="28"/>
          <w:szCs w:val="28"/>
          <w:highlight w:val="none"/>
        </w:rPr>
        <w:t>深龙七医采[</w:t>
      </w:r>
      <w:r>
        <w:rPr>
          <w:rFonts w:hint="eastAsia" w:ascii="仿宋_GB2312" w:hAnsi="仿宋_GB2312" w:eastAsia="仿宋_GB2312" w:cs="仿宋_GB2312"/>
          <w:sz w:val="28"/>
          <w:szCs w:val="28"/>
          <w:lang w:eastAsia="zh-CN"/>
        </w:rPr>
        <w:t>LGQY2026XX00</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highlight w:val="none"/>
        </w:rPr>
        <w:t>]</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rPr>
        <w:t>（二）项目名称：深圳市龙岗区第七人民医院</w:t>
      </w: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基本公共卫生服务短信通知服务项目</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（三）采购数量：1项</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（四）预算金额/最高限价：</w:t>
      </w:r>
      <w:r>
        <w:rPr>
          <w:rFonts w:hint="eastAsia" w:ascii="仿宋_GB2312" w:hAnsi="仿宋_GB2312" w:eastAsia="仿宋_GB2312" w:cs="仿宋_GB2312"/>
          <w:sz w:val="28"/>
          <w:szCs w:val="28"/>
          <w:lang w:val="en-US" w:eastAsia="zh-CN"/>
        </w:rPr>
        <w:t>10.5</w:t>
      </w:r>
      <w:r>
        <w:rPr>
          <w:rFonts w:hint="eastAsia" w:ascii="仿宋_GB2312" w:hAnsi="仿宋_GB2312" w:eastAsia="仿宋_GB2312" w:cs="仿宋_GB2312"/>
          <w:sz w:val="28"/>
          <w:szCs w:val="28"/>
        </w:rPr>
        <w:t>万元</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二、资质要求</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（二）本项目的特定资格要求（须按本项目投标文件格式要求提供《投标及履约承诺函》加盖投标人公章）：</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1.参与本项目采购活动前三年内，在经营活动中没有重大违法记录；</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2.参与本项目采购活动时不存在被有关部门禁止参与政府采购活动且在有效期内的情况；</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3.除单一来源采购项目外，为采购项目提供整体设计、规范编制或者项目管理、监理、检测等服务的供应商，不得再参加该采购项目的其他采购活动；</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4.参与本项目采购活动不存在与其他采购参加人串通投标，隐瞒真实情况，提供虚假资料等违法违规情形；</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须按本项目投标文件格式要求提供《供应商基本情况表》相关信息）；</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0"/>
        <w:keepNext w:val="0"/>
        <w:keepLines w:val="0"/>
        <w:pageBreakBefore w:val="0"/>
        <w:kinsoku/>
        <w:wordWrap/>
        <w:overflowPunct/>
        <w:topLinePunct w:val="0"/>
        <w:autoSpaceDE/>
        <w:autoSpaceDN/>
        <w:bidi w:val="0"/>
        <w:adjustRightInd/>
        <w:snapToGrid/>
        <w:spacing w:line="400" w:lineRule="exact"/>
        <w:textAlignment w:val="auto"/>
        <w:rPr>
          <w:rStyle w:val="19"/>
          <w:rFonts w:hint="eastAsia" w:ascii="仿宋_GB2312" w:hAnsi="仿宋_GB2312" w:eastAsia="仿宋_GB2312" w:cs="仿宋_GB2312"/>
          <w:color w:val="auto"/>
          <w:sz w:val="28"/>
          <w:szCs w:val="28"/>
        </w:rPr>
      </w:pPr>
      <w:r>
        <w:rPr>
          <w:rFonts w:hint="eastAsia" w:ascii="仿宋_GB2312" w:hAnsi="仿宋_GB2312" w:eastAsia="仿宋_GB2312" w:cs="仿宋_GB2312"/>
        </w:rPr>
        <w:t>7.法律、行政法规和国家有关规定对供应商从事特定经营活动有资质、资格规定的，供应商应当具备的相应条件；</w:t>
      </w:r>
    </w:p>
    <w:p>
      <w:pPr>
        <w:pStyle w:val="20"/>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8.本项目不接受联合体投标，不允许非法分包或转包。</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三、采购方式：院内公开招标</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四、评标方法：综合评分法</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五、投标人报名资料要求</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（一）院内采购报名表。</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（二）法定代表人参加的提供法定代表人资格证明书及个人身份证复印件；非法定代表人参加的须提供法定代表人资格证明书及法定代表人身份证复印件、法定代表人授权书及授权代表人身份证复印件。</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（三）供应商须提供具有独立承担民事责任能力的法人或其他组织或个体工商户的营业执照或法人证书等证明材料复印件或扫描件。</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（四）供应商基本情况表。</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（五）提供法定代表人、主要经营负责人、投标授权代表人、项目负责人（如有）、主要技术人员（如有）最近一个月的社保证明。</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（六）通过以下3个官网的信用信息查询记录网络截图件并加盖投标人公章：①信用中国②中国政府采购网③深圳市政府采购监管网。相关信息以开标当日的查询结果为准。</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（七）投标及履约承诺函。</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以上资料均需在有效期内并加盖投标方公章。本项目实行资格预审，投标人报名时将进行资格审查，未经审查或审查未通过的不能参与投标。</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w:t>
      </w:r>
      <w:r>
        <w:rPr>
          <w:rFonts w:hint="eastAsia" w:ascii="仿宋_GB2312" w:hAnsi="仿宋_GB2312" w:eastAsia="仿宋_GB2312" w:cs="仿宋_GB2312"/>
          <w:sz w:val="28"/>
          <w:szCs w:val="28"/>
          <w:lang w:val="en-US" w:eastAsia="zh-CN"/>
        </w:rPr>
        <w:t>现场</w:t>
      </w:r>
      <w:r>
        <w:rPr>
          <w:rFonts w:hint="eastAsia" w:ascii="仿宋_GB2312" w:hAnsi="仿宋_GB2312" w:eastAsia="仿宋_GB2312" w:cs="仿宋_GB2312"/>
          <w:sz w:val="28"/>
          <w:szCs w:val="28"/>
        </w:rPr>
        <w:t>报名截止时间及地点：202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日下午</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点，深圳市龙岗区布吉街道吉华路175号综合楼8</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室。</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七、递交投标文件及开标时间及地点：202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日下午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点，深圳市龙岗区布吉街道吉华路175号综合楼807室（如有变动，另行通知）。</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八、联系人及联系电话：陈女士，</w:t>
      </w:r>
      <w:r>
        <w:rPr>
          <w:rFonts w:hint="eastAsia" w:ascii="仿宋_GB2312" w:hAnsi="仿宋_GB2312" w:eastAsia="仿宋_GB2312" w:cs="仿宋_GB2312"/>
          <w:sz w:val="28"/>
          <w:szCs w:val="28"/>
          <w:highlight w:val="none"/>
        </w:rPr>
        <w:t>0755-</w:t>
      </w:r>
      <w:r>
        <w:rPr>
          <w:rFonts w:hint="eastAsia" w:ascii="仿宋_GB2312" w:hAnsi="仿宋_GB2312" w:eastAsia="仿宋_GB2312" w:cs="仿宋_GB2312"/>
          <w:kern w:val="2"/>
          <w:sz w:val="28"/>
          <w:szCs w:val="28"/>
          <w:lang w:val="en-US" w:eastAsia="zh-CN" w:bidi="ar-SA"/>
        </w:rPr>
        <w:t>28753063-3234</w:t>
      </w:r>
      <w:r>
        <w:rPr>
          <w:rFonts w:hint="eastAsia" w:ascii="仿宋_GB2312" w:hAnsi="仿宋_GB2312" w:eastAsia="仿宋_GB2312" w:cs="仿宋_GB2312"/>
          <w:sz w:val="28"/>
          <w:szCs w:val="28"/>
        </w:rPr>
        <w:t>。</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九、公告日期：自公告发布之日起5个工作日。</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pStyle w:val="21"/>
        <w:keepNext w:val="0"/>
        <w:keepLines w:val="0"/>
        <w:pageBreakBefore w:val="0"/>
        <w:kinsoku/>
        <w:wordWrap/>
        <w:overflowPunct/>
        <w:topLinePunct w:val="0"/>
        <w:autoSpaceDE/>
        <w:autoSpaceDN/>
        <w:bidi w:val="0"/>
        <w:adjustRightInd/>
        <w:snapToGrid/>
        <w:spacing w:line="400" w:lineRule="exact"/>
        <w:ind w:firstLine="56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pStyle w:val="21"/>
        <w:keepNext w:val="0"/>
        <w:keepLines w:val="0"/>
        <w:pageBreakBefore w:val="0"/>
        <w:kinsoku/>
        <w:wordWrap/>
        <w:overflowPunct/>
        <w:topLinePunct w:val="0"/>
        <w:autoSpaceDE/>
        <w:autoSpaceDN/>
        <w:bidi w:val="0"/>
        <w:adjustRightInd/>
        <w:snapToGrid/>
        <w:spacing w:line="400" w:lineRule="exact"/>
        <w:ind w:firstLine="56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2.深圳市龙岗区第七人民医院</w:t>
      </w:r>
      <w:r>
        <w:rPr>
          <w:rFonts w:hint="eastAsia" w:ascii="仿宋_GB2312" w:hAnsi="仿宋_GB2312" w:eastAsia="仿宋_GB2312" w:cs="仿宋_GB2312"/>
          <w:sz w:val="28"/>
          <w:szCs w:val="28"/>
          <w:lang w:eastAsia="zh-CN"/>
        </w:rPr>
        <w:t>基本公共卫生服务短信通知服务项目</w:t>
      </w:r>
      <w:r>
        <w:rPr>
          <w:rFonts w:hint="eastAsia" w:ascii="仿宋_GB2312" w:hAnsi="仿宋_GB2312" w:eastAsia="仿宋_GB2312" w:cs="仿宋_GB2312"/>
          <w:sz w:val="28"/>
          <w:szCs w:val="28"/>
        </w:rPr>
        <w:t>招标文件</w:t>
      </w:r>
    </w:p>
    <w:p>
      <w:pPr>
        <w:pStyle w:val="21"/>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8"/>
          <w:szCs w:val="28"/>
        </w:rPr>
      </w:pPr>
    </w:p>
    <w:p>
      <w:pPr>
        <w:pStyle w:val="21"/>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8"/>
          <w:szCs w:val="28"/>
        </w:rPr>
      </w:pPr>
    </w:p>
    <w:p>
      <w:pPr>
        <w:pStyle w:val="21"/>
        <w:keepNext w:val="0"/>
        <w:keepLines w:val="0"/>
        <w:pageBreakBefore w:val="0"/>
        <w:kinsoku/>
        <w:wordWrap/>
        <w:overflowPunct/>
        <w:topLinePunct w:val="0"/>
        <w:autoSpaceDE/>
        <w:autoSpaceDN/>
        <w:bidi w:val="0"/>
        <w:adjustRightInd/>
        <w:snapToGrid/>
        <w:spacing w:line="400" w:lineRule="exact"/>
        <w:ind w:firstLine="56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深圳市龙岗区第七人民医院</w:t>
      </w:r>
    </w:p>
    <w:p>
      <w:pPr>
        <w:pStyle w:val="21"/>
        <w:keepNext w:val="0"/>
        <w:keepLines w:val="0"/>
        <w:pageBreakBefore w:val="0"/>
        <w:kinsoku/>
        <w:wordWrap/>
        <w:overflowPunct/>
        <w:topLinePunct w:val="0"/>
        <w:autoSpaceDE/>
        <w:autoSpaceDN/>
        <w:bidi w:val="0"/>
        <w:adjustRightInd/>
        <w:snapToGrid/>
        <w:spacing w:line="400" w:lineRule="exact"/>
        <w:ind w:firstLine="56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FFC000"/>
          <w:sz w:val="28"/>
          <w:szCs w:val="28"/>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日</w:t>
      </w:r>
    </w:p>
    <w:p>
      <w:pPr>
        <w:rPr>
          <w:rFonts w:hint="eastAsia" w:ascii="仿宋_GB2312" w:hAnsi="仿宋_GB2312" w:eastAsia="仿宋_GB2312" w:cs="仿宋_GB2312"/>
          <w:sz w:val="28"/>
          <w:szCs w:val="28"/>
        </w:rPr>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numPr>
          <w:ilvl w:val="0"/>
          <w:numId w:val="1"/>
        </w:numPr>
        <w:spacing w:line="360" w:lineRule="auto"/>
        <w:jc w:val="center"/>
        <w:rPr>
          <w:rFonts w:hint="eastAsia" w:ascii="方正仿宋_GB2312" w:hAnsi="方正仿宋_GB2312" w:eastAsia="方正仿宋_GB2312" w:cs="方正仿宋_GB2312"/>
          <w:b/>
          <w:bCs/>
          <w:sz w:val="44"/>
          <w:szCs w:val="44"/>
        </w:rPr>
      </w:pPr>
      <w:r>
        <w:rPr>
          <w:rFonts w:hint="eastAsia" w:ascii="方正仿宋_GB2312" w:hAnsi="方正仿宋_GB2312" w:eastAsia="方正仿宋_GB2312" w:cs="方正仿宋_GB2312"/>
          <w:b/>
          <w:bCs/>
          <w:sz w:val="44"/>
          <w:szCs w:val="44"/>
        </w:rPr>
        <w:t xml:space="preserve"> 院内公开采购项目需求</w:t>
      </w:r>
    </w:p>
    <w:p>
      <w:pPr>
        <w:pStyle w:val="20"/>
        <w:autoSpaceDE/>
        <w:autoSpaceDN/>
        <w:spacing w:line="400" w:lineRule="exact"/>
        <w:ind w:firstLine="561" w:firstLineChars="200"/>
        <w:rPr>
          <w:rFonts w:hint="eastAsia" w:ascii="方正仿宋_GB18030" w:hAnsi="方正仿宋_GB18030" w:eastAsia="方正仿宋_GB18030" w:cs="方正仿宋_GB18030"/>
          <w:b/>
          <w:bCs/>
          <w:lang w:val="en-US" w:eastAsia="zh-CN"/>
        </w:rPr>
      </w:pPr>
      <w:r>
        <w:rPr>
          <w:rFonts w:hint="eastAsia" w:ascii="方正仿宋_GB18030" w:hAnsi="方正仿宋_GB18030" w:eastAsia="方正仿宋_GB18030" w:cs="方正仿宋_GB18030"/>
          <w:b/>
          <w:bCs/>
          <w:lang w:val="en-US" w:eastAsia="zh-CN"/>
        </w:rPr>
        <w:t>一、</w:t>
      </w:r>
      <w:r>
        <w:rPr>
          <w:rFonts w:hint="eastAsia"/>
          <w:b/>
          <w:bCs/>
        </w:rPr>
        <w:t>项</w:t>
      </w:r>
      <w:r>
        <w:rPr>
          <w:rFonts w:hint="eastAsia"/>
          <w:b/>
          <w:bCs/>
          <w:kern w:val="0"/>
        </w:rPr>
        <w:t>目概况</w:t>
      </w:r>
    </w:p>
    <w:p>
      <w:pPr>
        <w:pStyle w:val="20"/>
        <w:keepNext w:val="0"/>
        <w:keepLines w:val="0"/>
        <w:pageBreakBefore w:val="0"/>
        <w:numPr>
          <w:ilvl w:val="-1"/>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为提升我院辖区基本公共卫生服务体验</w:t>
      </w:r>
      <w:r>
        <w:rPr>
          <w:rFonts w:hint="eastAsia" w:ascii="仿宋_GB2312" w:hAnsi="仿宋_GB2312" w:eastAsia="仿宋_GB2312" w:cs="仿宋_GB2312"/>
          <w:sz w:val="28"/>
          <w:szCs w:val="28"/>
        </w:rPr>
        <w:t>，通过精准推送短信，及时传递健康信息，提醒居民参与体检、随访、疫苗接种等服务，从而提高居民健康素养，增强居民</w:t>
      </w:r>
      <w:r>
        <w:rPr>
          <w:rFonts w:hint="eastAsia" w:ascii="仿宋_GB2312" w:hAnsi="仿宋_GB2312" w:eastAsia="仿宋_GB2312" w:cs="仿宋_GB2312"/>
          <w:sz w:val="28"/>
          <w:szCs w:val="28"/>
          <w:lang w:val="en-US" w:eastAsia="zh-CN"/>
        </w:rPr>
        <w:t>基本公共卫生</w:t>
      </w:r>
      <w:r>
        <w:rPr>
          <w:rFonts w:hint="eastAsia" w:ascii="仿宋_GB2312" w:hAnsi="仿宋_GB2312" w:eastAsia="仿宋_GB2312" w:cs="仿宋_GB2312"/>
          <w:sz w:val="28"/>
          <w:szCs w:val="28"/>
        </w:rPr>
        <w:t>服务的认同感和依从性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拟采购深圳市</w:t>
      </w:r>
      <w:r>
        <w:rPr>
          <w:rFonts w:hint="eastAsia" w:ascii="仿宋_GB2312" w:hAnsi="仿宋_GB2312" w:eastAsia="仿宋_GB2312" w:cs="仿宋_GB2312"/>
          <w:sz w:val="28"/>
          <w:szCs w:val="28"/>
        </w:rPr>
        <w:t>龙岗区第七人民医院</w:t>
      </w:r>
      <w:r>
        <w:rPr>
          <w:rFonts w:hint="eastAsia" w:ascii="仿宋_GB2312" w:hAnsi="仿宋_GB2312" w:eastAsia="仿宋_GB2312" w:cs="仿宋_GB2312"/>
          <w:bCs w:val="0"/>
          <w:sz w:val="28"/>
          <w:szCs w:val="28"/>
          <w:lang w:eastAsia="zh-CN"/>
        </w:rPr>
        <w:t>基本公共卫生服务短信通知服务项目</w:t>
      </w:r>
      <w:r>
        <w:rPr>
          <w:rFonts w:hint="eastAsia" w:ascii="仿宋_GB2312" w:hAnsi="仿宋_GB2312" w:eastAsia="仿宋_GB2312" w:cs="仿宋_GB2312"/>
          <w:sz w:val="28"/>
          <w:szCs w:val="28"/>
        </w:rPr>
        <w:t>。</w:t>
      </w:r>
    </w:p>
    <w:p>
      <w:pPr>
        <w:pStyle w:val="20"/>
        <w:keepNext w:val="0"/>
        <w:keepLines w:val="0"/>
        <w:pageBreakBefore w:val="0"/>
        <w:widowControl/>
        <w:numPr>
          <w:ilvl w:val="-1"/>
          <w:numId w:val="0"/>
        </w:numPr>
        <w:kinsoku/>
        <w:wordWrap/>
        <w:overflowPunct/>
        <w:topLinePunct w:val="0"/>
        <w:autoSpaceDE/>
        <w:autoSpaceDN/>
        <w:bidi w:val="0"/>
        <w:adjustRightInd/>
        <w:snapToGrid/>
        <w:spacing w:line="400" w:lineRule="exact"/>
        <w:ind w:firstLine="562" w:firstLineChars="200"/>
        <w:textAlignment w:val="auto"/>
        <w:rPr>
          <w:rFonts w:hint="eastAsia"/>
          <w:b/>
          <w:bCs/>
          <w:kern w:val="0"/>
          <w:lang w:val="en-US" w:eastAsia="zh-CN"/>
        </w:rPr>
      </w:pPr>
      <w:r>
        <w:rPr>
          <w:rFonts w:hint="eastAsia"/>
          <w:b/>
          <w:bCs/>
          <w:kern w:val="0"/>
          <w:lang w:val="en-US" w:eastAsia="zh-CN"/>
        </w:rPr>
        <w:t>二、主要内容</w:t>
      </w:r>
    </w:p>
    <w:p>
      <w:pPr>
        <w:pStyle w:val="20"/>
        <w:keepNext w:val="0"/>
        <w:keepLines w:val="0"/>
        <w:pageBreakBefore w:val="0"/>
        <w:widowControl/>
        <w:numPr>
          <w:ilvl w:val="-1"/>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短信发送系统</w:t>
      </w:r>
    </w:p>
    <w:p>
      <w:pPr>
        <w:pStyle w:val="20"/>
        <w:keepNext w:val="0"/>
        <w:keepLines w:val="0"/>
        <w:pageBreakBefore w:val="0"/>
        <w:widowControl/>
        <w:numPr>
          <w:ilvl w:val="-1"/>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自动短信发送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与现有业务系统无缝对接，</w:t>
      </w:r>
      <w:r>
        <w:rPr>
          <w:rFonts w:hint="eastAsia" w:ascii="仿宋_GB2312" w:hAnsi="仿宋_GB2312" w:eastAsia="仿宋_GB2312" w:cs="仿宋_GB2312"/>
          <w:sz w:val="28"/>
          <w:szCs w:val="28"/>
          <w:lang w:val="en-US" w:eastAsia="zh-CN"/>
        </w:rPr>
        <w:t>通过</w:t>
      </w:r>
      <w:r>
        <w:rPr>
          <w:rFonts w:hint="eastAsia" w:ascii="仿宋_GB2312" w:hAnsi="仿宋_GB2312" w:eastAsia="仿宋_GB2312" w:cs="仿宋_GB2312"/>
          <w:sz w:val="28"/>
          <w:szCs w:val="28"/>
        </w:rPr>
        <w:t>自动化、批量化的短信发送流程，实现高效、精准的短信群发服务，确保提醒及其他关键通知及时送达目标人群。</w:t>
      </w:r>
    </w:p>
    <w:p>
      <w:pPr>
        <w:pStyle w:val="20"/>
        <w:keepNext w:val="0"/>
        <w:keepLines w:val="0"/>
        <w:pageBreakBefore w:val="0"/>
        <w:widowControl/>
        <w:numPr>
          <w:ilvl w:val="-1"/>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数据导入发送：提供便捷的数据管理界面，支持快速导入、修改和居民信息，保障数据准确性和完整性。</w:t>
      </w:r>
    </w:p>
    <w:p>
      <w:pPr>
        <w:pStyle w:val="20"/>
        <w:keepNext w:val="0"/>
        <w:keepLines w:val="0"/>
        <w:pageBreakBefore w:val="0"/>
        <w:widowControl/>
        <w:numPr>
          <w:ilvl w:val="-1"/>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短信发送记录查询功能：提供详细的发送记录和统计分析报告，便于跟踪信息传播效果，优化通知策略。</w:t>
      </w:r>
    </w:p>
    <w:p>
      <w:pPr>
        <w:pStyle w:val="20"/>
        <w:keepNext w:val="0"/>
        <w:keepLines w:val="0"/>
        <w:pageBreakBefore w:val="0"/>
        <w:widowControl/>
        <w:numPr>
          <w:ilvl w:val="0"/>
          <w:numId w:val="0"/>
        </w:numPr>
        <w:kinsoku/>
        <w:wordWrap/>
        <w:overflowPunct/>
        <w:topLinePunct w:val="0"/>
        <w:autoSpaceDE/>
        <w:autoSpaceDN/>
        <w:bidi w:val="0"/>
        <w:adjustRightInd/>
        <w:snapToGrid/>
        <w:spacing w:line="480" w:lineRule="exact"/>
        <w:ind w:firstLine="60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（二）项目清单一览表</w:t>
      </w:r>
    </w:p>
    <w:tbl>
      <w:tblPr>
        <w:tblStyle w:val="14"/>
        <w:tblpPr w:leftFromText="180" w:rightFromText="180" w:vertAnchor="text" w:horzAnchor="page" w:tblpX="1457" w:tblpY="208"/>
        <w:tblOverlap w:val="never"/>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870"/>
        <w:gridCol w:w="1395"/>
        <w:gridCol w:w="1260"/>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839" w:type="dxa"/>
            <w:shd w:val="clear" w:color="auto" w:fill="EEECE1"/>
            <w:vAlign w:val="center"/>
          </w:tcPr>
          <w:p>
            <w:pPr>
              <w:widowControl/>
              <w:ind w:left="0" w:leftChars="0"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项目名称</w:t>
            </w:r>
          </w:p>
        </w:tc>
        <w:tc>
          <w:tcPr>
            <w:tcW w:w="870" w:type="dxa"/>
            <w:shd w:val="clear" w:color="auto" w:fill="EEECE1"/>
            <w:vAlign w:val="center"/>
          </w:tcPr>
          <w:p>
            <w:pPr>
              <w:widowControl/>
              <w:ind w:left="0" w:leftChars="0"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服务内容</w:t>
            </w:r>
          </w:p>
        </w:tc>
        <w:tc>
          <w:tcPr>
            <w:tcW w:w="1395" w:type="dxa"/>
            <w:shd w:val="clear" w:color="auto" w:fill="EEECE1"/>
            <w:vAlign w:val="center"/>
          </w:tcPr>
          <w:p>
            <w:pPr>
              <w:widowControl/>
              <w:ind w:left="0" w:leftChars="0"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数量</w:t>
            </w:r>
          </w:p>
        </w:tc>
        <w:tc>
          <w:tcPr>
            <w:tcW w:w="1260" w:type="dxa"/>
            <w:shd w:val="clear" w:color="auto" w:fill="EEECE1"/>
            <w:vAlign w:val="center"/>
          </w:tcPr>
          <w:p>
            <w:pPr>
              <w:widowControl/>
              <w:ind w:left="0" w:leftChars="0"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val="en-US" w:eastAsia="zh-CN"/>
              </w:rPr>
              <w:t>预算金额</w:t>
            </w:r>
          </w:p>
        </w:tc>
        <w:tc>
          <w:tcPr>
            <w:tcW w:w="3795" w:type="dxa"/>
            <w:shd w:val="clear" w:color="auto" w:fill="EEECE1"/>
            <w:vAlign w:val="center"/>
          </w:tcPr>
          <w:p>
            <w:pPr>
              <w:widowControl/>
              <w:ind w:left="0" w:leftChars="0" w:firstLine="0" w:firstLineChars="0"/>
              <w:jc w:val="center"/>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1839" w:type="dxa"/>
            <w:vAlign w:val="center"/>
          </w:tcPr>
          <w:p>
            <w:pPr>
              <w:ind w:firstLine="0" w:firstLineChars="0"/>
              <w:jc w:val="center"/>
              <w:rPr>
                <w:rFonts w:hint="eastAsia" w:ascii="仿宋" w:hAnsi="仿宋" w:eastAsia="仿宋" w:cs="仿宋"/>
                <w:bCs/>
                <w:sz w:val="24"/>
                <w:szCs w:val="24"/>
                <w:lang w:eastAsia="zh-CN"/>
              </w:rPr>
            </w:pPr>
            <w:r>
              <w:rPr>
                <w:rFonts w:hint="eastAsia" w:ascii="仿宋" w:hAnsi="仿宋" w:eastAsia="仿宋" w:cs="仿宋"/>
                <w:bCs/>
                <w:sz w:val="24"/>
              </w:rPr>
              <w:t>深圳市龙岗区第七人民医院</w:t>
            </w:r>
            <w:r>
              <w:rPr>
                <w:rFonts w:hint="eastAsia" w:ascii="仿宋" w:hAnsi="仿宋" w:eastAsia="仿宋" w:cs="仿宋"/>
                <w:bCs/>
                <w:sz w:val="24"/>
                <w:szCs w:val="24"/>
                <w:lang w:eastAsia="zh-CN"/>
              </w:rPr>
              <w:t>基本公共卫生服务短信通知服务项目</w:t>
            </w:r>
          </w:p>
        </w:tc>
        <w:tc>
          <w:tcPr>
            <w:tcW w:w="870" w:type="dxa"/>
            <w:vAlign w:val="center"/>
          </w:tcPr>
          <w:p>
            <w:pPr>
              <w:ind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智能短信</w:t>
            </w:r>
          </w:p>
        </w:tc>
        <w:tc>
          <w:tcPr>
            <w:tcW w:w="1395" w:type="dxa"/>
            <w:vAlign w:val="center"/>
          </w:tcPr>
          <w:p>
            <w:pPr>
              <w:ind w:firstLine="0" w:firstLineChars="0"/>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175000</w:t>
            </w:r>
            <w:r>
              <w:rPr>
                <w:rFonts w:ascii="仿宋" w:hAnsi="仿宋" w:eastAsia="仿宋" w:cs="仿宋"/>
                <w:bCs/>
                <w:sz w:val="24"/>
                <w:szCs w:val="24"/>
              </w:rPr>
              <w:t>0</w:t>
            </w:r>
            <w:r>
              <w:rPr>
                <w:rFonts w:hint="eastAsia" w:ascii="仿宋" w:hAnsi="仿宋" w:eastAsia="仿宋" w:cs="仿宋"/>
                <w:bCs/>
                <w:sz w:val="24"/>
                <w:szCs w:val="24"/>
                <w:lang w:val="en-US" w:eastAsia="zh-CN"/>
              </w:rPr>
              <w:t>条</w:t>
            </w:r>
          </w:p>
        </w:tc>
        <w:tc>
          <w:tcPr>
            <w:tcW w:w="1260" w:type="dxa"/>
            <w:vAlign w:val="center"/>
          </w:tcPr>
          <w:p>
            <w:pPr>
              <w:pStyle w:val="28"/>
              <w:spacing w:line="240" w:lineRule="auto"/>
              <w:ind w:firstLine="0" w:firstLineChars="0"/>
              <w:jc w:val="center"/>
              <w:rPr>
                <w:rFonts w:ascii="仿宋" w:hAnsi="仿宋" w:eastAsia="仿宋" w:cs="仿宋"/>
                <w:snapToGrid/>
                <w:spacing w:val="0"/>
                <w:kern w:val="2"/>
                <w:sz w:val="24"/>
                <w:szCs w:val="24"/>
              </w:rPr>
            </w:pPr>
            <w:r>
              <w:rPr>
                <w:rFonts w:hint="eastAsia" w:ascii="仿宋" w:hAnsi="仿宋" w:eastAsia="仿宋" w:cs="仿宋"/>
                <w:snapToGrid/>
                <w:spacing w:val="0"/>
                <w:kern w:val="2"/>
                <w:sz w:val="24"/>
                <w:szCs w:val="24"/>
                <w:lang w:val="en-US" w:eastAsia="zh-CN"/>
              </w:rPr>
              <w:t>10.5万</w:t>
            </w:r>
            <w:r>
              <w:rPr>
                <w:rFonts w:hint="eastAsia" w:ascii="仿宋" w:hAnsi="仿宋" w:eastAsia="仿宋" w:cs="仿宋"/>
                <w:snapToGrid/>
                <w:spacing w:val="0"/>
                <w:kern w:val="2"/>
                <w:sz w:val="24"/>
                <w:szCs w:val="24"/>
              </w:rPr>
              <w:t>元</w:t>
            </w:r>
          </w:p>
        </w:tc>
        <w:tc>
          <w:tcPr>
            <w:tcW w:w="3795" w:type="dxa"/>
            <w:vAlign w:val="center"/>
          </w:tcPr>
          <w:p>
            <w:pPr>
              <w:ind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服务期为自签订合同之日起1年，该项目为长期服务项目，合同期满可以续签，但合同履行期限最长不得超过三十六个月。如采购人对履约情况不满意，采购人不再续约。</w:t>
            </w:r>
          </w:p>
        </w:tc>
      </w:tr>
    </w:tbl>
    <w:p>
      <w:pPr>
        <w:pStyle w:val="20"/>
        <w:keepNext w:val="0"/>
        <w:keepLines w:val="0"/>
        <w:pageBreakBefore w:val="0"/>
        <w:widowControl/>
        <w:numPr>
          <w:ilvl w:val="-1"/>
          <w:numId w:val="0"/>
        </w:numPr>
        <w:kinsoku/>
        <w:wordWrap/>
        <w:overflowPunct/>
        <w:topLinePunct w:val="0"/>
        <w:autoSpaceDE/>
        <w:autoSpaceDN/>
        <w:bidi w:val="0"/>
        <w:adjustRightInd/>
        <w:snapToGrid/>
        <w:spacing w:line="400" w:lineRule="exact"/>
        <w:ind w:firstLine="561" w:firstLineChars="0"/>
        <w:textAlignment w:val="auto"/>
        <w:rPr>
          <w:rFonts w:hint="eastAsia"/>
          <w:b/>
          <w:bCs/>
          <w:lang w:val="en-US" w:eastAsia="zh-CN"/>
        </w:rPr>
      </w:pPr>
      <w:r>
        <w:rPr>
          <w:rFonts w:hint="eastAsia" w:ascii="仿宋_GB2312" w:hAnsi="仿宋_GB2312" w:eastAsia="仿宋_GB2312" w:cs="仿宋_GB2312"/>
          <w:b w:val="0"/>
          <w:bCs w:val="0"/>
          <w:lang w:val="en-US" w:eastAsia="zh-CN"/>
        </w:rPr>
        <w:t>供应商根据采购人的业务需求提供短信服务，如合同期内未用完且下一年度双方有继续合作，则剩余短信量可顺延至下一合同期内优先使用；若短信数量超出采购数量，采购人确需增加的，双方可另行签订补充协议，超出部分按中标平均单价据实计算，但超出部分费用不得超过合同金额的10%。</w:t>
      </w:r>
      <w:bookmarkStart w:id="23" w:name="_GoBack"/>
      <w:bookmarkEnd w:id="23"/>
    </w:p>
    <w:p>
      <w:pPr>
        <w:pStyle w:val="20"/>
        <w:keepNext w:val="0"/>
        <w:keepLines w:val="0"/>
        <w:pageBreakBefore w:val="0"/>
        <w:widowControl/>
        <w:numPr>
          <w:ilvl w:val="-1"/>
          <w:numId w:val="0"/>
        </w:numPr>
        <w:kinsoku/>
        <w:wordWrap/>
        <w:overflowPunct/>
        <w:topLinePunct w:val="0"/>
        <w:autoSpaceDE/>
        <w:autoSpaceDN/>
        <w:bidi w:val="0"/>
        <w:adjustRightInd/>
        <w:snapToGrid/>
        <w:spacing w:line="400" w:lineRule="exact"/>
        <w:ind w:firstLine="561" w:firstLineChars="0"/>
        <w:textAlignment w:val="auto"/>
        <w:rPr>
          <w:rFonts w:hint="default" w:ascii="仿宋_GB2312" w:hAnsi="仿宋_GB2312" w:eastAsia="仿宋_GB2312" w:cs="仿宋_GB2312"/>
          <w:sz w:val="28"/>
          <w:szCs w:val="28"/>
          <w:lang w:val="en-US" w:eastAsia="zh-CN"/>
        </w:rPr>
      </w:pPr>
      <w:r>
        <w:rPr>
          <w:rFonts w:hint="eastAsia"/>
          <w:b/>
          <w:bCs/>
          <w:lang w:val="en-US" w:eastAsia="zh-CN"/>
        </w:rPr>
        <w:t>三</w:t>
      </w:r>
      <w:r>
        <w:rPr>
          <w:rFonts w:hint="eastAsia"/>
          <w:b/>
          <w:bCs/>
        </w:rPr>
        <w:t>、采购组织形式（勾选）：</w:t>
      </w:r>
      <w:r>
        <w:rPr>
          <w:rFonts w:hint="eastAsia" w:ascii="仿宋_GB2312" w:hAnsi="仿宋_GB2312" w:eastAsia="仿宋_GB2312" w:cs="仿宋_GB2312"/>
        </w:rPr>
        <w:t>政府集中采购□、院内集中采购☑、院内委托代理采购□、集团联合采购□、其他□。</w:t>
      </w:r>
    </w:p>
    <w:p>
      <w:pPr>
        <w:pStyle w:val="20"/>
        <w:keepNext w:val="0"/>
        <w:keepLines w:val="0"/>
        <w:pageBreakBefore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cs="方正仿宋_GB2312"/>
          <w:b/>
          <w:bCs/>
          <w:sz w:val="28"/>
          <w:szCs w:val="28"/>
          <w:lang w:val="en-US" w:eastAsia="zh-CN"/>
        </w:rPr>
        <w:t>四</w:t>
      </w:r>
      <w:r>
        <w:rPr>
          <w:rFonts w:hint="eastAsia" w:ascii="方正仿宋_GB2312" w:hAnsi="方正仿宋_GB2312" w:eastAsia="方正仿宋_GB2312" w:cs="方正仿宋_GB2312"/>
          <w:b/>
          <w:bCs/>
          <w:sz w:val="28"/>
          <w:szCs w:val="28"/>
        </w:rPr>
        <w:t>、采购方式（勾选）：</w:t>
      </w:r>
      <w:r>
        <w:rPr>
          <w:rFonts w:hint="eastAsia" w:ascii="仿宋_GB2312" w:hAnsi="仿宋_GB2312" w:eastAsia="仿宋_GB2312" w:cs="仿宋_GB2312"/>
          <w:color w:val="000000" w:themeColor="text1"/>
          <w:sz w:val="28"/>
          <w:szCs w:val="28"/>
          <w14:textFill>
            <w14:solidFill>
              <w14:schemeClr w14:val="tx1"/>
            </w14:solidFill>
          </w14:textFill>
        </w:rPr>
        <w:t>院内招标☑、院内竞价□</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、院内邀标□、院内询价□、竞争性磋商□、院内直接议价□、其他□。</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lang w:val="en-US" w:eastAsia="zh-CN"/>
        </w:rPr>
        <w:t>五</w:t>
      </w:r>
      <w:r>
        <w:rPr>
          <w:rFonts w:hint="eastAsia" w:ascii="方正仿宋_GB2312" w:hAnsi="方正仿宋_GB2312" w:eastAsia="方正仿宋_GB2312" w:cs="方正仿宋_GB2312"/>
          <w:b/>
          <w:bCs/>
          <w:kern w:val="0"/>
          <w:sz w:val="28"/>
          <w:szCs w:val="28"/>
        </w:rPr>
        <w:t>、投标人资格要求</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（二）本项目的特定资格要求（须按本项目投标文件格式要求提供《投标及履约承诺函》加盖投标人公章）</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1.参与本项目采购活动前三年内，在经营活动中没有重大违法记录；</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2.参与本项目采购活动时不存在被有关部门禁止参与政府采购活动且在有效期内的情况；</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3.除单一来源采购项目外，为采购项目提供整体设计、规范编制或者项目管理、监理、检测等服务的供应商，不得再参加该采购项目的其他采购活动；</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4.参与本项目采购活动不存在与其他采购参加人串通投标，隐瞒真实情况，提供虚假资料等违法违规情形；</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须按本项目投标文件格式要求提供《供应商基本情况表》相关信息）；</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7.法律、行政法规和国家有关规定对供应商从事特定经营活动有资质、资格规定的，供应商应当具备的相应条件；</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val="0"/>
        </w:rPr>
      </w:pPr>
      <w:r>
        <w:rPr>
          <w:rFonts w:hint="eastAsia" w:ascii="仿宋_GB2312" w:hAnsi="仿宋_GB2312" w:eastAsia="仿宋_GB2312" w:cs="仿宋_GB2312"/>
        </w:rPr>
        <w:t>8.本项目不接受联合体投标，不允许非法分包或转包。</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所有资质文件均</w:t>
      </w:r>
      <w:r>
        <w:rPr>
          <w:rFonts w:hint="eastAsia" w:ascii="仿宋_GB2312" w:hAnsi="仿宋_GB2312" w:eastAsia="仿宋_GB2312" w:cs="仿宋_GB2312"/>
          <w:color w:val="auto"/>
          <w:highlight w:val="none"/>
          <w:lang w:eastAsia="zh-CN"/>
        </w:rPr>
        <w:t>须</w:t>
      </w:r>
      <w:r>
        <w:rPr>
          <w:rFonts w:hint="eastAsia" w:ascii="仿宋_GB2312" w:hAnsi="仿宋_GB2312" w:eastAsia="仿宋_GB2312" w:cs="仿宋_GB2312"/>
          <w:color w:val="auto"/>
          <w:highlight w:val="none"/>
        </w:rPr>
        <w:t>在有效期内并加盖投标方公章。</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b/>
          <w:bCs/>
          <w:color w:val="auto"/>
        </w:rPr>
      </w:pPr>
      <w:r>
        <w:rPr>
          <w:rFonts w:hint="eastAsia"/>
          <w:b/>
          <w:bCs/>
          <w:color w:val="auto"/>
          <w:lang w:val="en-US" w:eastAsia="zh-CN"/>
        </w:rPr>
        <w:t>六</w:t>
      </w:r>
      <w:r>
        <w:rPr>
          <w:rFonts w:hint="eastAsia"/>
          <w:b/>
          <w:bCs/>
          <w:color w:val="auto"/>
        </w:rPr>
        <w:t>、服务要求响应情况表</w:t>
      </w:r>
    </w:p>
    <w:p>
      <w:pPr>
        <w:pStyle w:val="13"/>
        <w:numPr>
          <w:ilvl w:val="0"/>
          <w:numId w:val="0"/>
        </w:numPr>
        <w:spacing w:line="400" w:lineRule="exact"/>
        <w:ind w:firstLine="652" w:firstLineChars="233"/>
        <w:rPr>
          <w:rFonts w:hint="eastAsia" w:ascii="仿宋_GB2312" w:hAnsi="仿宋_GB2312" w:eastAsia="仿宋_GB2312" w:cs="仿宋_GB2312"/>
          <w:b w:val="0"/>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投标人根据自身实际情况如实填写服务要求响应情况表。</w:t>
      </w:r>
      <w:r>
        <w:rPr>
          <w:rFonts w:hint="eastAsia" w:ascii="仿宋_GB2312" w:hAnsi="仿宋_GB2312" w:eastAsia="仿宋_GB2312" w:cs="仿宋_GB2312"/>
          <w:b w:val="0"/>
          <w:color w:val="000000" w:themeColor="text1"/>
          <w:kern w:val="2"/>
          <w:sz w:val="28"/>
          <w:szCs w:val="28"/>
          <w14:textFill>
            <w14:solidFill>
              <w14:schemeClr w14:val="tx1"/>
            </w14:solidFill>
          </w14:textFill>
        </w:rPr>
        <w:t>标注▲的指标，为重点指标参数。</w:t>
      </w:r>
    </w:p>
    <w:tbl>
      <w:tblPr>
        <w:tblStyle w:val="14"/>
        <w:tblW w:w="4939"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123"/>
        <w:gridCol w:w="1155"/>
        <w:gridCol w:w="4631"/>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65" w:type="pct"/>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1300" w:type="pct"/>
            <w:gridSpan w:val="2"/>
            <w:shd w:val="clear" w:color="000000" w:fill="FFFFFF"/>
            <w:noWrap w:val="0"/>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模块名称</w:t>
            </w:r>
          </w:p>
        </w:tc>
        <w:tc>
          <w:tcPr>
            <w:tcW w:w="2619" w:type="pct"/>
            <w:noWrap w:val="0"/>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功能描述</w:t>
            </w:r>
          </w:p>
        </w:tc>
        <w:tc>
          <w:tcPr>
            <w:tcW w:w="714" w:type="pct"/>
            <w:noWrap w:val="0"/>
            <w:vAlign w:val="center"/>
          </w:tcPr>
          <w:p>
            <w:pPr>
              <w:widowControl/>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365" w:type="pct"/>
            <w:shd w:val="clear" w:color="auto" w:fill="auto"/>
            <w:noWrap/>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641" w:type="pct"/>
            <w:vMerge w:val="restart"/>
            <w:shd w:val="clear" w:color="000000" w:fill="FFFFFF"/>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公卫数据采集交换</w:t>
            </w:r>
          </w:p>
        </w:tc>
        <w:tc>
          <w:tcPr>
            <w:tcW w:w="659" w:type="pct"/>
            <w:shd w:val="clear" w:color="000000" w:fill="FFFFFF"/>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基层医疗机构公卫管理信息系统</w:t>
            </w:r>
          </w:p>
        </w:tc>
        <w:tc>
          <w:tcPr>
            <w:tcW w:w="2619" w:type="pct"/>
            <w:noWrap w:val="0"/>
            <w:vAlign w:val="center"/>
          </w:tcPr>
          <w:p>
            <w:pPr>
              <w:widowControl/>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依托服务总线工具，通过API接口、视图、物理表、数据原型、文档数据等方式实现与公共卫生数据对接，定时采集数据，实现源数据采集。采集形成的数据进入缓存库，缓存库包含了全部原始数据，</w:t>
            </w:r>
            <w:r>
              <w:rPr>
                <w:rFonts w:hint="eastAsia" w:ascii="仿宋_GB2312" w:hAnsi="仿宋_GB2312" w:eastAsia="仿宋_GB2312" w:cs="仿宋_GB2312"/>
                <w:color w:val="000000"/>
                <w:kern w:val="0"/>
                <w:sz w:val="24"/>
                <w:szCs w:val="24"/>
                <w:highlight w:val="none"/>
              </w:rPr>
              <w:t>形成</w:t>
            </w:r>
            <w:r>
              <w:rPr>
                <w:rFonts w:hint="eastAsia" w:ascii="仿宋_GB2312" w:hAnsi="仿宋_GB2312" w:eastAsia="仿宋_GB2312" w:cs="仿宋_GB2312"/>
                <w:color w:val="000000"/>
                <w:kern w:val="0"/>
                <w:sz w:val="24"/>
                <w:szCs w:val="24"/>
                <w:highlight w:val="none"/>
                <w:lang w:val="en-US" w:eastAsia="zh-CN"/>
              </w:rPr>
              <w:t>社康门诊</w:t>
            </w:r>
            <w:r>
              <w:rPr>
                <w:rFonts w:hint="eastAsia" w:ascii="仿宋_GB2312" w:hAnsi="仿宋_GB2312" w:eastAsia="仿宋_GB2312" w:cs="仿宋_GB2312"/>
                <w:color w:val="000000"/>
                <w:kern w:val="0"/>
                <w:sz w:val="24"/>
                <w:szCs w:val="24"/>
                <w:highlight w:val="none"/>
              </w:rPr>
              <w:t>数据模型</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数据采集与区</w:t>
            </w:r>
            <w:r>
              <w:rPr>
                <w:rFonts w:hint="eastAsia" w:ascii="仿宋_GB2312" w:hAnsi="仿宋_GB2312" w:eastAsia="仿宋_GB2312" w:cs="仿宋_GB2312"/>
                <w:color w:val="000000"/>
                <w:kern w:val="0"/>
                <w:sz w:val="24"/>
                <w:szCs w:val="24"/>
                <w:highlight w:val="none"/>
              </w:rPr>
              <w:t>公卫督导管理系统项目进行对接</w:t>
            </w:r>
            <w:r>
              <w:rPr>
                <w:rFonts w:hint="eastAsia" w:ascii="仿宋_GB2312" w:hAnsi="仿宋_GB2312" w:eastAsia="仿宋_GB2312" w:cs="仿宋_GB2312"/>
                <w:color w:val="000000"/>
                <w:kern w:val="0"/>
                <w:sz w:val="24"/>
                <w:szCs w:val="24"/>
                <w:highlight w:val="none"/>
                <w:lang w:eastAsia="zh-CN"/>
              </w:rPr>
              <w:t>。</w:t>
            </w:r>
          </w:p>
        </w:tc>
        <w:tc>
          <w:tcPr>
            <w:tcW w:w="714" w:type="pct"/>
            <w:noWrap w:val="0"/>
            <w:vAlign w:val="center"/>
          </w:tcPr>
          <w:p>
            <w:pPr>
              <w:widowControl/>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365" w:type="pct"/>
            <w:shd w:val="clear" w:color="auto" w:fill="auto"/>
            <w:noWrap/>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2</w:t>
            </w:r>
          </w:p>
        </w:tc>
        <w:tc>
          <w:tcPr>
            <w:tcW w:w="641" w:type="pct"/>
            <w:vMerge w:val="continue"/>
            <w:shd w:val="clear" w:color="000000" w:fill="FFFFFF"/>
            <w:noWrap w:val="0"/>
            <w:vAlign w:val="center"/>
          </w:tcPr>
          <w:p>
            <w:pPr>
              <w:widowControl/>
              <w:jc w:val="center"/>
              <w:rPr>
                <w:rFonts w:hint="eastAsia" w:ascii="仿宋_GB2312" w:hAnsi="仿宋_GB2312" w:eastAsia="仿宋_GB2312" w:cs="仿宋_GB2312"/>
                <w:color w:val="000000"/>
                <w:kern w:val="0"/>
                <w:sz w:val="24"/>
                <w:szCs w:val="24"/>
              </w:rPr>
            </w:pPr>
          </w:p>
        </w:tc>
        <w:tc>
          <w:tcPr>
            <w:tcW w:w="659" w:type="pct"/>
            <w:shd w:val="clear" w:color="000000" w:fill="FFFFFF"/>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对接档案信息</w:t>
            </w:r>
          </w:p>
        </w:tc>
        <w:tc>
          <w:tcPr>
            <w:tcW w:w="2619" w:type="pc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对接</w:t>
            </w:r>
            <w:r>
              <w:rPr>
                <w:rFonts w:hint="eastAsia" w:ascii="仿宋_GB2312" w:hAnsi="仿宋_GB2312" w:eastAsia="仿宋_GB2312" w:cs="仿宋_GB2312"/>
                <w:color w:val="000000"/>
                <w:kern w:val="0"/>
                <w:sz w:val="24"/>
                <w:szCs w:val="24"/>
                <w:lang w:val="en-US" w:eastAsia="zh-CN"/>
              </w:rPr>
              <w:t>龙岗</w:t>
            </w:r>
            <w:r>
              <w:rPr>
                <w:rFonts w:hint="eastAsia" w:ascii="仿宋_GB2312" w:hAnsi="仿宋_GB2312" w:eastAsia="仿宋_GB2312" w:cs="仿宋_GB2312"/>
                <w:color w:val="000000"/>
                <w:kern w:val="0"/>
                <w:sz w:val="24"/>
                <w:szCs w:val="24"/>
              </w:rPr>
              <w:t>区社康服务信息库，查询居民健康档案信息，并支持多条件筛选，包括社康、姓名、性别、联系电话、</w:t>
            </w:r>
            <w:r>
              <w:rPr>
                <w:rFonts w:hint="eastAsia" w:ascii="仿宋_GB2312" w:hAnsi="仿宋_GB2312" w:eastAsia="仿宋_GB2312" w:cs="仿宋_GB2312"/>
                <w:color w:val="000000"/>
                <w:kern w:val="0"/>
                <w:sz w:val="24"/>
                <w:szCs w:val="24"/>
                <w:lang w:val="en-US" w:eastAsia="zh-CN"/>
              </w:rPr>
              <w:t>常住类型</w:t>
            </w:r>
            <w:r>
              <w:rPr>
                <w:rFonts w:hint="eastAsia" w:ascii="仿宋_GB2312" w:hAnsi="仿宋_GB2312" w:eastAsia="仿宋_GB2312" w:cs="仿宋_GB2312"/>
                <w:color w:val="000000"/>
                <w:kern w:val="0"/>
                <w:sz w:val="24"/>
                <w:szCs w:val="24"/>
              </w:rPr>
              <w:t>、民族</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签约状态、</w:t>
            </w:r>
            <w:r>
              <w:rPr>
                <w:rFonts w:hint="eastAsia" w:ascii="仿宋_GB2312" w:hAnsi="仿宋_GB2312" w:eastAsia="仿宋_GB2312" w:cs="仿宋_GB2312"/>
                <w:color w:val="000000"/>
                <w:kern w:val="0"/>
                <w:sz w:val="24"/>
                <w:szCs w:val="24"/>
              </w:rPr>
              <w:t>签约医生、</w:t>
            </w:r>
            <w:r>
              <w:rPr>
                <w:rFonts w:hint="eastAsia" w:ascii="仿宋_GB2312" w:hAnsi="仿宋_GB2312" w:eastAsia="仿宋_GB2312" w:cs="仿宋_GB2312"/>
                <w:color w:val="000000"/>
                <w:kern w:val="0"/>
                <w:sz w:val="24"/>
                <w:szCs w:val="24"/>
                <w:lang w:val="en-US" w:eastAsia="zh-CN"/>
              </w:rPr>
              <w:t>签约团队、</w:t>
            </w:r>
            <w:r>
              <w:rPr>
                <w:rFonts w:hint="eastAsia" w:ascii="仿宋_GB2312" w:hAnsi="仿宋_GB2312" w:eastAsia="仿宋_GB2312" w:cs="仿宋_GB2312"/>
                <w:color w:val="000000"/>
                <w:kern w:val="0"/>
                <w:sz w:val="24"/>
                <w:szCs w:val="24"/>
              </w:rPr>
              <w:t>责任医生、人群分类、动态记录、残疾情况、最近门诊时间、签约到期时间条件。</w:t>
            </w:r>
          </w:p>
        </w:tc>
        <w:tc>
          <w:tcPr>
            <w:tcW w:w="714" w:type="pct"/>
            <w:noWrap w:val="0"/>
            <w:vAlign w:val="center"/>
          </w:tcPr>
          <w:p>
            <w:pPr>
              <w:widowControl/>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65" w:type="pct"/>
            <w:shd w:val="clear" w:color="auto" w:fill="auto"/>
            <w:noWrap/>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641" w:type="pct"/>
            <w:vMerge w:val="restart"/>
            <w:shd w:val="clear" w:color="000000" w:fill="FFFFFF"/>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发送</w:t>
            </w:r>
            <w:r>
              <w:rPr>
                <w:rFonts w:hint="eastAsia" w:ascii="仿宋_GB2312" w:hAnsi="仿宋_GB2312" w:eastAsia="仿宋_GB2312" w:cs="仿宋_GB2312"/>
                <w:color w:val="000000"/>
                <w:kern w:val="0"/>
                <w:sz w:val="24"/>
                <w:szCs w:val="24"/>
                <w:lang w:val="en-US" w:eastAsia="zh-CN"/>
              </w:rPr>
              <w:t>家庭医生签约</w:t>
            </w:r>
            <w:r>
              <w:rPr>
                <w:rFonts w:hint="eastAsia" w:ascii="仿宋_GB2312" w:hAnsi="仿宋_GB2312" w:eastAsia="仿宋_GB2312" w:cs="仿宋_GB2312"/>
                <w:color w:val="000000"/>
                <w:kern w:val="0"/>
                <w:sz w:val="24"/>
                <w:szCs w:val="24"/>
              </w:rPr>
              <w:t>通知短信（支持全网）</w:t>
            </w:r>
          </w:p>
        </w:tc>
        <w:tc>
          <w:tcPr>
            <w:tcW w:w="659" w:type="pct"/>
            <w:vMerge w:val="restart"/>
            <w:shd w:val="clear" w:color="000000" w:fill="FFFFFF"/>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短信上下行接入</w:t>
            </w:r>
          </w:p>
        </w:tc>
        <w:tc>
          <w:tcPr>
            <w:tcW w:w="2619" w:type="pct"/>
            <w:noWrap w:val="0"/>
            <w:vAlign w:val="center"/>
          </w:tcPr>
          <w:p>
            <w:pPr>
              <w:adjustRightInd w:val="0"/>
              <w:snapToGrid w:val="0"/>
              <w:ind w:right="34" w:rightChars="16"/>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Cs/>
                <w:sz w:val="24"/>
                <w:szCs w:val="24"/>
              </w:rPr>
              <w:t>▲</w:t>
            </w:r>
            <w:r>
              <w:rPr>
                <w:rFonts w:hint="eastAsia" w:ascii="仿宋_GB2312" w:hAnsi="仿宋_GB2312" w:eastAsia="仿宋_GB2312" w:cs="仿宋_GB2312"/>
                <w:color w:val="000000"/>
                <w:kern w:val="0"/>
                <w:sz w:val="24"/>
                <w:szCs w:val="24"/>
              </w:rPr>
              <w:t>短信下行接入</w:t>
            </w:r>
            <w:r>
              <w:rPr>
                <w:rFonts w:hint="eastAsia" w:ascii="仿宋_GB2312" w:hAnsi="仿宋_GB2312" w:eastAsia="仿宋_GB2312" w:cs="仿宋_GB2312"/>
                <w:color w:val="000000"/>
                <w:kern w:val="0"/>
                <w:sz w:val="24"/>
                <w:szCs w:val="24"/>
                <w:lang w:eastAsia="zh-CN"/>
              </w:rPr>
              <w:t>。</w:t>
            </w:r>
          </w:p>
        </w:tc>
        <w:tc>
          <w:tcPr>
            <w:tcW w:w="714" w:type="pct"/>
            <w:noWrap w:val="0"/>
            <w:vAlign w:val="center"/>
          </w:tcPr>
          <w:p>
            <w:pPr>
              <w:widowControl/>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65" w:type="pct"/>
            <w:shd w:val="clear" w:color="auto" w:fill="auto"/>
            <w:noWrap/>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641" w:type="pct"/>
            <w:vMerge w:val="continue"/>
            <w:shd w:val="clear" w:color="000000" w:fill="FFFFFF"/>
            <w:noWrap w:val="0"/>
            <w:vAlign w:val="center"/>
          </w:tcPr>
          <w:p>
            <w:pPr>
              <w:widowControl/>
              <w:jc w:val="left"/>
              <w:rPr>
                <w:rFonts w:hint="eastAsia" w:ascii="仿宋_GB2312" w:hAnsi="仿宋_GB2312" w:eastAsia="仿宋_GB2312" w:cs="仿宋_GB2312"/>
                <w:color w:val="000000"/>
                <w:kern w:val="0"/>
                <w:sz w:val="24"/>
                <w:szCs w:val="24"/>
              </w:rPr>
            </w:pPr>
          </w:p>
        </w:tc>
        <w:tc>
          <w:tcPr>
            <w:tcW w:w="659" w:type="pct"/>
            <w:vMerge w:val="continue"/>
            <w:shd w:val="clear" w:color="000000" w:fill="FFFFFF"/>
            <w:noWrap w:val="0"/>
            <w:vAlign w:val="center"/>
          </w:tcPr>
          <w:p>
            <w:pPr>
              <w:widowControl/>
              <w:jc w:val="center"/>
              <w:rPr>
                <w:rFonts w:hint="eastAsia" w:ascii="仿宋_GB2312" w:hAnsi="仿宋_GB2312" w:eastAsia="仿宋_GB2312" w:cs="仿宋_GB2312"/>
                <w:color w:val="000000"/>
                <w:kern w:val="0"/>
                <w:sz w:val="24"/>
                <w:szCs w:val="24"/>
              </w:rPr>
            </w:pPr>
          </w:p>
        </w:tc>
        <w:tc>
          <w:tcPr>
            <w:tcW w:w="2619" w:type="pct"/>
            <w:noWrap w:val="0"/>
            <w:vAlign w:val="center"/>
          </w:tcPr>
          <w:p>
            <w:pPr>
              <w:widowControl/>
              <w:jc w:val="lef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w:t>
            </w:r>
            <w:r>
              <w:rPr>
                <w:rFonts w:hint="eastAsia" w:ascii="仿宋_GB2312" w:hAnsi="仿宋_GB2312" w:eastAsia="仿宋_GB2312" w:cs="仿宋_GB2312"/>
                <w:color w:val="000000"/>
                <w:kern w:val="0"/>
                <w:sz w:val="24"/>
                <w:szCs w:val="24"/>
              </w:rPr>
              <w:t>短信上行接入</w:t>
            </w:r>
            <w:r>
              <w:rPr>
                <w:rFonts w:hint="eastAsia" w:ascii="仿宋_GB2312" w:hAnsi="仿宋_GB2312" w:eastAsia="仿宋_GB2312" w:cs="仿宋_GB2312"/>
                <w:color w:val="000000"/>
                <w:kern w:val="0"/>
                <w:sz w:val="24"/>
                <w:szCs w:val="24"/>
                <w:lang w:eastAsia="zh-CN"/>
              </w:rPr>
              <w:t>。</w:t>
            </w:r>
          </w:p>
        </w:tc>
        <w:tc>
          <w:tcPr>
            <w:tcW w:w="714" w:type="pct"/>
            <w:noWrap w:val="0"/>
            <w:vAlign w:val="center"/>
          </w:tcPr>
          <w:p>
            <w:pPr>
              <w:widowControl/>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65" w:type="pct"/>
            <w:shd w:val="clear" w:color="auto" w:fill="auto"/>
            <w:noWrap/>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641" w:type="pct"/>
            <w:vMerge w:val="continue"/>
            <w:shd w:val="clear" w:color="auto" w:fill="auto"/>
            <w:noWrap w:val="0"/>
            <w:vAlign w:val="center"/>
          </w:tcPr>
          <w:p>
            <w:pPr>
              <w:widowControl/>
              <w:jc w:val="left"/>
              <w:rPr>
                <w:rFonts w:hint="eastAsia" w:ascii="仿宋_GB2312" w:hAnsi="仿宋_GB2312" w:eastAsia="仿宋_GB2312" w:cs="仿宋_GB2312"/>
                <w:color w:val="000000"/>
                <w:kern w:val="0"/>
                <w:sz w:val="24"/>
                <w:szCs w:val="24"/>
              </w:rPr>
            </w:pPr>
          </w:p>
        </w:tc>
        <w:tc>
          <w:tcPr>
            <w:tcW w:w="659" w:type="pct"/>
            <w:shd w:val="clear" w:color="000000" w:fill="FFFFFF"/>
            <w:noWrap w:val="0"/>
            <w:vAlign w:val="center"/>
          </w:tcPr>
          <w:p>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短信模板制定</w:t>
            </w:r>
          </w:p>
        </w:tc>
        <w:tc>
          <w:tcPr>
            <w:tcW w:w="2619" w:type="pct"/>
            <w:noWrap w:val="0"/>
            <w:vAlign w:val="center"/>
          </w:tcPr>
          <w:p>
            <w:pPr>
              <w:adjustRightInd w:val="0"/>
              <w:snapToGrid w:val="0"/>
              <w:ind w:right="34" w:rightChars="16"/>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支持</w:t>
            </w:r>
            <w:r>
              <w:rPr>
                <w:rFonts w:hint="eastAsia" w:ascii="仿宋_GB2312" w:hAnsi="仿宋_GB2312" w:eastAsia="仿宋_GB2312" w:cs="仿宋_GB2312"/>
                <w:color w:val="auto"/>
                <w:kern w:val="0"/>
                <w:sz w:val="24"/>
                <w:szCs w:val="24"/>
                <w:highlight w:val="none"/>
                <w:lang w:eastAsia="zh-CN"/>
              </w:rPr>
              <w:t>制定</w:t>
            </w:r>
            <w:r>
              <w:rPr>
                <w:rFonts w:hint="eastAsia" w:ascii="仿宋_GB2312" w:hAnsi="仿宋_GB2312" w:eastAsia="仿宋_GB2312" w:cs="仿宋_GB2312"/>
                <w:color w:val="000000"/>
                <w:kern w:val="0"/>
                <w:sz w:val="24"/>
                <w:szCs w:val="24"/>
              </w:rPr>
              <w:t>家庭医生签约通知、家庭医生-医生提醒、家庭医生签约宣传、就诊服务满意度等</w:t>
            </w:r>
            <w:r>
              <w:rPr>
                <w:rFonts w:hint="eastAsia" w:ascii="仿宋_GB2312" w:hAnsi="仿宋_GB2312" w:eastAsia="仿宋_GB2312" w:cs="仿宋_GB2312"/>
                <w:color w:val="000000"/>
                <w:kern w:val="0"/>
                <w:sz w:val="24"/>
                <w:szCs w:val="24"/>
                <w:lang w:val="en-US" w:eastAsia="zh-CN"/>
              </w:rPr>
              <w:t>短信</w:t>
            </w:r>
            <w:r>
              <w:rPr>
                <w:rFonts w:hint="eastAsia" w:ascii="仿宋_GB2312" w:hAnsi="仿宋_GB2312" w:eastAsia="仿宋_GB2312" w:cs="仿宋_GB2312"/>
                <w:color w:val="000000"/>
                <w:kern w:val="0"/>
                <w:sz w:val="24"/>
                <w:szCs w:val="24"/>
              </w:rPr>
              <w:t>模板</w:t>
            </w:r>
            <w:r>
              <w:rPr>
                <w:rFonts w:hint="eastAsia" w:ascii="仿宋_GB2312" w:hAnsi="仿宋_GB2312" w:eastAsia="仿宋_GB2312" w:cs="仿宋_GB2312"/>
                <w:color w:val="000000"/>
                <w:kern w:val="0"/>
                <w:sz w:val="24"/>
                <w:szCs w:val="24"/>
                <w:lang w:eastAsia="zh-CN"/>
              </w:rPr>
              <w:t>。</w:t>
            </w:r>
          </w:p>
        </w:tc>
        <w:tc>
          <w:tcPr>
            <w:tcW w:w="714" w:type="pct"/>
            <w:noWrap w:val="0"/>
            <w:vAlign w:val="center"/>
          </w:tcPr>
          <w:p>
            <w:pPr>
              <w:adjustRightInd w:val="0"/>
              <w:snapToGrid w:val="0"/>
              <w:ind w:right="34" w:rightChars="16"/>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365" w:type="pct"/>
            <w:shd w:val="clear" w:color="auto" w:fill="auto"/>
            <w:noWrap/>
            <w:vAlign w:val="center"/>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6</w:t>
            </w:r>
          </w:p>
        </w:tc>
        <w:tc>
          <w:tcPr>
            <w:tcW w:w="641" w:type="pct"/>
            <w:vMerge w:val="continue"/>
            <w:shd w:val="clear" w:color="auto" w:fill="auto"/>
            <w:noWrap w:val="0"/>
            <w:vAlign w:val="center"/>
          </w:tcPr>
          <w:p>
            <w:pPr>
              <w:widowControl/>
              <w:jc w:val="left"/>
              <w:rPr>
                <w:rFonts w:hint="eastAsia" w:ascii="仿宋_GB2312" w:hAnsi="仿宋_GB2312" w:eastAsia="仿宋_GB2312" w:cs="仿宋_GB2312"/>
                <w:color w:val="000000"/>
                <w:kern w:val="0"/>
                <w:sz w:val="24"/>
                <w:szCs w:val="24"/>
              </w:rPr>
            </w:pPr>
          </w:p>
        </w:tc>
        <w:tc>
          <w:tcPr>
            <w:tcW w:w="659" w:type="pct"/>
            <w:shd w:val="clear" w:color="000000" w:fill="FFFFFF"/>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家庭医生签约</w:t>
            </w:r>
            <w:r>
              <w:rPr>
                <w:rFonts w:hint="eastAsia" w:ascii="仿宋_GB2312" w:hAnsi="仿宋_GB2312" w:eastAsia="仿宋_GB2312" w:cs="仿宋_GB2312"/>
                <w:color w:val="000000"/>
                <w:kern w:val="0"/>
                <w:sz w:val="24"/>
                <w:szCs w:val="24"/>
              </w:rPr>
              <w:t>短信</w:t>
            </w:r>
            <w:r>
              <w:rPr>
                <w:rFonts w:hint="eastAsia" w:ascii="仿宋_GB2312" w:hAnsi="仿宋_GB2312" w:eastAsia="仿宋_GB2312" w:cs="仿宋_GB2312"/>
                <w:color w:val="auto"/>
                <w:kern w:val="0"/>
                <w:sz w:val="24"/>
                <w:szCs w:val="24"/>
                <w:highlight w:val="none"/>
                <w:lang w:val="en-US" w:eastAsia="zh-CN"/>
              </w:rPr>
              <w:t>自动推送</w:t>
            </w:r>
          </w:p>
        </w:tc>
        <w:tc>
          <w:tcPr>
            <w:tcW w:w="2619" w:type="pct"/>
            <w:noWrap w:val="0"/>
            <w:vAlign w:val="center"/>
          </w:tcPr>
          <w:p>
            <w:pPr>
              <w:adjustRightInd w:val="0"/>
              <w:snapToGrid w:val="0"/>
              <w:ind w:right="34" w:rightChars="16"/>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Cs/>
                <w:sz w:val="24"/>
                <w:szCs w:val="24"/>
              </w:rPr>
              <w:t>▲</w:t>
            </w:r>
            <w:r>
              <w:rPr>
                <w:rFonts w:hint="eastAsia" w:ascii="仿宋_GB2312" w:hAnsi="仿宋_GB2312" w:eastAsia="仿宋_GB2312" w:cs="仿宋_GB2312"/>
                <w:color w:val="auto"/>
                <w:kern w:val="0"/>
                <w:sz w:val="24"/>
                <w:szCs w:val="24"/>
                <w:highlight w:val="none"/>
                <w:lang w:val="en-US" w:eastAsia="zh-CN"/>
              </w:rPr>
              <w:t>支持</w:t>
            </w:r>
            <w:r>
              <w:rPr>
                <w:rFonts w:hint="eastAsia" w:ascii="仿宋_GB2312" w:hAnsi="仿宋_GB2312" w:eastAsia="仿宋_GB2312" w:cs="仿宋_GB2312"/>
                <w:color w:val="auto"/>
                <w:kern w:val="0"/>
                <w:sz w:val="24"/>
                <w:szCs w:val="24"/>
                <w:highlight w:val="none"/>
                <w:lang w:eastAsia="zh-CN"/>
              </w:rPr>
              <w:t>按制定的</w:t>
            </w:r>
            <w:r>
              <w:rPr>
                <w:rFonts w:hint="eastAsia" w:ascii="仿宋_GB2312" w:hAnsi="仿宋_GB2312" w:eastAsia="仿宋_GB2312" w:cs="仿宋_GB2312"/>
                <w:color w:val="000000"/>
                <w:kern w:val="0"/>
                <w:sz w:val="24"/>
                <w:szCs w:val="24"/>
              </w:rPr>
              <w:t>家庭医生签约通知、家庭医生-医生提醒、家庭医生签约宣传、就诊服务满意度</w:t>
            </w:r>
            <w:r>
              <w:rPr>
                <w:rFonts w:hint="eastAsia" w:ascii="仿宋_GB2312" w:hAnsi="仿宋_GB2312" w:eastAsia="仿宋_GB2312" w:cs="仿宋_GB2312"/>
                <w:color w:val="auto"/>
                <w:kern w:val="0"/>
                <w:sz w:val="24"/>
                <w:szCs w:val="24"/>
                <w:highlight w:val="none"/>
                <w:lang w:eastAsia="zh-CN"/>
              </w:rPr>
              <w:t>短信模板，设置短信推送时间、时限，实现</w:t>
            </w:r>
            <w:r>
              <w:rPr>
                <w:rFonts w:hint="eastAsia" w:ascii="仿宋_GB2312" w:hAnsi="仿宋_GB2312" w:eastAsia="仿宋_GB2312" w:cs="仿宋_GB2312"/>
                <w:color w:val="auto"/>
                <w:kern w:val="0"/>
                <w:sz w:val="24"/>
                <w:szCs w:val="24"/>
                <w:highlight w:val="none"/>
                <w:lang w:val="en-US" w:eastAsia="zh-CN"/>
              </w:rPr>
              <w:t>家庭医生签约</w:t>
            </w:r>
            <w:r>
              <w:rPr>
                <w:rFonts w:hint="eastAsia" w:ascii="仿宋_GB2312" w:hAnsi="仿宋_GB2312" w:eastAsia="仿宋_GB2312" w:cs="仿宋_GB2312"/>
                <w:color w:val="auto"/>
                <w:kern w:val="0"/>
                <w:sz w:val="24"/>
                <w:szCs w:val="24"/>
                <w:highlight w:val="none"/>
                <w:lang w:eastAsia="zh-CN"/>
              </w:rPr>
              <w:t>短信精准</w:t>
            </w:r>
            <w:r>
              <w:rPr>
                <w:rFonts w:hint="eastAsia" w:ascii="仿宋_GB2312" w:hAnsi="仿宋_GB2312" w:eastAsia="仿宋_GB2312" w:cs="仿宋_GB2312"/>
                <w:color w:val="auto"/>
                <w:kern w:val="0"/>
                <w:sz w:val="24"/>
                <w:szCs w:val="24"/>
                <w:highlight w:val="none"/>
                <w:lang w:val="en-US" w:eastAsia="zh-CN"/>
              </w:rPr>
              <w:t>自动</w:t>
            </w:r>
            <w:r>
              <w:rPr>
                <w:rFonts w:hint="eastAsia" w:ascii="仿宋_GB2312" w:hAnsi="仿宋_GB2312" w:eastAsia="仿宋_GB2312" w:cs="仿宋_GB2312"/>
                <w:color w:val="auto"/>
                <w:kern w:val="0"/>
                <w:sz w:val="24"/>
                <w:szCs w:val="24"/>
                <w:highlight w:val="none"/>
                <w:lang w:eastAsia="zh-CN"/>
              </w:rPr>
              <w:t>推送。</w:t>
            </w:r>
          </w:p>
        </w:tc>
        <w:tc>
          <w:tcPr>
            <w:tcW w:w="714" w:type="pct"/>
            <w:noWrap w:val="0"/>
            <w:vAlign w:val="center"/>
          </w:tcPr>
          <w:p>
            <w:pPr>
              <w:adjustRightInd w:val="0"/>
              <w:snapToGrid w:val="0"/>
              <w:ind w:right="34" w:rightChars="16"/>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65" w:type="pct"/>
            <w:shd w:val="clear" w:color="auto" w:fill="auto"/>
            <w:noWrap/>
            <w:vAlign w:val="center"/>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7</w:t>
            </w:r>
          </w:p>
        </w:tc>
        <w:tc>
          <w:tcPr>
            <w:tcW w:w="641" w:type="pct"/>
            <w:vMerge w:val="continue"/>
            <w:shd w:val="clear" w:color="auto" w:fill="auto"/>
            <w:noWrap w:val="0"/>
            <w:vAlign w:val="center"/>
          </w:tcPr>
          <w:p>
            <w:pPr>
              <w:widowControl/>
              <w:jc w:val="left"/>
              <w:rPr>
                <w:rFonts w:hint="eastAsia" w:ascii="仿宋_GB2312" w:hAnsi="仿宋_GB2312" w:eastAsia="仿宋_GB2312" w:cs="仿宋_GB2312"/>
                <w:color w:val="000000"/>
                <w:kern w:val="0"/>
                <w:sz w:val="24"/>
                <w:szCs w:val="24"/>
              </w:rPr>
            </w:pPr>
          </w:p>
        </w:tc>
        <w:tc>
          <w:tcPr>
            <w:tcW w:w="659"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auto"/>
                <w:kern w:val="0"/>
                <w:sz w:val="24"/>
                <w:szCs w:val="24"/>
                <w:highlight w:val="none"/>
                <w:lang w:val="en-US" w:eastAsia="zh-CN"/>
              </w:rPr>
              <w:t>自定义短信推送</w:t>
            </w:r>
          </w:p>
        </w:tc>
        <w:tc>
          <w:tcPr>
            <w:tcW w:w="261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Cs/>
                <w:sz w:val="24"/>
                <w:szCs w:val="24"/>
              </w:rPr>
              <w:t>▲</w:t>
            </w:r>
            <w:r>
              <w:rPr>
                <w:rFonts w:hint="eastAsia" w:ascii="仿宋_GB2312" w:hAnsi="仿宋_GB2312" w:eastAsia="仿宋_GB2312" w:cs="仿宋_GB2312"/>
                <w:color w:val="auto"/>
                <w:kern w:val="0"/>
                <w:sz w:val="24"/>
                <w:szCs w:val="24"/>
                <w:highlight w:val="none"/>
              </w:rPr>
              <w:t>支持</w:t>
            </w:r>
            <w:r>
              <w:rPr>
                <w:rFonts w:hint="eastAsia" w:ascii="仿宋_GB2312" w:hAnsi="仿宋_GB2312" w:eastAsia="仿宋_GB2312" w:cs="仿宋_GB2312"/>
                <w:color w:val="auto"/>
                <w:kern w:val="0"/>
                <w:sz w:val="24"/>
                <w:szCs w:val="24"/>
                <w:highlight w:val="none"/>
                <w:lang w:val="en-US" w:eastAsia="zh-CN"/>
              </w:rPr>
              <w:t>医生</w:t>
            </w:r>
            <w:r>
              <w:rPr>
                <w:rFonts w:hint="eastAsia" w:ascii="仿宋_GB2312" w:hAnsi="仿宋_GB2312" w:eastAsia="仿宋_GB2312" w:cs="仿宋_GB2312"/>
                <w:color w:val="auto"/>
                <w:kern w:val="0"/>
                <w:sz w:val="24"/>
                <w:szCs w:val="24"/>
                <w:highlight w:val="none"/>
              </w:rPr>
              <w:t>自定义</w:t>
            </w:r>
            <w:r>
              <w:rPr>
                <w:rFonts w:hint="eastAsia" w:ascii="仿宋_GB2312" w:hAnsi="仿宋_GB2312" w:eastAsia="仿宋_GB2312" w:cs="仿宋_GB2312"/>
                <w:color w:val="auto"/>
                <w:kern w:val="0"/>
                <w:sz w:val="24"/>
                <w:szCs w:val="24"/>
                <w:highlight w:val="none"/>
                <w:lang w:val="en-US" w:eastAsia="zh-CN"/>
              </w:rPr>
              <w:t>家庭医生签约</w:t>
            </w:r>
            <w:r>
              <w:rPr>
                <w:rFonts w:hint="eastAsia" w:ascii="仿宋_GB2312" w:hAnsi="仿宋_GB2312" w:eastAsia="仿宋_GB2312" w:cs="仿宋_GB2312"/>
                <w:color w:val="auto"/>
                <w:kern w:val="0"/>
                <w:sz w:val="24"/>
                <w:szCs w:val="24"/>
                <w:highlight w:val="none"/>
              </w:rPr>
              <w:t>数据导入，管理自定义的</w:t>
            </w:r>
            <w:r>
              <w:rPr>
                <w:rFonts w:hint="eastAsia" w:ascii="仿宋_GB2312" w:hAnsi="仿宋_GB2312" w:eastAsia="仿宋_GB2312" w:cs="仿宋_GB2312"/>
                <w:color w:val="auto"/>
                <w:kern w:val="0"/>
                <w:sz w:val="24"/>
                <w:szCs w:val="24"/>
                <w:highlight w:val="none"/>
                <w:lang w:val="en-US" w:eastAsia="zh-CN"/>
              </w:rPr>
              <w:t>签约居民</w:t>
            </w:r>
            <w:r>
              <w:rPr>
                <w:rFonts w:hint="eastAsia" w:ascii="仿宋_GB2312" w:hAnsi="仿宋_GB2312" w:eastAsia="仿宋_GB2312" w:cs="仿宋_GB2312"/>
                <w:color w:val="auto"/>
                <w:kern w:val="0"/>
                <w:sz w:val="24"/>
                <w:szCs w:val="24"/>
                <w:highlight w:val="none"/>
              </w:rPr>
              <w:t>数据，包括</w:t>
            </w:r>
            <w:r>
              <w:rPr>
                <w:rFonts w:hint="eastAsia" w:ascii="仿宋_GB2312" w:hAnsi="仿宋_GB2312" w:eastAsia="仿宋_GB2312" w:cs="仿宋_GB2312"/>
                <w:color w:val="auto"/>
                <w:kern w:val="0"/>
                <w:sz w:val="24"/>
                <w:szCs w:val="24"/>
                <w:highlight w:val="none"/>
                <w:lang w:val="en-US" w:eastAsia="zh-CN"/>
              </w:rPr>
              <w:t>签约居民</w:t>
            </w:r>
            <w:r>
              <w:rPr>
                <w:rFonts w:hint="eastAsia" w:ascii="仿宋_GB2312" w:hAnsi="仿宋_GB2312" w:eastAsia="仿宋_GB2312" w:cs="仿宋_GB2312"/>
                <w:color w:val="auto"/>
                <w:kern w:val="0"/>
                <w:sz w:val="24"/>
                <w:szCs w:val="24"/>
                <w:highlight w:val="none"/>
              </w:rPr>
              <w:t>姓名、性别、联系方式、出生日期等属性。</w:t>
            </w:r>
            <w:r>
              <w:rPr>
                <w:rFonts w:hint="eastAsia" w:ascii="仿宋_GB2312" w:hAnsi="仿宋_GB2312" w:eastAsia="仿宋_GB2312" w:cs="仿宋_GB2312"/>
                <w:bCs/>
                <w:color w:val="auto"/>
                <w:sz w:val="24"/>
                <w:szCs w:val="24"/>
                <w:highlight w:val="none"/>
                <w:lang w:val="en-US" w:eastAsia="zh-CN"/>
              </w:rPr>
              <w:t>支持对导入的</w:t>
            </w:r>
            <w:r>
              <w:rPr>
                <w:rFonts w:hint="eastAsia" w:ascii="仿宋_GB2312" w:hAnsi="仿宋_GB2312" w:eastAsia="仿宋_GB2312" w:cs="仿宋_GB2312"/>
                <w:color w:val="auto"/>
                <w:kern w:val="0"/>
                <w:sz w:val="24"/>
                <w:szCs w:val="24"/>
                <w:highlight w:val="none"/>
                <w:lang w:val="en-US" w:eastAsia="zh-CN"/>
              </w:rPr>
              <w:t>签约居民</w:t>
            </w:r>
            <w:r>
              <w:rPr>
                <w:rFonts w:hint="eastAsia" w:ascii="仿宋_GB2312" w:hAnsi="仿宋_GB2312" w:eastAsia="仿宋_GB2312" w:cs="仿宋_GB2312"/>
                <w:bCs/>
                <w:color w:val="auto"/>
                <w:sz w:val="24"/>
                <w:szCs w:val="24"/>
                <w:highlight w:val="none"/>
                <w:lang w:val="en-US" w:eastAsia="zh-CN"/>
              </w:rPr>
              <w:t>发送自定义短信</w:t>
            </w:r>
            <w:r>
              <w:rPr>
                <w:rFonts w:hint="eastAsia" w:ascii="仿宋_GB2312" w:hAnsi="仿宋_GB2312" w:eastAsia="仿宋_GB2312" w:cs="仿宋_GB2312"/>
                <w:bCs/>
                <w:color w:val="auto"/>
                <w:sz w:val="24"/>
                <w:szCs w:val="24"/>
                <w:highlight w:val="none"/>
              </w:rPr>
              <w:t>，设置短信内容、发送时间，支持立即发送和定期发送两种模式发送短信。</w:t>
            </w:r>
          </w:p>
        </w:tc>
        <w:tc>
          <w:tcPr>
            <w:tcW w:w="714" w:type="pct"/>
            <w:noWrap w:val="0"/>
            <w:vAlign w:val="center"/>
          </w:tcPr>
          <w:p>
            <w:pPr>
              <w:widowControl/>
              <w:jc w:val="left"/>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365" w:type="pct"/>
            <w:shd w:val="clear" w:color="auto" w:fill="auto"/>
            <w:noWrap/>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w:t>
            </w:r>
          </w:p>
        </w:tc>
        <w:tc>
          <w:tcPr>
            <w:tcW w:w="641" w:type="pct"/>
            <w:vMerge w:val="continue"/>
            <w:shd w:val="clear" w:color="auto" w:fill="auto"/>
            <w:noWrap w:val="0"/>
            <w:vAlign w:val="center"/>
          </w:tcPr>
          <w:p>
            <w:pPr>
              <w:widowControl/>
              <w:jc w:val="left"/>
              <w:rPr>
                <w:rFonts w:hint="eastAsia" w:ascii="仿宋_GB2312" w:hAnsi="仿宋_GB2312" w:eastAsia="仿宋_GB2312" w:cs="仿宋_GB2312"/>
                <w:color w:val="000000"/>
                <w:kern w:val="0"/>
                <w:sz w:val="24"/>
                <w:szCs w:val="24"/>
              </w:rPr>
            </w:pPr>
          </w:p>
        </w:tc>
        <w:tc>
          <w:tcPr>
            <w:tcW w:w="659"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rPr>
            </w:pPr>
          </w:p>
        </w:tc>
        <w:tc>
          <w:tcPr>
            <w:tcW w:w="261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hint="eastAsia" w:ascii="仿宋_GB2312" w:hAnsi="仿宋_GB2312" w:eastAsia="仿宋_GB2312" w:cs="仿宋_GB2312"/>
                <w:color w:val="auto"/>
                <w:kern w:val="0"/>
                <w:sz w:val="24"/>
                <w:szCs w:val="24"/>
                <w:highlight w:val="none"/>
              </w:rPr>
              <w:t>支持从居民健康档案、高糖</w:t>
            </w:r>
            <w:r>
              <w:rPr>
                <w:rFonts w:hint="eastAsia" w:ascii="仿宋_GB2312" w:hAnsi="仿宋_GB2312" w:eastAsia="仿宋_GB2312" w:cs="仿宋_GB2312"/>
                <w:color w:val="auto"/>
                <w:kern w:val="0"/>
                <w:sz w:val="24"/>
                <w:szCs w:val="24"/>
                <w:highlight w:val="none"/>
                <w:lang w:val="en-US" w:eastAsia="zh-CN"/>
              </w:rPr>
              <w:t>慢病</w:t>
            </w:r>
            <w:r>
              <w:rPr>
                <w:rFonts w:hint="eastAsia" w:ascii="仿宋_GB2312" w:hAnsi="仿宋_GB2312" w:eastAsia="仿宋_GB2312" w:cs="仿宋_GB2312"/>
                <w:color w:val="auto"/>
                <w:kern w:val="0"/>
                <w:sz w:val="24"/>
                <w:szCs w:val="24"/>
                <w:highlight w:val="none"/>
              </w:rPr>
              <w:t>、老年人健康档案信息中选择</w:t>
            </w:r>
            <w:r>
              <w:rPr>
                <w:rFonts w:hint="eastAsia" w:ascii="仿宋_GB2312" w:hAnsi="仿宋_GB2312" w:eastAsia="仿宋_GB2312" w:cs="仿宋_GB2312"/>
                <w:color w:val="auto"/>
                <w:kern w:val="0"/>
                <w:sz w:val="24"/>
                <w:szCs w:val="24"/>
                <w:highlight w:val="none"/>
                <w:lang w:val="en-US" w:eastAsia="zh-CN"/>
              </w:rPr>
              <w:t>签约</w:t>
            </w:r>
            <w:r>
              <w:rPr>
                <w:rFonts w:hint="eastAsia" w:ascii="仿宋_GB2312" w:hAnsi="仿宋_GB2312" w:eastAsia="仿宋_GB2312" w:cs="仿宋_GB2312"/>
                <w:color w:val="auto"/>
                <w:kern w:val="0"/>
                <w:sz w:val="24"/>
                <w:szCs w:val="24"/>
                <w:highlight w:val="none"/>
              </w:rPr>
              <w:t>居民，设置短信内容、发送时间,支持立即发送和定期发送两种模式发送短信。</w:t>
            </w:r>
          </w:p>
        </w:tc>
        <w:tc>
          <w:tcPr>
            <w:tcW w:w="714" w:type="pct"/>
            <w:noWrap w:val="0"/>
            <w:vAlign w:val="center"/>
          </w:tcPr>
          <w:p>
            <w:pPr>
              <w:widowControl/>
              <w:jc w:val="left"/>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65" w:type="pct"/>
            <w:shd w:val="clear" w:color="auto" w:fill="auto"/>
            <w:noWrap/>
            <w:vAlign w:val="center"/>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9</w:t>
            </w:r>
          </w:p>
        </w:tc>
        <w:tc>
          <w:tcPr>
            <w:tcW w:w="641" w:type="pct"/>
            <w:vMerge w:val="continue"/>
            <w:shd w:val="clear" w:color="auto" w:fill="auto"/>
            <w:noWrap w:val="0"/>
            <w:vAlign w:val="center"/>
          </w:tcPr>
          <w:p>
            <w:pPr>
              <w:widowControl/>
              <w:jc w:val="left"/>
              <w:rPr>
                <w:rFonts w:hint="eastAsia" w:ascii="仿宋_GB2312" w:hAnsi="仿宋_GB2312" w:eastAsia="仿宋_GB2312" w:cs="仿宋_GB2312"/>
                <w:color w:val="000000"/>
                <w:kern w:val="0"/>
                <w:sz w:val="24"/>
                <w:szCs w:val="24"/>
              </w:rPr>
            </w:pPr>
          </w:p>
        </w:tc>
        <w:tc>
          <w:tcPr>
            <w:tcW w:w="659"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4"/>
                <w:szCs w:val="24"/>
              </w:rPr>
            </w:pPr>
          </w:p>
        </w:tc>
        <w:tc>
          <w:tcPr>
            <w:tcW w:w="261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auto"/>
                <w:kern w:val="0"/>
                <w:sz w:val="24"/>
                <w:szCs w:val="24"/>
                <w:highlight w:val="none"/>
                <w:lang w:val="en-US" w:eastAsia="zh-CN"/>
              </w:rPr>
              <w:t>支持</w:t>
            </w:r>
            <w:r>
              <w:rPr>
                <w:rFonts w:hint="eastAsia" w:ascii="仿宋_GB2312" w:hAnsi="仿宋_GB2312" w:eastAsia="仿宋_GB2312" w:cs="仿宋_GB2312"/>
                <w:color w:val="auto"/>
                <w:kern w:val="0"/>
                <w:sz w:val="24"/>
                <w:szCs w:val="24"/>
                <w:highlight w:val="none"/>
              </w:rPr>
              <w:t>审核自定义发送的短信内容，当管理用户审核完成后才进行短信推送。</w:t>
            </w:r>
          </w:p>
        </w:tc>
        <w:tc>
          <w:tcPr>
            <w:tcW w:w="714" w:type="pct"/>
            <w:noWrap w:val="0"/>
            <w:vAlign w:val="center"/>
          </w:tcPr>
          <w:p>
            <w:pPr>
              <w:widowControl/>
              <w:jc w:val="left"/>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365" w:type="pct"/>
            <w:shd w:val="clear" w:color="auto" w:fill="auto"/>
            <w:noWrap/>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641" w:type="pct"/>
            <w:vMerge w:val="continue"/>
            <w:shd w:val="clear" w:color="auto" w:fill="auto"/>
            <w:noWrap w:val="0"/>
            <w:vAlign w:val="center"/>
          </w:tcPr>
          <w:p>
            <w:pPr>
              <w:widowControl/>
              <w:jc w:val="left"/>
              <w:rPr>
                <w:rFonts w:hint="eastAsia" w:ascii="仿宋_GB2312" w:hAnsi="仿宋_GB2312" w:eastAsia="仿宋_GB2312" w:cs="仿宋_GB2312"/>
                <w:color w:val="000000"/>
                <w:kern w:val="0"/>
                <w:sz w:val="24"/>
                <w:szCs w:val="24"/>
              </w:rPr>
            </w:pPr>
          </w:p>
        </w:tc>
        <w:tc>
          <w:tcPr>
            <w:tcW w:w="65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短信记录</w:t>
            </w:r>
          </w:p>
        </w:tc>
        <w:tc>
          <w:tcPr>
            <w:tcW w:w="261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支持查询短信发送记录，可查看发送总数、发送成功数、计费量（条）、发送状态等信息。</w:t>
            </w:r>
          </w:p>
        </w:tc>
        <w:tc>
          <w:tcPr>
            <w:tcW w:w="714" w:type="pct"/>
            <w:noWrap w:val="0"/>
            <w:vAlign w:val="center"/>
          </w:tcPr>
          <w:p>
            <w:pPr>
              <w:widowControl/>
              <w:jc w:val="left"/>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65" w:type="pct"/>
            <w:shd w:val="clear" w:color="auto" w:fill="auto"/>
            <w:noWrap/>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11</w:t>
            </w:r>
          </w:p>
        </w:tc>
        <w:tc>
          <w:tcPr>
            <w:tcW w:w="641" w:type="pct"/>
            <w:vMerge w:val="continue"/>
            <w:shd w:val="clear" w:color="auto" w:fill="auto"/>
            <w:noWrap w:val="0"/>
            <w:vAlign w:val="center"/>
          </w:tcPr>
          <w:p>
            <w:pPr>
              <w:widowControl/>
              <w:jc w:val="left"/>
              <w:rPr>
                <w:rFonts w:hint="eastAsia" w:ascii="仿宋_GB2312" w:hAnsi="仿宋_GB2312" w:eastAsia="仿宋_GB2312" w:cs="仿宋_GB2312"/>
                <w:color w:val="000000"/>
                <w:kern w:val="0"/>
                <w:sz w:val="24"/>
                <w:szCs w:val="24"/>
              </w:rPr>
            </w:pPr>
          </w:p>
        </w:tc>
        <w:tc>
          <w:tcPr>
            <w:tcW w:w="659" w:type="pct"/>
            <w:vMerge w:val="restart"/>
            <w:shd w:val="clear" w:color="000000" w:fill="FFFFFF"/>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统计分析</w:t>
            </w:r>
          </w:p>
        </w:tc>
        <w:tc>
          <w:tcPr>
            <w:tcW w:w="2619" w:type="pct"/>
            <w:noWrap w:val="0"/>
            <w:vAlign w:val="center"/>
          </w:tcPr>
          <w:p>
            <w:pPr>
              <w:pStyle w:val="23"/>
              <w:adjustRightInd w:val="0"/>
              <w:snapToGrid w:val="0"/>
              <w:ind w:firstLine="0" w:firstLineChars="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按发送量统计</w:t>
            </w:r>
            <w:r>
              <w:rPr>
                <w:rFonts w:hint="eastAsia" w:ascii="仿宋_GB2312" w:hAnsi="仿宋_GB2312" w:eastAsia="仿宋_GB2312" w:cs="仿宋_GB2312"/>
                <w:color w:val="000000"/>
                <w:kern w:val="0"/>
                <w:sz w:val="24"/>
                <w:szCs w:val="24"/>
                <w:lang w:eastAsia="zh-CN"/>
              </w:rPr>
              <w:t>。</w:t>
            </w:r>
          </w:p>
        </w:tc>
        <w:tc>
          <w:tcPr>
            <w:tcW w:w="714" w:type="pct"/>
            <w:noWrap w:val="0"/>
            <w:vAlign w:val="center"/>
          </w:tcPr>
          <w:p>
            <w:pPr>
              <w:widowControl/>
              <w:jc w:val="left"/>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65" w:type="pct"/>
            <w:shd w:val="clear" w:color="auto" w:fill="auto"/>
            <w:noWrap/>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12</w:t>
            </w:r>
          </w:p>
        </w:tc>
        <w:tc>
          <w:tcPr>
            <w:tcW w:w="641" w:type="pct"/>
            <w:vMerge w:val="continue"/>
            <w:shd w:val="clear" w:color="auto" w:fill="auto"/>
            <w:noWrap w:val="0"/>
            <w:vAlign w:val="center"/>
          </w:tcPr>
          <w:p>
            <w:pPr>
              <w:widowControl/>
              <w:jc w:val="left"/>
              <w:rPr>
                <w:rFonts w:hint="eastAsia" w:ascii="仿宋_GB2312" w:hAnsi="仿宋_GB2312" w:eastAsia="仿宋_GB2312" w:cs="仿宋_GB2312"/>
                <w:color w:val="000000"/>
                <w:kern w:val="0"/>
                <w:sz w:val="24"/>
                <w:szCs w:val="24"/>
              </w:rPr>
            </w:pPr>
          </w:p>
        </w:tc>
        <w:tc>
          <w:tcPr>
            <w:tcW w:w="659" w:type="pct"/>
            <w:vMerge w:val="continue"/>
            <w:shd w:val="clear" w:color="000000" w:fill="FFFFFF"/>
            <w:noWrap w:val="0"/>
            <w:vAlign w:val="center"/>
          </w:tcPr>
          <w:p>
            <w:pPr>
              <w:widowControl/>
              <w:jc w:val="center"/>
              <w:rPr>
                <w:rFonts w:hint="eastAsia" w:ascii="仿宋_GB2312" w:hAnsi="仿宋_GB2312" w:eastAsia="仿宋_GB2312" w:cs="仿宋_GB2312"/>
                <w:color w:val="000000"/>
                <w:kern w:val="0"/>
                <w:sz w:val="24"/>
                <w:szCs w:val="24"/>
              </w:rPr>
            </w:pPr>
          </w:p>
        </w:tc>
        <w:tc>
          <w:tcPr>
            <w:tcW w:w="2619" w:type="pct"/>
            <w:noWrap w:val="0"/>
            <w:vAlign w:val="center"/>
          </w:tcPr>
          <w:p>
            <w:pPr>
              <w:widowControl/>
              <w:jc w:val="lef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color w:val="000000"/>
                <w:kern w:val="0"/>
                <w:sz w:val="24"/>
                <w:szCs w:val="24"/>
              </w:rPr>
              <w:t>按业务量统计</w:t>
            </w:r>
            <w:r>
              <w:rPr>
                <w:rFonts w:hint="eastAsia" w:ascii="仿宋_GB2312" w:hAnsi="仿宋_GB2312" w:eastAsia="仿宋_GB2312" w:cs="仿宋_GB2312"/>
                <w:color w:val="000000"/>
                <w:kern w:val="0"/>
                <w:sz w:val="24"/>
                <w:szCs w:val="24"/>
                <w:lang w:eastAsia="zh-CN"/>
              </w:rPr>
              <w:t>。</w:t>
            </w:r>
          </w:p>
        </w:tc>
        <w:tc>
          <w:tcPr>
            <w:tcW w:w="714" w:type="pct"/>
            <w:noWrap w:val="0"/>
            <w:vAlign w:val="center"/>
          </w:tcPr>
          <w:p>
            <w:pPr>
              <w:widowControl/>
              <w:jc w:val="left"/>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65" w:type="pct"/>
            <w:shd w:val="clear" w:color="auto" w:fill="auto"/>
            <w:noWrap/>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13</w:t>
            </w:r>
          </w:p>
        </w:tc>
        <w:tc>
          <w:tcPr>
            <w:tcW w:w="641" w:type="pct"/>
            <w:vMerge w:val="continue"/>
            <w:shd w:val="clear" w:color="auto" w:fill="auto"/>
            <w:noWrap w:val="0"/>
            <w:vAlign w:val="center"/>
          </w:tcPr>
          <w:p>
            <w:pPr>
              <w:widowControl/>
              <w:jc w:val="left"/>
              <w:rPr>
                <w:rFonts w:hint="eastAsia" w:ascii="仿宋_GB2312" w:hAnsi="仿宋_GB2312" w:eastAsia="仿宋_GB2312" w:cs="仿宋_GB2312"/>
                <w:color w:val="000000"/>
                <w:kern w:val="0"/>
                <w:sz w:val="24"/>
                <w:szCs w:val="24"/>
              </w:rPr>
            </w:pPr>
          </w:p>
        </w:tc>
        <w:tc>
          <w:tcPr>
            <w:tcW w:w="659" w:type="pct"/>
            <w:vMerge w:val="continue"/>
            <w:shd w:val="clear" w:color="000000" w:fill="FFFFFF"/>
            <w:noWrap w:val="0"/>
            <w:vAlign w:val="center"/>
          </w:tcPr>
          <w:p>
            <w:pPr>
              <w:widowControl/>
              <w:jc w:val="center"/>
              <w:rPr>
                <w:rFonts w:hint="eastAsia" w:ascii="仿宋_GB2312" w:hAnsi="仿宋_GB2312" w:eastAsia="仿宋_GB2312" w:cs="仿宋_GB2312"/>
                <w:color w:val="000000"/>
                <w:kern w:val="0"/>
                <w:sz w:val="24"/>
                <w:szCs w:val="24"/>
              </w:rPr>
            </w:pPr>
          </w:p>
        </w:tc>
        <w:tc>
          <w:tcPr>
            <w:tcW w:w="2619" w:type="pct"/>
            <w:noWrap w:val="0"/>
            <w:vAlign w:val="center"/>
          </w:tcPr>
          <w:p>
            <w:pPr>
              <w:widowControl/>
              <w:jc w:val="lef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color w:val="000000"/>
                <w:kern w:val="0"/>
                <w:sz w:val="24"/>
                <w:szCs w:val="24"/>
              </w:rPr>
              <w:t>回复情况统计</w:t>
            </w:r>
            <w:r>
              <w:rPr>
                <w:rFonts w:hint="eastAsia" w:ascii="仿宋_GB2312" w:hAnsi="仿宋_GB2312" w:eastAsia="仿宋_GB2312" w:cs="仿宋_GB2312"/>
                <w:color w:val="000000"/>
                <w:kern w:val="0"/>
                <w:sz w:val="24"/>
                <w:szCs w:val="24"/>
                <w:lang w:eastAsia="zh-CN"/>
              </w:rPr>
              <w:t>。</w:t>
            </w:r>
          </w:p>
        </w:tc>
        <w:tc>
          <w:tcPr>
            <w:tcW w:w="714" w:type="pct"/>
            <w:noWrap w:val="0"/>
            <w:vAlign w:val="center"/>
          </w:tcPr>
          <w:p>
            <w:pPr>
              <w:widowControl/>
              <w:jc w:val="left"/>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65" w:type="pct"/>
            <w:shd w:val="clear" w:color="auto" w:fill="auto"/>
            <w:noWrap/>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14</w:t>
            </w:r>
          </w:p>
        </w:tc>
        <w:tc>
          <w:tcPr>
            <w:tcW w:w="641" w:type="pct"/>
            <w:vMerge w:val="continue"/>
            <w:shd w:val="clear" w:color="auto" w:fill="auto"/>
            <w:noWrap w:val="0"/>
            <w:vAlign w:val="center"/>
          </w:tcPr>
          <w:p>
            <w:pPr>
              <w:widowControl/>
              <w:jc w:val="left"/>
              <w:rPr>
                <w:rFonts w:hint="eastAsia" w:ascii="仿宋_GB2312" w:hAnsi="仿宋_GB2312" w:eastAsia="仿宋_GB2312" w:cs="仿宋_GB2312"/>
                <w:color w:val="000000"/>
                <w:kern w:val="0"/>
                <w:sz w:val="24"/>
                <w:szCs w:val="24"/>
              </w:rPr>
            </w:pPr>
          </w:p>
        </w:tc>
        <w:tc>
          <w:tcPr>
            <w:tcW w:w="659" w:type="pct"/>
            <w:vMerge w:val="continue"/>
            <w:shd w:val="clear" w:color="000000" w:fill="FFFFFF"/>
            <w:noWrap w:val="0"/>
            <w:vAlign w:val="center"/>
          </w:tcPr>
          <w:p>
            <w:pPr>
              <w:widowControl/>
              <w:jc w:val="center"/>
              <w:rPr>
                <w:rFonts w:hint="eastAsia" w:ascii="仿宋_GB2312" w:hAnsi="仿宋_GB2312" w:eastAsia="仿宋_GB2312" w:cs="仿宋_GB2312"/>
                <w:color w:val="000000"/>
                <w:kern w:val="0"/>
                <w:sz w:val="24"/>
                <w:szCs w:val="24"/>
              </w:rPr>
            </w:pPr>
          </w:p>
        </w:tc>
        <w:tc>
          <w:tcPr>
            <w:tcW w:w="2619" w:type="pct"/>
            <w:noWrap w:val="0"/>
            <w:vAlign w:val="center"/>
          </w:tcPr>
          <w:p>
            <w:pPr>
              <w:widowControl/>
              <w:jc w:val="lef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color w:val="000000"/>
                <w:kern w:val="0"/>
                <w:sz w:val="24"/>
                <w:szCs w:val="24"/>
              </w:rPr>
              <w:t>居民</w:t>
            </w:r>
            <w:r>
              <w:rPr>
                <w:rFonts w:hint="eastAsia" w:ascii="仿宋_GB2312" w:hAnsi="仿宋_GB2312" w:eastAsia="仿宋_GB2312" w:cs="仿宋_GB2312"/>
                <w:color w:val="000000"/>
                <w:kern w:val="0"/>
                <w:sz w:val="24"/>
                <w:szCs w:val="24"/>
                <w:lang w:val="en-US" w:eastAsia="zh-CN"/>
              </w:rPr>
              <w:t>短信</w:t>
            </w:r>
            <w:r>
              <w:rPr>
                <w:rFonts w:hint="eastAsia" w:ascii="仿宋_GB2312" w:hAnsi="仿宋_GB2312" w:eastAsia="仿宋_GB2312" w:cs="仿宋_GB2312"/>
                <w:color w:val="000000"/>
                <w:kern w:val="0"/>
                <w:sz w:val="24"/>
                <w:szCs w:val="24"/>
              </w:rPr>
              <w:t>异常统计</w:t>
            </w:r>
            <w:r>
              <w:rPr>
                <w:rFonts w:hint="eastAsia" w:ascii="仿宋_GB2312" w:hAnsi="仿宋_GB2312" w:eastAsia="仿宋_GB2312" w:cs="仿宋_GB2312"/>
                <w:color w:val="000000"/>
                <w:kern w:val="0"/>
                <w:sz w:val="24"/>
                <w:szCs w:val="24"/>
                <w:lang w:eastAsia="zh-CN"/>
              </w:rPr>
              <w:t>。</w:t>
            </w:r>
          </w:p>
        </w:tc>
        <w:tc>
          <w:tcPr>
            <w:tcW w:w="714" w:type="pct"/>
            <w:noWrap w:val="0"/>
            <w:vAlign w:val="center"/>
          </w:tcPr>
          <w:p>
            <w:pPr>
              <w:widowControl/>
              <w:jc w:val="left"/>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365" w:type="pct"/>
            <w:shd w:val="clear" w:color="auto" w:fill="auto"/>
            <w:noWrap/>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15</w:t>
            </w:r>
          </w:p>
        </w:tc>
        <w:tc>
          <w:tcPr>
            <w:tcW w:w="641" w:type="pct"/>
            <w:shd w:val="clear" w:color="auto" w:fill="auto"/>
            <w:noWrap w:val="0"/>
            <w:vAlign w:val="center"/>
          </w:tcPr>
          <w:p>
            <w:pPr>
              <w:keepLines w:val="0"/>
              <w:pageBreakBefore w:val="0"/>
              <w:kinsoku/>
              <w:wordWrap/>
              <w:overflowPunct/>
              <w:topLinePunct w:val="0"/>
              <w:autoSpaceDE/>
              <w:autoSpaceDN/>
              <w:bidi w:val="0"/>
              <w:adjustRightInd w:val="0"/>
              <w:snapToGrid w:val="0"/>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auto"/>
                <w:sz w:val="24"/>
                <w:szCs w:val="24"/>
                <w:highlight w:val="none"/>
                <w:lang w:val="en-US" w:eastAsia="zh-CN"/>
              </w:rPr>
              <w:t>家庭医生签约</w:t>
            </w:r>
            <w:r>
              <w:rPr>
                <w:rFonts w:hint="eastAsia" w:ascii="仿宋_GB2312" w:hAnsi="仿宋_GB2312" w:eastAsia="仿宋_GB2312" w:cs="仿宋_GB2312"/>
                <w:color w:val="auto"/>
                <w:sz w:val="24"/>
                <w:szCs w:val="24"/>
                <w:highlight w:val="none"/>
              </w:rPr>
              <w:t>消息推送效果分析报告</w:t>
            </w:r>
          </w:p>
        </w:tc>
        <w:tc>
          <w:tcPr>
            <w:tcW w:w="659" w:type="pct"/>
            <w:shd w:val="clear" w:color="000000" w:fill="FFFFFF"/>
            <w:noWrap w:val="0"/>
            <w:vAlign w:val="center"/>
          </w:tcPr>
          <w:p>
            <w:pPr>
              <w:pStyle w:val="6"/>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auto"/>
                <w:sz w:val="24"/>
                <w:szCs w:val="24"/>
                <w:highlight w:val="none"/>
              </w:rPr>
              <w:t>效果分析报告</w:t>
            </w:r>
          </w:p>
        </w:tc>
        <w:tc>
          <w:tcPr>
            <w:tcW w:w="2619" w:type="pct"/>
            <w:noWrap w:val="0"/>
            <w:vAlign w:val="center"/>
          </w:tcPr>
          <w:p>
            <w:pPr>
              <w:pStyle w:val="6"/>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color w:val="auto"/>
                <w:sz w:val="24"/>
                <w:szCs w:val="24"/>
                <w:highlight w:val="none"/>
                <w:lang w:val="en-US" w:eastAsia="zh-CN"/>
              </w:rPr>
              <w:t>支持对家庭医生签约服务的质量和效果进行分析，以调查报告的形式输出，提出改进建议。</w:t>
            </w:r>
          </w:p>
        </w:tc>
        <w:tc>
          <w:tcPr>
            <w:tcW w:w="714" w:type="pct"/>
            <w:noWrap w:val="0"/>
            <w:vAlign w:val="center"/>
          </w:tcPr>
          <w:p>
            <w:pPr>
              <w:widowControl/>
              <w:jc w:val="left"/>
              <w:rPr>
                <w:rFonts w:hint="eastAsia" w:ascii="宋体" w:hAnsi="宋体" w:eastAsia="宋体" w:cs="宋体"/>
                <w:bCs/>
                <w:sz w:val="21"/>
                <w:szCs w:val="21"/>
              </w:rPr>
            </w:pPr>
          </w:p>
        </w:tc>
      </w:tr>
    </w:tbl>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bCs/>
          <w:kern w:val="0"/>
        </w:rPr>
      </w:pPr>
      <w:r>
        <w:rPr>
          <w:rFonts w:hint="eastAsia"/>
          <w:b/>
          <w:bCs/>
          <w:color w:val="auto"/>
          <w:lang w:val="en-US" w:eastAsia="zh-CN"/>
        </w:rPr>
        <w:t>七</w:t>
      </w:r>
      <w:r>
        <w:rPr>
          <w:rFonts w:hint="eastAsia"/>
          <w:b/>
          <w:bCs/>
          <w:color w:val="auto"/>
        </w:rPr>
        <w:t>、报价及付款方式</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rFonts w:hint="eastAsia" w:ascii="仿宋_GB2312" w:hAnsi="仿宋_GB2312" w:eastAsia="仿宋_GB2312" w:cs="仿宋_GB2312"/>
          <w:bCs w:val="0"/>
          <w:color w:val="000000" w:themeColor="text1"/>
          <w:kern w:val="2"/>
          <w14:textFill>
            <w14:solidFill>
              <w14:schemeClr w14:val="tx1"/>
            </w14:solidFill>
          </w14:textFill>
        </w:rPr>
      </w:pPr>
      <w:r>
        <w:rPr>
          <w:rFonts w:hint="eastAsia" w:ascii="仿宋_GB2312" w:hAnsi="仿宋_GB2312" w:eastAsia="仿宋_GB2312" w:cs="仿宋_GB2312"/>
          <w:bCs w:val="0"/>
          <w:color w:val="000000" w:themeColor="text1"/>
          <w:kern w:val="2"/>
          <w14:textFill>
            <w14:solidFill>
              <w14:schemeClr w14:val="tx1"/>
            </w14:solidFill>
          </w14:textFill>
        </w:rPr>
        <w:t>（一）人民币报价：本项目为固定总价</w:t>
      </w:r>
      <w:r>
        <w:rPr>
          <w:rFonts w:hint="eastAsia" w:ascii="仿宋_GB2312" w:hAnsi="仿宋_GB2312" w:eastAsia="仿宋_GB2312" w:cs="仿宋_GB2312"/>
          <w:bCs w:val="0"/>
          <w:color w:val="000000" w:themeColor="text1"/>
          <w:kern w:val="2"/>
          <w:lang w:val="en-US" w:eastAsia="zh-CN"/>
          <w14:textFill>
            <w14:solidFill>
              <w14:schemeClr w14:val="tx1"/>
            </w14:solidFill>
          </w14:textFill>
        </w:rPr>
        <w:t>报价</w:t>
      </w:r>
      <w:r>
        <w:rPr>
          <w:rFonts w:hint="eastAsia" w:ascii="仿宋_GB2312" w:hAnsi="仿宋_GB2312" w:eastAsia="仿宋_GB2312" w:cs="仿宋_GB2312"/>
          <w:bCs w:val="0"/>
          <w:color w:val="000000" w:themeColor="text1"/>
          <w:kern w:val="2"/>
          <w14:textFill>
            <w14:solidFill>
              <w14:schemeClr w14:val="tx1"/>
            </w14:solidFill>
          </w14:textFill>
        </w:rPr>
        <w:t>，</w:t>
      </w:r>
      <w:r>
        <w:rPr>
          <w:rFonts w:hint="eastAsia" w:ascii="仿宋_GB2312" w:hAnsi="仿宋_GB2312" w:eastAsia="仿宋_GB2312" w:cs="仿宋_GB2312"/>
          <w:bCs w:val="0"/>
        </w:rPr>
        <w:t>投标总价（人民币）须是完成该项目的一切费用总和，包括设备费、运输费、装卸费、保险费、技术培训费、设备安装费、调试费、售后服务费、国家规定的各项税费等全部费用。</w:t>
      </w:r>
      <w:r>
        <w:rPr>
          <w:rFonts w:hint="eastAsia" w:ascii="仿宋_GB2312" w:hAnsi="仿宋_GB2312" w:eastAsia="仿宋_GB2312" w:cs="仿宋_GB2312"/>
          <w:bCs w:val="0"/>
          <w:color w:val="000000" w:themeColor="text1"/>
          <w:kern w:val="2"/>
          <w14:textFill>
            <w14:solidFill>
              <w14:schemeClr w14:val="tx1"/>
            </w14:solidFill>
          </w14:textFill>
        </w:rPr>
        <w:t>本项目最高投标限价为</w:t>
      </w:r>
      <w:r>
        <w:rPr>
          <w:rFonts w:hint="eastAsia" w:ascii="仿宋_GB2312" w:hAnsi="仿宋_GB2312" w:eastAsia="仿宋_GB2312" w:cs="仿宋_GB2312"/>
          <w:bCs w:val="0"/>
          <w:color w:val="000000" w:themeColor="text1"/>
          <w:kern w:val="2"/>
          <w:lang w:val="en-US" w:eastAsia="zh-CN"/>
          <w14:textFill>
            <w14:solidFill>
              <w14:schemeClr w14:val="tx1"/>
            </w14:solidFill>
          </w14:textFill>
        </w:rPr>
        <w:t>10.5万</w:t>
      </w:r>
      <w:r>
        <w:rPr>
          <w:rFonts w:hint="eastAsia" w:ascii="仿宋_GB2312" w:hAnsi="仿宋_GB2312" w:eastAsia="仿宋_GB2312" w:cs="仿宋_GB2312"/>
          <w:bCs w:val="0"/>
          <w:color w:val="000000" w:themeColor="text1"/>
          <w:kern w:val="2"/>
          <w14:textFill>
            <w14:solidFill>
              <w14:schemeClr w14:val="tx1"/>
            </w14:solidFill>
          </w14:textFill>
        </w:rPr>
        <w:t>元，投标总价超出预算控制价格作无效投标处理。</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rFonts w:hint="eastAsia" w:ascii="仿宋_GB2312" w:hAnsi="仿宋_GB2312" w:eastAsia="仿宋_GB2312" w:cs="仿宋_GB2312"/>
          <w:bCs w:val="0"/>
        </w:rPr>
      </w:pPr>
      <w:r>
        <w:rPr>
          <w:rFonts w:hint="eastAsia" w:ascii="仿宋_GB2312" w:hAnsi="仿宋_GB2312" w:eastAsia="仿宋_GB2312" w:cs="仿宋_GB2312"/>
          <w:bCs w:val="0"/>
          <w:color w:val="000000" w:themeColor="text1"/>
          <w:kern w:val="2"/>
          <w14:textFill>
            <w14:solidFill>
              <w14:schemeClr w14:val="tx1"/>
            </w14:solidFill>
          </w14:textFill>
        </w:rPr>
        <w:t>（二）付款方式：</w:t>
      </w:r>
    </w:p>
    <w:p>
      <w:pPr>
        <w:pStyle w:val="20"/>
        <w:keepNext w:val="0"/>
        <w:keepLines w:val="0"/>
        <w:pageBreakBefore w:val="0"/>
        <w:kinsoku/>
        <w:wordWrap/>
        <w:overflowPunct/>
        <w:topLinePunct w:val="0"/>
        <w:autoSpaceDE/>
        <w:autoSpaceDN/>
        <w:bidi w:val="0"/>
        <w:adjustRightInd/>
        <w:snapToGrid/>
        <w:spacing w:line="400" w:lineRule="exact"/>
        <w:ind w:firstLine="560"/>
        <w:textAlignment w:val="auto"/>
        <w:rPr>
          <w:rFonts w:hint="eastAsia" w:ascii="仿宋_GB2312" w:hAnsi="仿宋_GB2312" w:eastAsia="仿宋_GB2312" w:cs="仿宋_GB2312"/>
          <w:bCs w:val="0"/>
        </w:rPr>
      </w:pPr>
      <w:r>
        <w:rPr>
          <w:rFonts w:hint="eastAsia" w:ascii="仿宋_GB2312" w:hAnsi="仿宋_GB2312" w:eastAsia="仿宋_GB2312" w:cs="仿宋_GB2312"/>
          <w:bCs w:val="0"/>
        </w:rPr>
        <w:t>1.首款：本合同签署后且甲方收到乙方开具的等额发票后，10个工作日内甲方向乙方支付合同总价70%的款项。</w:t>
      </w:r>
    </w:p>
    <w:p>
      <w:pPr>
        <w:pStyle w:val="20"/>
        <w:keepNext w:val="0"/>
        <w:keepLines w:val="0"/>
        <w:pageBreakBefore w:val="0"/>
        <w:kinsoku/>
        <w:wordWrap/>
        <w:overflowPunct/>
        <w:topLinePunct w:val="0"/>
        <w:autoSpaceDE/>
        <w:autoSpaceDN/>
        <w:bidi w:val="0"/>
        <w:adjustRightInd/>
        <w:snapToGrid/>
        <w:spacing w:line="400" w:lineRule="exact"/>
        <w:ind w:firstLine="560"/>
        <w:textAlignment w:val="auto"/>
        <w:rPr>
          <w:rFonts w:hint="eastAsia" w:ascii="仿宋_GB2312" w:hAnsi="仿宋_GB2312" w:eastAsia="仿宋_GB2312" w:cs="仿宋_GB2312"/>
          <w:bCs w:val="0"/>
        </w:rPr>
      </w:pPr>
      <w:r>
        <w:rPr>
          <w:rFonts w:hint="eastAsia" w:ascii="仿宋_GB2312" w:hAnsi="仿宋_GB2312" w:eastAsia="仿宋_GB2312" w:cs="仿宋_GB2312"/>
          <w:bCs w:val="0"/>
        </w:rPr>
        <w:t>2.尾款：通过甲方验收且甲方收到乙方开具的等额发票后，10个工作日内甲方向乙方支付合同总价30%的款项。</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rFonts w:hint="eastAsia" w:ascii="仿宋_GB2312" w:hAnsi="仿宋_GB2312" w:eastAsia="仿宋_GB2312" w:cs="仿宋_GB2312"/>
          <w:bCs w:val="0"/>
          <w:color w:val="000000" w:themeColor="text1"/>
          <w:kern w:val="2"/>
          <w14:textFill>
            <w14:solidFill>
              <w14:schemeClr w14:val="tx1"/>
            </w14:solidFill>
          </w14:textFill>
        </w:rPr>
      </w:pPr>
      <w:r>
        <w:rPr>
          <w:rFonts w:hint="eastAsia"/>
          <w:b/>
          <w:bCs/>
          <w:color w:val="auto"/>
          <w:lang w:val="en-US" w:eastAsia="zh-CN"/>
        </w:rPr>
        <w:t>八</w:t>
      </w:r>
      <w:r>
        <w:rPr>
          <w:rFonts w:hint="eastAsia"/>
          <w:b/>
          <w:bCs/>
          <w:color w:val="auto"/>
        </w:rPr>
        <w:t>、服务期限：</w:t>
      </w:r>
      <w:r>
        <w:rPr>
          <w:rFonts w:hint="eastAsia" w:ascii="仿宋_GB2312" w:hAnsi="仿宋_GB2312" w:eastAsia="仿宋_GB2312" w:cs="仿宋_GB2312"/>
          <w:bCs w:val="0"/>
          <w:color w:val="000000" w:themeColor="text1"/>
          <w:kern w:val="2"/>
          <w14:textFill>
            <w14:solidFill>
              <w14:schemeClr w14:val="tx1"/>
            </w14:solidFill>
          </w14:textFill>
        </w:rPr>
        <w:t>服务期为自签订合同之日起1年内。</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项目为长期服务项目，合同期满可以续签，但合同履行期限最长不得超过三十六个月。如采购人对履约情况不满意，采购人不再续约。</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pPr>
      <w:r>
        <w:rPr>
          <w:rFonts w:hint="eastAsia" w:ascii="方正仿宋_GB2312" w:hAnsi="方正仿宋_GB2312" w:eastAsia="方正仿宋_GB2312" w:cs="方正仿宋_GB2312"/>
          <w:b/>
          <w:bCs/>
          <w:color w:val="auto"/>
          <w:lang w:val="en-US" w:eastAsia="zh-CN"/>
        </w:rPr>
        <w:t>九</w:t>
      </w:r>
      <w:r>
        <w:rPr>
          <w:rFonts w:hint="eastAsia"/>
          <w:b/>
          <w:bCs/>
          <w:color w:val="auto"/>
        </w:rPr>
        <w:t>、验收方案</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项目完成后，中标人整理形成项目验收报告，盖章后交由使用部门签字确认，作为验收依据。</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rFonts w:hint="eastAsia" w:ascii="方正仿宋_GB2312" w:hAnsi="方正仿宋_GB2312" w:eastAsia="方正仿宋_GB2312" w:cs="方正仿宋_GB2312"/>
          <w:b/>
          <w:bCs/>
          <w:color w:val="auto"/>
          <w:lang w:val="en-US" w:eastAsia="zh-CN"/>
        </w:rPr>
      </w:pPr>
      <w:r>
        <w:rPr>
          <w:rFonts w:hint="eastAsia"/>
          <w:b/>
          <w:bCs/>
          <w:color w:val="auto"/>
        </w:rPr>
        <w:t>十</w:t>
      </w:r>
      <w:r>
        <w:rPr>
          <w:rFonts w:hint="eastAsia" w:ascii="方正仿宋_GB2312" w:hAnsi="方正仿宋_GB2312" w:eastAsia="方正仿宋_GB2312" w:cs="方正仿宋_GB2312"/>
          <w:b/>
          <w:bCs/>
          <w:color w:val="auto"/>
          <w:lang w:val="en-US" w:eastAsia="zh-CN"/>
        </w:rPr>
        <w:t>、保密</w:t>
      </w:r>
    </w:p>
    <w:p>
      <w:pPr>
        <w:pStyle w:val="20"/>
        <w:spacing w:line="420" w:lineRule="exact"/>
        <w:ind w:firstLine="560"/>
        <w:rPr>
          <w:rFonts w:hint="eastAsia" w:ascii="仿宋_GB2312" w:hAnsi="仿宋_GB2312" w:eastAsia="仿宋_GB2312" w:cs="仿宋_GB2312"/>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一</w:t>
      </w:r>
      <w:r>
        <w:rPr>
          <w:rFonts w:hint="eastAsia" w:ascii="仿宋_GB2312" w:hAnsi="仿宋_GB2312" w:eastAsia="仿宋_GB2312" w:cs="仿宋_GB2312"/>
          <w:color w:val="auto"/>
          <w:lang w:eastAsia="zh-CN"/>
        </w:rPr>
        <w:t>）</w:t>
      </w:r>
      <w:r>
        <w:rPr>
          <w:rFonts w:hint="eastAsia" w:ascii="仿宋_GB2312" w:hAnsi="仿宋_GB2312" w:eastAsia="仿宋_GB2312" w:cs="仿宋_GB2312"/>
        </w:rPr>
        <w:t>实施过程中的数据、源代码、技术文档等资料保密，否则，由于中标供应商过错导致上述资料泄密的，中标供应商必须承担一切责任。项目完成后，采购人、供应商双方均有责任对本项目的技术保密承担责任。</w:t>
      </w:r>
    </w:p>
    <w:p>
      <w:pPr>
        <w:pStyle w:val="20"/>
        <w:spacing w:line="420" w:lineRule="exact"/>
        <w:ind w:firstLine="561"/>
        <w:rPr>
          <w:rFonts w:hint="eastAsia" w:ascii="仿宋_GB2312" w:hAnsi="仿宋_GB2312" w:eastAsia="仿宋_GB2312" w:cs="仿宋_GB2312"/>
        </w:rPr>
      </w:pPr>
      <w:r>
        <w:rPr>
          <w:rFonts w:hint="eastAsia" w:ascii="仿宋_GB2312" w:hAnsi="仿宋_GB2312" w:eastAsia="仿宋_GB2312" w:cs="仿宋_GB2312"/>
        </w:rPr>
        <w:t>（二）未经采购方事先书面同意，中标供应商不得将由采购人为本合同提供的条文、规格、计划、图纸、模型、样品或资料提供给与本合同无关的任何第三方，不得将其用于履行本合同之外的其他用途。即使向与履行本合同有关的人员提供，也应注意保密并限于履行合同所必需的范围。</w:t>
      </w:r>
    </w:p>
    <w:p>
      <w:pPr>
        <w:pStyle w:val="20"/>
        <w:keepNext w:val="0"/>
        <w:keepLines w:val="0"/>
        <w:pageBreakBefore w:val="0"/>
        <w:kinsoku/>
        <w:wordWrap/>
        <w:overflowPunct/>
        <w:topLinePunct w:val="0"/>
        <w:autoSpaceDE/>
        <w:autoSpaceDN/>
        <w:bidi w:val="0"/>
        <w:adjustRightInd/>
        <w:snapToGrid/>
        <w:spacing w:line="420" w:lineRule="exact"/>
        <w:ind w:firstLine="561"/>
        <w:textAlignment w:val="auto"/>
        <w:rPr>
          <w:rFonts w:hint="eastAsia" w:ascii="仿宋_GB2312" w:hAnsi="仿宋_GB2312" w:eastAsia="仿宋_GB2312" w:cs="仿宋_GB2312"/>
          <w:color w:val="auto"/>
        </w:rPr>
      </w:pPr>
      <w:r>
        <w:rPr>
          <w:rFonts w:hint="eastAsia" w:ascii="仿宋_GB2312" w:hAnsi="仿宋_GB2312" w:eastAsia="仿宋_GB2312" w:cs="仿宋_GB2312"/>
        </w:rPr>
        <w:t>（三）除了合同本身之外，上款所列举的任何物件均是采购方的财产。如果采购方有要求，中标供应商在完成合同后应将这些物件及全部复制件还给采购人。</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b/>
          <w:bCs/>
          <w:color w:val="auto"/>
        </w:rPr>
      </w:pPr>
      <w:r>
        <w:rPr>
          <w:rFonts w:hint="eastAsia"/>
          <w:b/>
          <w:bCs/>
          <w:color w:val="auto"/>
        </w:rPr>
        <w:t>十</w:t>
      </w:r>
      <w:r>
        <w:rPr>
          <w:rFonts w:hint="eastAsia"/>
          <w:b/>
          <w:bCs/>
          <w:color w:val="auto"/>
          <w:lang w:val="en-US" w:eastAsia="zh-CN"/>
        </w:rPr>
        <w:t>一</w:t>
      </w:r>
      <w:r>
        <w:rPr>
          <w:rFonts w:hint="eastAsia"/>
          <w:b/>
          <w:bCs/>
          <w:color w:val="auto"/>
        </w:rPr>
        <w:t>、违约要求</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rFonts w:hint="eastAsia" w:ascii="仿宋_GB2312" w:hAnsi="仿宋_GB2312" w:eastAsia="仿宋_GB2312" w:cs="仿宋_GB2312"/>
        </w:rPr>
      </w:pPr>
      <w:r>
        <w:rPr>
          <w:rFonts w:hint="eastAsia" w:ascii="仿宋_GB2312" w:hAnsi="仿宋_GB2312" w:eastAsia="仿宋_GB2312" w:cs="仿宋_GB2312"/>
        </w:rPr>
        <w:t>（一）双方均应忠实履行招标文件及合同约定的各项内容，任何一方违反约定，均应承担违约责任。双方约定如一方违反合同约定，则违约方应向守约方支付违约金，违约金的金额为服务费用金额的（5）%，因一方违约给另一方造成经济损失的，违约方除应支付违约金外，还应另行根据守约方遭受损失的实际情况进行赔偿，赔偿范围包括直接损失、间接损失、守约方因维权而产生的律师费、鉴定费、差旅费、诉讼费、保全费、保全担保费等合理支出。</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rFonts w:hint="eastAsia" w:ascii="仿宋_GB2312" w:hAnsi="仿宋_GB2312" w:eastAsia="仿宋_GB2312" w:cs="仿宋_GB2312"/>
        </w:rPr>
      </w:pPr>
      <w:r>
        <w:rPr>
          <w:rFonts w:hint="eastAsia" w:ascii="仿宋_GB2312" w:hAnsi="仿宋_GB2312" w:eastAsia="仿宋_GB2312" w:cs="仿宋_GB2312"/>
        </w:rPr>
        <w:t>（二）供应商未按照双方约定的时间提交服务成果的，每延迟一天，应该按照服务费用金额的（0.05）%向采购人支付违约金。</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rFonts w:hint="eastAsia" w:ascii="仿宋_GB2312" w:hAnsi="仿宋_GB2312" w:eastAsia="仿宋_GB2312" w:cs="仿宋_GB2312"/>
        </w:rPr>
      </w:pPr>
      <w:r>
        <w:rPr>
          <w:rFonts w:hint="eastAsia" w:ascii="仿宋_GB2312" w:hAnsi="仿宋_GB2312" w:eastAsia="仿宋_GB2312" w:cs="仿宋_GB2312"/>
        </w:rPr>
        <w:t>（三）发生以下情形之一，采购人有权单方解除本合同，供应商应向采购人退回已支付的全部款项，且采购人有权要求乙方按照服务费总金额的（5）%支付违约金：</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rFonts w:hint="eastAsia" w:ascii="仿宋_GB2312" w:hAnsi="仿宋_GB2312" w:eastAsia="仿宋_GB2312" w:cs="仿宋_GB2312"/>
        </w:rPr>
      </w:pPr>
      <w:r>
        <w:rPr>
          <w:rFonts w:hint="eastAsia" w:ascii="仿宋_GB2312" w:hAnsi="仿宋_GB2312" w:eastAsia="仿宋_GB2312" w:cs="仿宋_GB2312"/>
        </w:rPr>
        <w:t>1.供应商延迟提交服务成果超过30天；</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rFonts w:hint="eastAsia" w:ascii="仿宋_GB2312" w:hAnsi="仿宋_GB2312" w:eastAsia="仿宋_GB2312" w:cs="仿宋_GB2312"/>
        </w:rPr>
      </w:pPr>
      <w:r>
        <w:rPr>
          <w:rFonts w:hint="eastAsia" w:ascii="仿宋_GB2312" w:hAnsi="仿宋_GB2312" w:eastAsia="仿宋_GB2312" w:cs="仿宋_GB2312"/>
        </w:rPr>
        <w:t>2.未经采购人书面同意，供应商将部分或全部工作委托给第三方承担的；</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rFonts w:hint="eastAsia" w:ascii="仿宋_GB2312" w:hAnsi="仿宋_GB2312" w:eastAsia="仿宋_GB2312" w:cs="仿宋_GB2312"/>
        </w:rPr>
      </w:pPr>
      <w:r>
        <w:rPr>
          <w:rFonts w:hint="eastAsia" w:ascii="仿宋_GB2312" w:hAnsi="仿宋_GB2312" w:eastAsia="仿宋_GB2312" w:cs="仿宋_GB2312"/>
        </w:rPr>
        <w:t>（四）如供应商原因导致提供的服务成果存在侵犯第三方知识产权或其他合法权益的情形，供应商除了承担全部赔偿责任之外，还应按照服务费用金额（5）%向采购人支付违约金。</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rFonts w:hint="eastAsia" w:ascii="仿宋_GB2312" w:hAnsi="仿宋_GB2312" w:eastAsia="仿宋_GB2312" w:cs="仿宋_GB2312"/>
        </w:rPr>
      </w:pPr>
      <w:r>
        <w:rPr>
          <w:rFonts w:hint="eastAsia" w:ascii="仿宋_GB2312" w:hAnsi="仿宋_GB2312" w:eastAsia="仿宋_GB2312" w:cs="仿宋_GB2312"/>
        </w:rPr>
        <w:t>（五）采购人有权自应支付给乙方的服务费用中直接扣除各种索赔款项，包括但不限于赔偿款、违约金、律师费、诉讼费、鉴定费等。</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六</w:t>
      </w:r>
      <w:r>
        <w:rPr>
          <w:rFonts w:hint="eastAsia" w:ascii="仿宋_GB2312" w:hAnsi="仿宋_GB2312" w:eastAsia="仿宋_GB2312" w:cs="仿宋_GB2312"/>
        </w:rPr>
        <w:t>）乙方需提供合法合规发票，如提供的发票被税务部门稽查认定为不合规发票，所有责任由乙方承担，乙方应当重新提供合法合规的发票，并按合同票面值支付20%的违约金。</w:t>
      </w:r>
    </w:p>
    <w:p>
      <w:pPr>
        <w:pStyle w:val="20"/>
        <w:keepNext w:val="0"/>
        <w:keepLines w:val="0"/>
        <w:pageBreakBefore w:val="0"/>
        <w:kinsoku/>
        <w:wordWrap/>
        <w:overflowPunct/>
        <w:topLinePunct w:val="0"/>
        <w:autoSpaceDE/>
        <w:autoSpaceDN/>
        <w:bidi w:val="0"/>
        <w:adjustRightInd/>
        <w:snapToGrid/>
        <w:spacing w:line="400" w:lineRule="exact"/>
        <w:ind w:firstLine="561"/>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七</w:t>
      </w:r>
      <w:r>
        <w:rPr>
          <w:rFonts w:hint="eastAsia" w:ascii="仿宋_GB2312" w:hAnsi="仿宋_GB2312" w:eastAsia="仿宋_GB2312" w:cs="仿宋_GB2312"/>
        </w:rPr>
        <w:t>）双方支付金额上限以合同约定为准，超过合同约定金额的，乙方应及时终止供货（提供服务），未经甲方书面同意超过合同金额继续供货或甲方要求乙方回收但乙方未收回的，由此产生的</w:t>
      </w:r>
      <w:r>
        <w:rPr>
          <w:rFonts w:hint="eastAsia" w:ascii="仿宋_GB2312" w:hAnsi="仿宋_GB2312" w:eastAsia="仿宋_GB2312" w:cs="仿宋_GB2312"/>
          <w:lang w:val="en-US" w:eastAsia="zh-CN"/>
        </w:rPr>
        <w:t>费用</w:t>
      </w:r>
      <w:r>
        <w:rPr>
          <w:rFonts w:hint="eastAsia" w:ascii="仿宋_GB2312" w:hAnsi="仿宋_GB2312" w:eastAsia="仿宋_GB2312" w:cs="仿宋_GB2312"/>
        </w:rPr>
        <w:t>均由乙方自行承担，并且乙方应当向甲方支付超过部分</w:t>
      </w:r>
      <w:r>
        <w:rPr>
          <w:rFonts w:hint="eastAsia" w:ascii="仿宋_GB2312" w:hAnsi="仿宋_GB2312" w:eastAsia="仿宋_GB2312" w:cs="仿宋_GB2312"/>
          <w:lang w:val="en-US" w:eastAsia="zh-CN"/>
        </w:rPr>
        <w:t>费用</w:t>
      </w:r>
      <w:r>
        <w:rPr>
          <w:rFonts w:hint="eastAsia" w:ascii="仿宋_GB2312" w:hAnsi="仿宋_GB2312" w:eastAsia="仿宋_GB2312" w:cs="仿宋_GB2312"/>
        </w:rPr>
        <w:t>20%的违约金</w:t>
      </w:r>
      <w:r>
        <w:rPr>
          <w:rFonts w:hint="eastAsia" w:ascii="仿宋_GB2312" w:hAnsi="仿宋_GB2312" w:eastAsia="仿宋_GB2312" w:cs="仿宋_GB2312"/>
          <w:lang w:eastAsia="zh-CN"/>
        </w:rPr>
        <w:t>，</w:t>
      </w:r>
      <w:r>
        <w:rPr>
          <w:rFonts w:hint="eastAsia" w:ascii="仿宋_GB2312" w:hAnsi="仿宋_GB2312" w:eastAsia="仿宋_GB2312" w:cs="仿宋_GB2312"/>
        </w:rPr>
        <w:t>双方另有约定除外。</w:t>
      </w:r>
    </w:p>
    <w:p>
      <w:pPr>
        <w:keepNext w:val="0"/>
        <w:keepLines w:val="0"/>
        <w:pageBreakBefore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sz w:val="28"/>
          <w:szCs w:val="28"/>
        </w:rPr>
        <w:t>十</w:t>
      </w:r>
      <w:r>
        <w:rPr>
          <w:rFonts w:hint="eastAsia" w:ascii="方正仿宋_GB2312" w:hAnsi="方正仿宋_GB2312" w:eastAsia="方正仿宋_GB2312" w:cs="方正仿宋_GB2312"/>
          <w:b/>
          <w:bCs/>
          <w:sz w:val="28"/>
          <w:szCs w:val="28"/>
          <w:lang w:val="en-US" w:eastAsia="zh-CN"/>
        </w:rPr>
        <w:t>二</w:t>
      </w:r>
      <w:r>
        <w:rPr>
          <w:rFonts w:hint="eastAsia" w:ascii="方正仿宋_GB2312" w:hAnsi="方正仿宋_GB2312" w:eastAsia="方正仿宋_GB2312" w:cs="方正仿宋_GB2312"/>
          <w:b/>
          <w:bCs/>
          <w:sz w:val="28"/>
          <w:szCs w:val="28"/>
        </w:rPr>
        <w:t>、项目地点：</w:t>
      </w:r>
      <w:r>
        <w:rPr>
          <w:rFonts w:hint="eastAsia" w:ascii="仿宋_GB2312" w:hAnsi="仿宋_GB2312" w:eastAsia="仿宋_GB2312" w:cs="仿宋_GB2312"/>
          <w:color w:val="000000" w:themeColor="text1"/>
          <w:sz w:val="28"/>
          <w:szCs w:val="28"/>
          <w14:textFill>
            <w14:solidFill>
              <w14:schemeClr w14:val="tx1"/>
            </w14:solidFill>
          </w14:textFill>
        </w:rPr>
        <w:t>深圳市龙岗区第七人民医院指定地点。</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ascii="仿宋" w:hAnsi="仿宋" w:eastAsia="仿宋"/>
          <w:kern w:val="0"/>
          <w:sz w:val="28"/>
          <w:szCs w:val="28"/>
        </w:rPr>
      </w:pPr>
      <w:r>
        <w:rPr>
          <w:rFonts w:hint="eastAsia" w:ascii="方正仿宋_GB2312" w:hAnsi="方正仿宋_GB2312" w:eastAsia="方正仿宋_GB2312" w:cs="方正仿宋_GB2312"/>
          <w:b/>
          <w:bCs/>
          <w:sz w:val="28"/>
          <w:szCs w:val="28"/>
        </w:rPr>
        <w:t>十</w:t>
      </w:r>
      <w:r>
        <w:rPr>
          <w:rFonts w:hint="eastAsia" w:ascii="方正仿宋_GB2312" w:hAnsi="方正仿宋_GB2312" w:eastAsia="方正仿宋_GB2312" w:cs="方正仿宋_GB2312"/>
          <w:b/>
          <w:bCs/>
          <w:sz w:val="28"/>
          <w:szCs w:val="28"/>
          <w:lang w:val="en-US" w:eastAsia="zh-CN"/>
        </w:rPr>
        <w:t>三</w:t>
      </w:r>
      <w:r>
        <w:rPr>
          <w:rFonts w:hint="eastAsia" w:ascii="方正仿宋_GB2312" w:hAnsi="方正仿宋_GB2312" w:eastAsia="方正仿宋_GB2312" w:cs="方正仿宋_GB2312"/>
          <w:b/>
          <w:bCs/>
          <w:sz w:val="28"/>
          <w:szCs w:val="28"/>
        </w:rPr>
        <w:t>、签订合同</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采购人和中标供应商应当自中标通知书发出之日起十个工作日内，按照招标文件和中标供应商的投标文件订立书面合同。</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十</w:t>
      </w:r>
      <w:r>
        <w:rPr>
          <w:rFonts w:hint="eastAsia" w:ascii="方正仿宋_GB2312" w:hAnsi="方正仿宋_GB2312" w:eastAsia="方正仿宋_GB2312" w:cs="方正仿宋_GB2312"/>
          <w:b/>
          <w:bCs/>
          <w:kern w:val="0"/>
          <w:sz w:val="28"/>
          <w:szCs w:val="28"/>
          <w:lang w:val="en-US" w:eastAsia="zh-CN"/>
        </w:rPr>
        <w:t>四</w:t>
      </w:r>
      <w:r>
        <w:rPr>
          <w:rFonts w:hint="eastAsia" w:ascii="方正仿宋_GB2312" w:hAnsi="方正仿宋_GB2312" w:eastAsia="方正仿宋_GB2312" w:cs="方正仿宋_GB2312"/>
          <w:b/>
          <w:bCs/>
          <w:kern w:val="0"/>
          <w:sz w:val="28"/>
          <w:szCs w:val="28"/>
        </w:rPr>
        <w:t>、评标标准</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根据政府采购的相关规定确定以下评标方法、步骤及标准：</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评标方法</w:t>
      </w:r>
    </w:p>
    <w:p>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rPr>
        <w:t>本次评标采用综合评分法（新价格分算法），即在最大限度地满足招标文件实质性要求前提下，按价格、商务、技术、诚信四部分分别打分的方式进行评分。本项目三项总分为100分，其中技术（服务）得分占</w:t>
      </w:r>
      <w:r>
        <w:rPr>
          <w:rFonts w:hint="eastAsia" w:ascii="仿宋_GB2312" w:hAnsi="仿宋_GB2312" w:eastAsia="仿宋_GB2312" w:cs="仿宋_GB2312"/>
          <w:lang w:val="en-US" w:eastAsia="zh-CN"/>
        </w:rPr>
        <w:t>45</w:t>
      </w:r>
      <w:r>
        <w:rPr>
          <w:rFonts w:hint="eastAsia" w:ascii="仿宋_GB2312" w:hAnsi="仿宋_GB2312" w:eastAsia="仿宋_GB2312" w:cs="仿宋_GB2312"/>
        </w:rPr>
        <w:t>分，商务得分占</w:t>
      </w:r>
      <w:r>
        <w:rPr>
          <w:rFonts w:hint="eastAsia" w:ascii="仿宋_GB2312" w:hAnsi="仿宋_GB2312" w:eastAsia="仿宋_GB2312" w:cs="仿宋_GB2312"/>
          <w:lang w:val="en-US" w:eastAsia="zh-CN"/>
        </w:rPr>
        <w:t>30</w:t>
      </w:r>
      <w:r>
        <w:rPr>
          <w:rFonts w:hint="eastAsia" w:ascii="仿宋_GB2312" w:hAnsi="仿宋_GB2312" w:eastAsia="仿宋_GB2312" w:cs="仿宋_GB2312"/>
        </w:rPr>
        <w:t>分，价格得分占</w:t>
      </w:r>
      <w:r>
        <w:rPr>
          <w:rFonts w:hint="eastAsia" w:ascii="仿宋_GB2312" w:hAnsi="仿宋_GB2312" w:eastAsia="仿宋_GB2312" w:cs="仿宋_GB2312"/>
          <w:lang w:val="en-US" w:eastAsia="zh-CN"/>
        </w:rPr>
        <w:t>2</w:t>
      </w:r>
      <w:r>
        <w:rPr>
          <w:rFonts w:hint="eastAsia" w:ascii="仿宋_GB2312" w:hAnsi="仿宋_GB2312" w:eastAsia="仿宋_GB2312" w:cs="仿宋_GB2312"/>
        </w:rPr>
        <w:t>0分，诚信得分占5分。以综合总得分最高的投标人作为中标候选人。</w:t>
      </w:r>
    </w:p>
    <w:tbl>
      <w:tblPr>
        <w:tblStyle w:val="14"/>
        <w:tblpPr w:leftFromText="180" w:rightFromText="180" w:vertAnchor="text" w:horzAnchor="margin" w:tblpXSpec="center" w:tblpY="76"/>
        <w:tblOverlap w:val="never"/>
        <w:tblW w:w="93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597"/>
        <w:gridCol w:w="2784"/>
        <w:gridCol w:w="700"/>
        <w:gridCol w:w="45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序号</w:t>
            </w:r>
          </w:p>
        </w:tc>
        <w:tc>
          <w:tcPr>
            <w:tcW w:w="4081"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评分项</w:t>
            </w:r>
          </w:p>
        </w:tc>
        <w:tc>
          <w:tcPr>
            <w:tcW w:w="4561"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1</w:t>
            </w:r>
          </w:p>
        </w:tc>
        <w:tc>
          <w:tcPr>
            <w:tcW w:w="4081"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价格</w:t>
            </w:r>
          </w:p>
        </w:tc>
        <w:tc>
          <w:tcPr>
            <w:tcW w:w="4561"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auto"/>
                <w:sz w:val="20"/>
                <w:szCs w:val="20"/>
                <w:lang w:val="en-US" w:eastAsia="zh-CN"/>
              </w:rPr>
            </w:pPr>
            <w:r>
              <w:rPr>
                <w:rFonts w:hint="eastAsia" w:ascii="宋体" w:hAnsi="宋体" w:cs="宋体"/>
                <w:b/>
                <w:bCs/>
                <w:color w:val="auto"/>
                <w:sz w:val="20"/>
                <w:szCs w:val="20"/>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69"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Style w:val="12"/>
              <w:spacing w:beforeAutospacing="0" w:afterAutospacing="0" w:line="324" w:lineRule="auto"/>
              <w:ind w:firstLine="420"/>
              <w:jc w:val="both"/>
              <w:rPr>
                <w:rFonts w:hint="eastAsia" w:ascii="宋体" w:hAnsi="宋体" w:eastAsia="宋体" w:cs="宋体"/>
                <w:color w:val="auto"/>
                <w:kern w:val="2"/>
                <w:sz w:val="20"/>
                <w:szCs w:val="20"/>
              </w:rPr>
            </w:pPr>
          </w:p>
        </w:tc>
        <w:tc>
          <w:tcPr>
            <w:tcW w:w="8642" w:type="dxa"/>
            <w:gridSpan w:val="4"/>
            <w:tcBorders>
              <w:top w:val="single" w:color="000000" w:sz="8" w:space="0"/>
              <w:left w:val="single" w:color="000000" w:sz="8" w:space="0"/>
              <w:bottom w:val="single" w:color="000000" w:sz="8" w:space="0"/>
              <w:right w:val="single" w:color="000000" w:sz="8" w:space="0"/>
            </w:tcBorders>
            <w:vAlign w:val="center"/>
          </w:tcPr>
          <w:p>
            <w:pPr>
              <w:pStyle w:val="8"/>
              <w:rPr>
                <w:rFonts w:hint="eastAsia" w:hAnsi="宋体" w:eastAsia="宋体" w:cs="宋体"/>
                <w:color w:val="auto"/>
                <w:kern w:val="2"/>
                <w:sz w:val="21"/>
                <w:highlight w:val="none"/>
                <w:lang w:eastAsia="zh-CN"/>
              </w:rPr>
            </w:pPr>
            <w:r>
              <w:rPr>
                <w:rFonts w:hint="eastAsia" w:hAnsi="宋体" w:cs="宋体"/>
                <w:color w:val="auto"/>
                <w:kern w:val="2"/>
                <w:sz w:val="21"/>
                <w:highlight w:val="none"/>
              </w:rPr>
              <w:t>1.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r>
              <w:rPr>
                <w:rFonts w:hint="eastAsia" w:hAnsi="宋体" w:cs="宋体"/>
                <w:color w:val="auto"/>
                <w:kern w:val="2"/>
                <w:sz w:val="21"/>
                <w:highlight w:val="none"/>
                <w:lang w:eastAsia="zh-CN"/>
              </w:rPr>
              <w:t>。</w:t>
            </w:r>
          </w:p>
          <w:p>
            <w:pPr>
              <w:pStyle w:val="8"/>
              <w:rPr>
                <w:rFonts w:hint="eastAsia" w:hAnsi="宋体" w:cs="宋体"/>
                <w:color w:val="auto"/>
                <w:kern w:val="2"/>
                <w:sz w:val="21"/>
                <w:highlight w:val="none"/>
              </w:rPr>
            </w:pPr>
            <w:r>
              <w:rPr>
                <w:rFonts w:hint="eastAsia" w:hAnsi="宋体" w:cs="宋体"/>
                <w:color w:val="auto"/>
                <w:kern w:val="2"/>
                <w:sz w:val="21"/>
                <w:highlight w:val="none"/>
              </w:rPr>
              <w:t>备注：</w:t>
            </w:r>
          </w:p>
          <w:p>
            <w:pPr>
              <w:pStyle w:val="8"/>
              <w:rPr>
                <w:rFonts w:hint="eastAsia" w:hAnsi="宋体" w:cs="宋体"/>
                <w:color w:val="auto"/>
                <w:kern w:val="2"/>
                <w:sz w:val="21"/>
                <w:highlight w:val="none"/>
              </w:rPr>
            </w:pPr>
            <w:r>
              <w:rPr>
                <w:rFonts w:hint="eastAsia" w:hAnsi="宋体" w:cs="宋体"/>
                <w:color w:val="auto"/>
                <w:kern w:val="2"/>
                <w:sz w:val="21"/>
                <w:highlight w:val="none"/>
              </w:rPr>
              <w:t>2.投标报价得分四舍五入后，小数点后保留两位有效数。</w:t>
            </w:r>
          </w:p>
          <w:p>
            <w:pPr>
              <w:pStyle w:val="8"/>
              <w:rPr>
                <w:rFonts w:hint="eastAsia" w:ascii="宋体" w:hAnsi="宋体" w:eastAsia="宋体" w:cs="宋体"/>
                <w:color w:val="auto"/>
                <w:szCs w:val="20"/>
              </w:rPr>
            </w:pPr>
            <w:r>
              <w:rPr>
                <w:rFonts w:hint="eastAsia" w:hAnsi="宋体" w:cs="宋体"/>
                <w:color w:val="auto"/>
                <w:kern w:val="2"/>
                <w:sz w:val="21"/>
                <w:highlight w:val="none"/>
              </w:rPr>
              <w:t>因落实政府采购政策进行价格调整的，以调整后的价格计算评标基准价和投标报价。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2</w:t>
            </w:r>
          </w:p>
        </w:tc>
        <w:tc>
          <w:tcPr>
            <w:tcW w:w="4081"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商务部分</w:t>
            </w:r>
          </w:p>
        </w:tc>
        <w:tc>
          <w:tcPr>
            <w:tcW w:w="4561"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auto"/>
                <w:sz w:val="20"/>
                <w:szCs w:val="20"/>
                <w:lang w:val="en-US" w:eastAsia="zh-CN"/>
              </w:rPr>
            </w:pPr>
            <w:r>
              <w:rPr>
                <w:rFonts w:hint="eastAsia" w:ascii="宋体" w:hAnsi="宋体" w:cs="宋体"/>
                <w:b/>
                <w:bCs/>
                <w:color w:val="auto"/>
                <w:sz w:val="20"/>
                <w:szCs w:val="20"/>
                <w:lang w:val="en-US" w:eastAsia="zh-CN"/>
              </w:rPr>
              <w:t>37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37" w:hRule="atLeast"/>
          <w:jc w:val="center"/>
        </w:trPr>
        <w:tc>
          <w:tcPr>
            <w:tcW w:w="680" w:type="dxa"/>
            <w:vMerge w:val="continue"/>
            <w:tcBorders>
              <w:left w:val="single" w:color="000000" w:sz="8" w:space="0"/>
              <w:right w:val="single" w:color="000000" w:sz="8" w:space="0"/>
            </w:tcBorders>
            <w:vAlign w:val="center"/>
          </w:tcPr>
          <w:p>
            <w:pPr>
              <w:jc w:val="center"/>
              <w:rPr>
                <w:rFonts w:hint="eastAsia" w:ascii="宋体" w:hAnsi="宋体" w:eastAsia="宋体" w:cs="宋体"/>
                <w:b/>
                <w:bCs/>
                <w:color w:val="auto"/>
                <w:sz w:val="20"/>
                <w:szCs w:val="20"/>
              </w:rPr>
            </w:pPr>
          </w:p>
        </w:tc>
        <w:tc>
          <w:tcPr>
            <w:tcW w:w="8642" w:type="dxa"/>
            <w:gridSpan w:val="4"/>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vAlign w:val="center"/>
          </w:tcPr>
          <w:p>
            <w:pPr>
              <w:rPr>
                <w:rFonts w:hint="eastAsia" w:ascii="宋体" w:hAnsi="宋体" w:eastAsia="宋体" w:cs="宋体"/>
                <w:b/>
                <w:bCs/>
                <w:color w:val="auto"/>
                <w:sz w:val="20"/>
                <w:szCs w:val="20"/>
              </w:rPr>
            </w:pPr>
          </w:p>
        </w:tc>
        <w:tc>
          <w:tcPr>
            <w:tcW w:w="597"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2784"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评分因素</w:t>
            </w:r>
          </w:p>
        </w:tc>
        <w:tc>
          <w:tcPr>
            <w:tcW w:w="70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分值范围</w:t>
            </w:r>
          </w:p>
        </w:tc>
        <w:tc>
          <w:tcPr>
            <w:tcW w:w="4561"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80" w:type="dxa"/>
            <w:vMerge w:val="continue"/>
            <w:tcBorders>
              <w:left w:val="single" w:color="000000" w:sz="8" w:space="0"/>
              <w:right w:val="single" w:color="000000" w:sz="8" w:space="0"/>
            </w:tcBorders>
            <w:vAlign w:val="center"/>
          </w:tcPr>
          <w:p>
            <w:pPr>
              <w:rPr>
                <w:rFonts w:hint="eastAsia" w:ascii="宋体" w:hAnsi="宋体" w:eastAsia="宋体" w:cs="宋体"/>
                <w:b/>
                <w:bCs/>
                <w:color w:val="auto"/>
                <w:sz w:val="20"/>
                <w:szCs w:val="20"/>
              </w:rPr>
            </w:pPr>
          </w:p>
        </w:tc>
        <w:tc>
          <w:tcPr>
            <w:tcW w:w="597" w:type="dxa"/>
            <w:tcBorders>
              <w:top w:val="single" w:color="000000" w:sz="8" w:space="0"/>
              <w:left w:val="single" w:color="000000" w:sz="8" w:space="0"/>
              <w:bottom w:val="single" w:color="000000" w:sz="8" w:space="0"/>
              <w:right w:val="single" w:color="000000" w:sz="8" w:space="0"/>
            </w:tcBorders>
            <w:vAlign w:val="center"/>
          </w:tcPr>
          <w:p>
            <w:pPr>
              <w:wordWrap w:val="0"/>
              <w:ind w:firstLine="200" w:firstLineChars="100"/>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SA"/>
              </w:rPr>
              <w:t>1</w:t>
            </w:r>
          </w:p>
        </w:tc>
        <w:tc>
          <w:tcPr>
            <w:tcW w:w="278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color w:val="auto"/>
                <w:sz w:val="20"/>
                <w:szCs w:val="20"/>
              </w:rPr>
            </w:pPr>
            <w:r>
              <w:rPr>
                <w:rFonts w:hint="eastAsia" w:ascii="宋体" w:hAnsi="宋体" w:eastAsia="宋体" w:cs="宋体"/>
                <w:sz w:val="21"/>
                <w:szCs w:val="21"/>
              </w:rPr>
              <w:t>同类项目业绩</w:t>
            </w:r>
          </w:p>
        </w:tc>
        <w:tc>
          <w:tcPr>
            <w:tcW w:w="70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8</w:t>
            </w:r>
          </w:p>
        </w:tc>
        <w:tc>
          <w:tcPr>
            <w:tcW w:w="4561" w:type="dxa"/>
            <w:tcBorders>
              <w:top w:val="single" w:color="000000" w:sz="8" w:space="0"/>
              <w:left w:val="single" w:color="000000" w:sz="8" w:space="0"/>
              <w:bottom w:val="single" w:color="000000" w:sz="8" w:space="0"/>
              <w:right w:val="single" w:color="000000" w:sz="8" w:space="0"/>
            </w:tcBorders>
            <w:vAlign w:val="center"/>
          </w:tcPr>
          <w:p>
            <w:pPr>
              <w:numPr>
                <w:ilvl w:val="0"/>
                <w:numId w:val="0"/>
              </w:numPr>
              <w:ind w:left="420" w:hanging="318"/>
              <w:rPr>
                <w:rFonts w:hint="eastAsia" w:ascii="宋体" w:hAnsi="宋体" w:eastAsia="宋体" w:cs="黑体"/>
                <w:b/>
                <w:bCs w:val="0"/>
                <w:sz w:val="21"/>
                <w:szCs w:val="21"/>
              </w:rPr>
            </w:pPr>
            <w:r>
              <w:rPr>
                <w:rFonts w:hint="eastAsia" w:ascii="宋体" w:hAnsi="宋体" w:eastAsia="宋体" w:cs="黑体"/>
                <w:b/>
                <w:bCs w:val="0"/>
                <w:sz w:val="21"/>
                <w:szCs w:val="21"/>
              </w:rPr>
              <w:t>（一）评分内容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月1日至本项目投标截止之日同类项目业绩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以合同签订时间为准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，每提供1个得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分，最高得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p>
            <w:pPr>
              <w:numPr>
                <w:ilvl w:val="0"/>
                <w:numId w:val="0"/>
              </w:numPr>
              <w:ind w:left="420" w:hanging="318"/>
              <w:jc w:val="left"/>
              <w:rPr>
                <w:rFonts w:hint="eastAsia" w:ascii="宋体" w:hAnsi="宋体" w:eastAsia="宋体" w:cs="黑体"/>
                <w:b/>
                <w:sz w:val="21"/>
                <w:szCs w:val="21"/>
              </w:rPr>
            </w:pPr>
            <w:r>
              <w:rPr>
                <w:rFonts w:hint="eastAsia" w:ascii="宋体" w:hAnsi="宋体" w:eastAsia="宋体" w:cs="黑体"/>
                <w:b/>
                <w:bCs w:val="0"/>
                <w:sz w:val="21"/>
                <w:szCs w:val="21"/>
              </w:rPr>
              <w:t>（二）评分依据</w:t>
            </w:r>
          </w:p>
          <w:p>
            <w:pP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要求同时提供合同关键信息</w:t>
            </w:r>
            <w:r>
              <w:rPr>
                <w:rFonts w:hint="eastAsia" w:ascii="宋体" w:hAnsi="宋体" w:eastAsia="宋体" w:cs="宋体"/>
                <w:b w:val="0"/>
                <w:bCs w:val="0"/>
                <w:color w:val="auto"/>
                <w:szCs w:val="21"/>
                <w:highlight w:val="none"/>
              </w:rPr>
              <w:t>（关键信息页包括但不仅限于合同首页、合作内容（标的）页、合同时间页、合同双方盖章页）</w:t>
            </w:r>
            <w:r>
              <w:rPr>
                <w:rFonts w:hint="eastAsia" w:ascii="宋体" w:hAnsi="宋体" w:cs="宋体"/>
                <w:color w:val="auto"/>
                <w:szCs w:val="21"/>
                <w:highlight w:val="none"/>
              </w:rPr>
              <w:t>。</w:t>
            </w:r>
          </w:p>
          <w:p>
            <w:p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通过合同关键信息无法判断是否得分的，也可以提供能证明得分的</w:t>
            </w:r>
            <w:r>
              <w:rPr>
                <w:rFonts w:hint="eastAsia" w:ascii="宋体" w:hAnsi="宋体" w:eastAsia="宋体" w:cs="宋体"/>
                <w:color w:val="auto"/>
                <w:szCs w:val="21"/>
                <w:highlight w:val="none"/>
                <w:lang w:eastAsia="zh-CN"/>
              </w:rPr>
              <w:t>其他证明</w:t>
            </w:r>
            <w:r>
              <w:rPr>
                <w:rFonts w:hint="eastAsia" w:ascii="宋体" w:hAnsi="宋体" w:eastAsia="宋体" w:cs="宋体"/>
                <w:color w:val="auto"/>
                <w:szCs w:val="21"/>
                <w:highlight w:val="none"/>
              </w:rPr>
              <w:t>资料，如项目报告或合同甲方出具的证明文件等；均要求提供扫描件，原件备查）。</w:t>
            </w:r>
            <w:r>
              <w:rPr>
                <w:rFonts w:hint="eastAsia" w:ascii="宋体" w:hAnsi="宋体" w:eastAsia="宋体" w:cs="宋体"/>
                <w:b w:val="0"/>
                <w:bCs w:val="0"/>
                <w:color w:val="auto"/>
                <w:szCs w:val="21"/>
                <w:highlight w:val="none"/>
              </w:rPr>
              <w:t>注：证明材料复印件均须加盖投标人公章。</w:t>
            </w:r>
          </w:p>
          <w:p>
            <w:pPr>
              <w:rPr>
                <w:rFonts w:ascii="宋体" w:hAnsi="宋体" w:eastAsia="宋体" w:cs="宋体"/>
                <w:color w:val="auto"/>
                <w:szCs w:val="20"/>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rPr>
                <w:rFonts w:hint="eastAsia" w:ascii="宋体" w:hAnsi="宋体" w:eastAsia="宋体" w:cs="宋体"/>
                <w:b/>
                <w:bCs/>
                <w:color w:val="auto"/>
                <w:sz w:val="20"/>
                <w:szCs w:val="20"/>
              </w:rPr>
            </w:pPr>
          </w:p>
        </w:tc>
        <w:tc>
          <w:tcPr>
            <w:tcW w:w="597" w:type="dxa"/>
            <w:tcBorders>
              <w:top w:val="single" w:color="000000" w:sz="8" w:space="0"/>
              <w:left w:val="single" w:color="000000" w:sz="8" w:space="0"/>
              <w:bottom w:val="single" w:color="000000" w:sz="8" w:space="0"/>
              <w:right w:val="single" w:color="000000" w:sz="8" w:space="0"/>
            </w:tcBorders>
            <w:vAlign w:val="center"/>
          </w:tcPr>
          <w:p>
            <w:pPr>
              <w:wordWrap w:val="0"/>
              <w:ind w:firstLine="200" w:firstLineChars="100"/>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SA"/>
              </w:rPr>
              <w:t>2</w:t>
            </w:r>
          </w:p>
        </w:tc>
        <w:tc>
          <w:tcPr>
            <w:tcW w:w="278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color w:val="auto"/>
                <w:sz w:val="20"/>
                <w:szCs w:val="20"/>
              </w:rPr>
            </w:pPr>
            <w:r>
              <w:rPr>
                <w:rFonts w:hint="eastAsia" w:ascii="宋体" w:hAnsi="宋体" w:cs="宋体"/>
                <w:szCs w:val="21"/>
              </w:rPr>
              <w:t>履约评价</w:t>
            </w:r>
          </w:p>
        </w:tc>
        <w:tc>
          <w:tcPr>
            <w:tcW w:w="70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kern w:val="2"/>
                <w:sz w:val="20"/>
                <w:szCs w:val="20"/>
                <w:lang w:val="en-US" w:eastAsia="zh-CN" w:bidi="ar-SA"/>
              </w:rPr>
              <w:t>6</w:t>
            </w:r>
          </w:p>
        </w:tc>
        <w:tc>
          <w:tcPr>
            <w:tcW w:w="4561" w:type="dxa"/>
            <w:tcBorders>
              <w:top w:val="single" w:color="000000" w:sz="8" w:space="0"/>
              <w:left w:val="single" w:color="000000" w:sz="8" w:space="0"/>
              <w:bottom w:val="single" w:color="000000" w:sz="8" w:space="0"/>
              <w:right w:val="single" w:color="000000" w:sz="8" w:space="0"/>
            </w:tcBorders>
            <w:vAlign w:val="center"/>
          </w:tcPr>
          <w:p>
            <w:pPr>
              <w:numPr>
                <w:ilvl w:val="0"/>
                <w:numId w:val="0"/>
              </w:numPr>
              <w:ind w:left="420" w:hanging="318"/>
              <w:rPr>
                <w:rFonts w:hint="eastAsia" w:ascii="宋体" w:hAnsi="宋体" w:eastAsia="宋体" w:cs="黑体"/>
                <w:b/>
                <w:bCs w:val="0"/>
                <w:sz w:val="21"/>
                <w:szCs w:val="21"/>
              </w:rPr>
            </w:pPr>
            <w:r>
              <w:rPr>
                <w:rFonts w:hint="eastAsia" w:ascii="宋体" w:hAnsi="宋体" w:eastAsia="宋体" w:cs="黑体"/>
                <w:b/>
                <w:bCs w:val="0"/>
                <w:sz w:val="21"/>
                <w:szCs w:val="21"/>
              </w:rPr>
              <w:t>（一）评分内容</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在上述“同类项目业绩”评审项中参加评审并被认定有效的业绩（且获得评分），能够提供合同甲方出具的履约评价书，且评价为优或90分（含）以上（或评价中的最高等级）的，每份评价书得2分，其他情况得0分，最高得6分</w:t>
            </w:r>
            <w:r>
              <w:rPr>
                <w:rFonts w:hint="eastAsia" w:ascii="宋体" w:hAnsi="宋体" w:cs="宋体"/>
                <w:color w:val="auto"/>
                <w:szCs w:val="21"/>
                <w:highlight w:val="none"/>
                <w:lang w:eastAsia="zh-CN"/>
              </w:rPr>
              <w:t>。</w:t>
            </w:r>
          </w:p>
          <w:p>
            <w:pPr>
              <w:numPr>
                <w:ilvl w:val="0"/>
                <w:numId w:val="0"/>
              </w:numPr>
              <w:ind w:left="0" w:firstLine="0"/>
              <w:jc w:val="left"/>
              <w:rPr>
                <w:rFonts w:ascii="宋体" w:hAnsi="宋体"/>
                <w:b/>
                <w:szCs w:val="21"/>
              </w:rPr>
            </w:pPr>
            <w:r>
              <w:rPr>
                <w:rFonts w:hint="eastAsia" w:ascii="宋体" w:hAnsi="宋体" w:eastAsia="宋体" w:cs="黑体"/>
                <w:b/>
                <w:bCs w:val="0"/>
                <w:sz w:val="21"/>
                <w:szCs w:val="21"/>
              </w:rPr>
              <w:t>（二）评分依据</w:t>
            </w:r>
          </w:p>
          <w:p>
            <w:pPr>
              <w:pStyle w:val="2"/>
              <w:rPr>
                <w:rFonts w:hint="eastAsia" w:ascii="宋体" w:hAnsi="宋体" w:eastAsia="宋体" w:cs="宋体"/>
                <w:color w:val="auto"/>
                <w:sz w:val="20"/>
                <w:szCs w:val="20"/>
              </w:rPr>
            </w:pPr>
            <w:r>
              <w:rPr>
                <w:rFonts w:hint="eastAsia" w:ascii="宋体" w:hAnsi="宋体" w:cs="宋体"/>
                <w:color w:val="auto"/>
                <w:kern w:val="2"/>
                <w:sz w:val="21"/>
                <w:szCs w:val="21"/>
                <w:highlight w:val="none"/>
              </w:rPr>
              <w:t>投标人需提供合同甲方出具的履约评价书（评价书需有合同甲方公章或业务章）复印件并加盖投标人公章。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rPr>
                <w:rFonts w:hint="eastAsia" w:ascii="宋体" w:hAnsi="宋体" w:eastAsia="宋体" w:cs="宋体"/>
                <w:b/>
                <w:bCs/>
                <w:color w:val="auto"/>
                <w:sz w:val="20"/>
                <w:szCs w:val="20"/>
              </w:rPr>
            </w:pP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ind w:firstLine="200" w:firstLineChars="1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SA"/>
              </w:rPr>
              <w:t>3</w:t>
            </w:r>
          </w:p>
        </w:tc>
        <w:tc>
          <w:tcPr>
            <w:tcW w:w="278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eastAsia="宋体" w:cs="宋体"/>
                <w:szCs w:val="21"/>
              </w:rPr>
              <w:t>供应商资格（资质、认证）情况</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6</w:t>
            </w:r>
          </w:p>
        </w:tc>
        <w:tc>
          <w:tcPr>
            <w:tcW w:w="4561" w:type="dxa"/>
            <w:tcBorders>
              <w:top w:val="single" w:color="000000" w:sz="8" w:space="0"/>
              <w:left w:val="single" w:color="000000" w:sz="8" w:space="0"/>
              <w:bottom w:val="single" w:color="000000" w:sz="8" w:space="0"/>
              <w:right w:val="single" w:color="000000" w:sz="8" w:space="0"/>
            </w:tcBorders>
            <w:shd w:val="clear" w:color="auto" w:fill="auto"/>
            <w:vAlign w:val="top"/>
          </w:tcPr>
          <w:p>
            <w:pPr>
              <w:numPr>
                <w:ilvl w:val="0"/>
                <w:numId w:val="0"/>
              </w:numPr>
              <w:ind w:left="420" w:hanging="318"/>
              <w:rPr>
                <w:rFonts w:hint="eastAsia" w:ascii="宋体" w:hAnsi="宋体" w:eastAsia="宋体" w:cs="黑体"/>
                <w:b/>
                <w:bCs w:val="0"/>
                <w:sz w:val="21"/>
                <w:szCs w:val="21"/>
              </w:rPr>
            </w:pPr>
            <w:r>
              <w:rPr>
                <w:rFonts w:hint="eastAsia" w:ascii="宋体" w:hAnsi="宋体" w:eastAsia="宋体" w:cs="黑体"/>
                <w:b/>
                <w:bCs w:val="0"/>
                <w:sz w:val="21"/>
                <w:szCs w:val="21"/>
              </w:rPr>
              <w:t>（一）评分内容</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eastAsia="宋体" w:cs="宋体"/>
                <w:color w:val="auto"/>
                <w:szCs w:val="21"/>
                <w:highlight w:val="none"/>
              </w:rPr>
              <w:t>提供“质量管理体系类认证证书”得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eastAsia="zh-CN"/>
              </w:rPr>
              <w:t>；</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eastAsia="宋体" w:cs="宋体"/>
                <w:color w:val="auto"/>
                <w:szCs w:val="21"/>
                <w:highlight w:val="none"/>
              </w:rPr>
              <w:t>提供“信息安全管理体系类认证证书”得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rPr>
              <w:t>。</w:t>
            </w:r>
          </w:p>
          <w:p>
            <w:pPr>
              <w:numPr>
                <w:ilvl w:val="0"/>
                <w:numId w:val="0"/>
              </w:numPr>
              <w:ind w:left="420" w:hanging="318"/>
              <w:jc w:val="left"/>
              <w:rPr>
                <w:rFonts w:hint="eastAsia" w:ascii="宋体" w:hAnsi="宋体" w:eastAsia="宋体" w:cs="黑体"/>
                <w:b/>
                <w:sz w:val="21"/>
                <w:szCs w:val="21"/>
              </w:rPr>
            </w:pPr>
            <w:r>
              <w:rPr>
                <w:rFonts w:hint="eastAsia" w:ascii="宋体" w:hAnsi="宋体" w:eastAsia="宋体" w:cs="黑体"/>
                <w:b/>
                <w:bCs w:val="0"/>
                <w:sz w:val="21"/>
                <w:szCs w:val="21"/>
              </w:rPr>
              <w:t>（二）评分依据</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需同时提供由合法登记并设立的认证机构颁发的有效期内（认证证书在开标当天仍处于有效状态）的认证证书复印件及通过国家认证认可监督管理委员会官方网站（https://www.cnca.gov.cn/）查询的对应证书界面截图（截图需显示证书编号及证书状态为“有效”，截图证书编号须与证书复印件一致），否则不得分。 </w:t>
            </w:r>
          </w:p>
          <w:p>
            <w:pPr>
              <w:rPr>
                <w:rFonts w:hint="eastAsia" w:ascii="宋体" w:hAnsi="宋体" w:cs="宋体"/>
                <w:b w:val="0"/>
                <w:bCs w:val="0"/>
                <w:color w:val="auto"/>
                <w:kern w:val="2"/>
                <w:szCs w:val="21"/>
                <w:highlight w:val="none"/>
              </w:rPr>
            </w:pPr>
            <w:r>
              <w:rPr>
                <w:rFonts w:hint="eastAsia" w:ascii="宋体" w:hAnsi="宋体" w:cs="宋体"/>
                <w:color w:val="auto"/>
                <w:szCs w:val="21"/>
                <w:highlight w:val="none"/>
              </w:rPr>
              <w:t>备注：</w:t>
            </w:r>
            <w:r>
              <w:rPr>
                <w:rFonts w:hint="eastAsia" w:ascii="宋体" w:hAnsi="宋体" w:cs="宋体"/>
                <w:b w:val="0"/>
                <w:bCs w:val="0"/>
                <w:color w:val="auto"/>
                <w:kern w:val="2"/>
                <w:szCs w:val="21"/>
                <w:highlight w:val="none"/>
              </w:rPr>
              <w:t>证明材料均须加盖投标人公章。</w:t>
            </w:r>
          </w:p>
          <w:p>
            <w:pPr>
              <w:rPr>
                <w:rFonts w:hint="eastAsia" w:ascii="宋体" w:hAnsi="宋体" w:eastAsia="宋体" w:cs="宋体"/>
                <w:color w:val="auto"/>
                <w:sz w:val="20"/>
                <w:szCs w:val="20"/>
                <w:lang w:val="en-US" w:eastAsia="zh-CN"/>
              </w:rPr>
            </w:pPr>
            <w:r>
              <w:rPr>
                <w:rFonts w:hint="eastAsia" w:ascii="宋体" w:hAnsi="宋体" w:eastAsia="宋体" w:cs="宋体"/>
                <w:color w:val="auto"/>
                <w:sz w:val="21"/>
                <w:szCs w:val="21"/>
                <w:highlight w:val="none"/>
                <w:lang w:eastAsia="zh-CN"/>
              </w:rPr>
              <w:t>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rPr>
                <w:rFonts w:hint="eastAsia" w:ascii="宋体" w:hAnsi="宋体" w:eastAsia="宋体" w:cs="宋体"/>
                <w:b/>
                <w:bCs/>
                <w:color w:val="auto"/>
                <w:sz w:val="20"/>
                <w:szCs w:val="20"/>
              </w:rPr>
            </w:pP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ind w:firstLine="200" w:firstLineChars="1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SA"/>
              </w:rPr>
              <w:t>4</w:t>
            </w:r>
          </w:p>
        </w:tc>
        <w:tc>
          <w:tcPr>
            <w:tcW w:w="278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eastAsia="宋体" w:cs="宋体"/>
                <w:szCs w:val="21"/>
              </w:rPr>
              <w:t>投标人自主知识产权产品（创新、设计）情况</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szCs w:val="21"/>
                <w:lang w:val="en-US" w:eastAsia="zh-CN"/>
              </w:rPr>
              <w:t>5</w:t>
            </w:r>
          </w:p>
        </w:tc>
        <w:tc>
          <w:tcPr>
            <w:tcW w:w="4561" w:type="dxa"/>
            <w:tcBorders>
              <w:top w:val="single" w:color="000000" w:sz="8" w:space="0"/>
              <w:left w:val="single" w:color="000000" w:sz="8" w:space="0"/>
              <w:bottom w:val="single" w:color="000000" w:sz="8" w:space="0"/>
              <w:right w:val="single" w:color="000000" w:sz="8" w:space="0"/>
            </w:tcBorders>
            <w:shd w:val="clear" w:color="auto" w:fill="auto"/>
            <w:vAlign w:val="top"/>
          </w:tcPr>
          <w:p>
            <w:pPr>
              <w:numPr>
                <w:ilvl w:val="0"/>
                <w:numId w:val="0"/>
              </w:numPr>
              <w:ind w:left="420" w:hanging="318"/>
              <w:rPr>
                <w:rFonts w:hint="eastAsia" w:ascii="宋体" w:hAnsi="宋体" w:eastAsia="宋体" w:cs="黑体"/>
                <w:b/>
                <w:bCs w:val="0"/>
                <w:sz w:val="21"/>
                <w:szCs w:val="21"/>
              </w:rPr>
            </w:pPr>
            <w:r>
              <w:rPr>
                <w:rFonts w:hint="eastAsia" w:ascii="宋体" w:hAnsi="宋体" w:eastAsia="宋体" w:cs="黑体"/>
                <w:b/>
                <w:bCs w:val="0"/>
                <w:sz w:val="21"/>
                <w:szCs w:val="21"/>
              </w:rPr>
              <w:t>（一）评分内容</w:t>
            </w:r>
          </w:p>
          <w:p>
            <w:pPr>
              <w:rPr>
                <w:rFonts w:hint="eastAsia" w:ascii="宋体" w:hAnsi="宋体" w:eastAsia="宋体"/>
                <w:szCs w:val="21"/>
              </w:rPr>
            </w:pPr>
            <w:r>
              <w:rPr>
                <w:rFonts w:hint="eastAsia" w:ascii="宋体" w:hAnsi="宋体" w:eastAsia="宋体"/>
                <w:szCs w:val="21"/>
              </w:rPr>
              <w:t>投标人每提供以下一类软件著作权登记证书的得</w:t>
            </w:r>
            <w:r>
              <w:rPr>
                <w:rFonts w:hint="eastAsia" w:ascii="宋体" w:hAnsi="宋体"/>
                <w:szCs w:val="21"/>
                <w:lang w:val="en-US" w:eastAsia="zh-CN"/>
              </w:rPr>
              <w:t>2.5</w:t>
            </w:r>
            <w:r>
              <w:rPr>
                <w:rFonts w:hint="eastAsia" w:ascii="宋体" w:hAnsi="宋体" w:eastAsia="宋体"/>
                <w:szCs w:val="21"/>
              </w:rPr>
              <w:t>分，最高得</w:t>
            </w:r>
            <w:r>
              <w:rPr>
                <w:rFonts w:hint="eastAsia" w:ascii="宋体" w:hAnsi="宋体"/>
                <w:szCs w:val="21"/>
                <w:lang w:val="en-US" w:eastAsia="zh-CN"/>
              </w:rPr>
              <w:t>5</w:t>
            </w:r>
            <w:r>
              <w:rPr>
                <w:rFonts w:hint="eastAsia" w:ascii="宋体" w:hAnsi="宋体" w:eastAsia="宋体"/>
                <w:szCs w:val="21"/>
              </w:rPr>
              <w:t>分：</w:t>
            </w:r>
          </w:p>
          <w:p>
            <w:pPr>
              <w:pStyle w:val="6"/>
              <w:numPr>
                <w:ilvl w:val="0"/>
                <w:numId w:val="0"/>
              </w:numPr>
              <w:rPr>
                <w:rFonts w:hint="eastAsia" w:ascii="宋体" w:hAnsi="宋体"/>
                <w:szCs w:val="21"/>
                <w:lang w:val="en-US" w:eastAsia="zh-CN"/>
              </w:rPr>
            </w:pPr>
            <w:r>
              <w:rPr>
                <w:rFonts w:hint="eastAsia" w:ascii="宋体" w:hAnsi="宋体" w:cs="宋体"/>
                <w:szCs w:val="21"/>
              </w:rPr>
              <w:t>1.</w:t>
            </w:r>
            <w:r>
              <w:rPr>
                <w:rFonts w:hint="eastAsia" w:ascii="宋体" w:hAnsi="宋体" w:eastAsia="宋体"/>
                <w:szCs w:val="21"/>
                <w:lang w:val="en-US" w:eastAsia="zh-CN"/>
              </w:rPr>
              <w:t>公卫数据采集</w:t>
            </w:r>
            <w:r>
              <w:rPr>
                <w:rFonts w:hint="eastAsia" w:ascii="宋体" w:hAnsi="宋体"/>
                <w:szCs w:val="21"/>
                <w:lang w:val="en-US" w:eastAsia="zh-CN"/>
              </w:rPr>
              <w:t>类；</w:t>
            </w:r>
          </w:p>
          <w:p>
            <w:pPr>
              <w:rPr>
                <w:rFonts w:hint="default" w:ascii="宋体" w:hAnsi="宋体" w:eastAsia="宋体"/>
                <w:szCs w:val="21"/>
                <w:lang w:val="en-US" w:eastAsia="zh-CN"/>
              </w:rPr>
            </w:pPr>
            <w:r>
              <w:rPr>
                <w:rFonts w:hint="eastAsia" w:ascii="宋体" w:hAnsi="宋体" w:eastAsia="宋体"/>
                <w:szCs w:val="21"/>
                <w:lang w:val="en-US" w:eastAsia="zh-CN"/>
              </w:rPr>
              <w:t>2.基层卫生短信消息服务系统类</w:t>
            </w:r>
            <w:r>
              <w:rPr>
                <w:rFonts w:hint="eastAsia" w:ascii="宋体" w:hAnsi="宋体"/>
                <w:szCs w:val="21"/>
                <w:lang w:val="en-US" w:eastAsia="zh-CN"/>
              </w:rPr>
              <w:t>。</w:t>
            </w:r>
          </w:p>
          <w:p>
            <w:pPr>
              <w:rPr>
                <w:rFonts w:hint="eastAsia" w:ascii="宋体" w:hAnsi="宋体" w:eastAsia="宋体"/>
                <w:szCs w:val="21"/>
              </w:rPr>
            </w:pPr>
            <w:r>
              <w:rPr>
                <w:rFonts w:hint="eastAsia" w:ascii="宋体" w:hAnsi="宋体" w:eastAsia="宋体" w:cs="黑体"/>
                <w:b/>
                <w:bCs w:val="0"/>
                <w:sz w:val="21"/>
                <w:szCs w:val="21"/>
              </w:rPr>
              <w:t>（二）评分依据</w:t>
            </w:r>
          </w:p>
          <w:p>
            <w:pPr>
              <w:rPr>
                <w:rFonts w:hint="eastAsia" w:ascii="宋体" w:hAnsi="宋体" w:eastAsia="宋体"/>
                <w:szCs w:val="21"/>
              </w:rPr>
            </w:pPr>
            <w:r>
              <w:rPr>
                <w:rFonts w:hint="eastAsia" w:ascii="宋体" w:hAnsi="宋体" w:eastAsia="宋体"/>
                <w:szCs w:val="21"/>
              </w:rPr>
              <w:t>提供国家版权局颁发的计算机软件著作权登记证书（著作权人须为投标人）复印件加盖投标人公章。</w:t>
            </w:r>
          </w:p>
          <w:p>
            <w:pPr>
              <w:rPr>
                <w:rFonts w:hint="eastAsia" w:ascii="宋体" w:hAnsi="宋体" w:eastAsia="宋体" w:cs="宋体"/>
                <w:color w:val="auto"/>
                <w:kern w:val="2"/>
                <w:sz w:val="20"/>
                <w:szCs w:val="20"/>
                <w:lang w:val="en-US" w:eastAsia="zh-CN" w:bidi="ar-SA"/>
              </w:rPr>
            </w:pPr>
            <w:r>
              <w:rPr>
                <w:rFonts w:hint="eastAsia" w:ascii="宋体" w:hAnsi="宋体"/>
                <w:color w:val="000000"/>
                <w:szCs w:val="21"/>
              </w:rPr>
              <w:t>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rPr>
                <w:rFonts w:hint="eastAsia" w:ascii="宋体" w:hAnsi="宋体" w:eastAsia="宋体" w:cs="宋体"/>
                <w:b/>
                <w:bCs/>
                <w:color w:val="auto"/>
                <w:sz w:val="20"/>
                <w:szCs w:val="20"/>
              </w:rPr>
            </w:pP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ind w:firstLine="200" w:firstLineChars="100"/>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5</w:t>
            </w:r>
          </w:p>
        </w:tc>
        <w:tc>
          <w:tcPr>
            <w:tcW w:w="278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黑体"/>
                <w:kern w:val="2"/>
                <w:sz w:val="21"/>
                <w:szCs w:val="21"/>
                <w:lang w:val="en-US" w:eastAsia="zh-CN" w:bidi="ar-SA"/>
              </w:rPr>
            </w:pPr>
            <w:r>
              <w:rPr>
                <w:rFonts w:hint="eastAsia" w:ascii="宋体" w:hAnsi="宋体" w:cs="宋体"/>
                <w:szCs w:val="21"/>
              </w:rPr>
              <w:t>拟安排的项目负责人情况（仅限1人）</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6</w:t>
            </w:r>
          </w:p>
        </w:tc>
        <w:tc>
          <w:tcPr>
            <w:tcW w:w="4561" w:type="dxa"/>
            <w:tcBorders>
              <w:top w:val="single" w:color="000000" w:sz="8" w:space="0"/>
              <w:left w:val="single" w:color="000000" w:sz="8" w:space="0"/>
              <w:bottom w:val="single" w:color="000000" w:sz="8" w:space="0"/>
              <w:right w:val="single" w:color="000000" w:sz="8" w:space="0"/>
            </w:tcBorders>
            <w:shd w:val="clear" w:color="auto" w:fill="auto"/>
            <w:vAlign w:val="top"/>
          </w:tcPr>
          <w:p>
            <w:pPr>
              <w:numPr>
                <w:ilvl w:val="0"/>
                <w:numId w:val="0"/>
              </w:numPr>
              <w:ind w:left="420" w:hanging="318"/>
              <w:rPr>
                <w:rFonts w:hint="eastAsia" w:ascii="宋体" w:hAnsi="宋体" w:eastAsia="宋体" w:cs="黑体"/>
                <w:b/>
                <w:bCs w:val="0"/>
                <w:sz w:val="21"/>
                <w:szCs w:val="21"/>
              </w:rPr>
            </w:pPr>
            <w:r>
              <w:rPr>
                <w:rFonts w:hint="eastAsia" w:ascii="宋体" w:hAnsi="宋体" w:eastAsia="宋体" w:cs="黑体"/>
                <w:b/>
                <w:bCs w:val="0"/>
                <w:sz w:val="21"/>
                <w:szCs w:val="21"/>
              </w:rPr>
              <w:t>（一）评分内容</w:t>
            </w:r>
          </w:p>
          <w:p>
            <w:pPr>
              <w:tabs>
                <w:tab w:val="right" w:leader="dot" w:pos="8296"/>
              </w:tabs>
              <w:spacing w:line="360" w:lineRule="exact"/>
              <w:ind w:left="0" w:leftChars="0" w:firstLine="0" w:firstLineChars="0"/>
              <w:jc w:val="both"/>
              <w:rPr>
                <w:rFonts w:hint="eastAsia" w:ascii="宋体" w:hAnsi="宋体" w:cs="宋体"/>
                <w:b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拟安排的项目负责人（仅限1人）</w:t>
            </w:r>
            <w:r>
              <w:rPr>
                <w:rFonts w:hint="eastAsia" w:ascii="宋体" w:hAnsi="宋体" w:cs="宋体"/>
                <w:b w:val="0"/>
                <w:color w:val="auto"/>
                <w:sz w:val="21"/>
                <w:szCs w:val="21"/>
                <w:highlight w:val="none"/>
                <w:lang w:val="en-US" w:eastAsia="zh-CN"/>
              </w:rPr>
              <w:t>需为投标人正式聘任员工（要求提供社保证明），否则本项不得分。在此基础上，按以下标准评分：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具有</w:t>
            </w:r>
            <w:r>
              <w:rPr>
                <w:rFonts w:hint="eastAsia" w:ascii="宋体" w:hAnsi="宋体" w:cs="宋体"/>
                <w:b w:val="0"/>
                <w:bCs w:val="0"/>
                <w:color w:val="auto"/>
                <w:sz w:val="21"/>
                <w:szCs w:val="21"/>
                <w:highlight w:val="none"/>
              </w:rPr>
              <w:t>计算机、信息、通信、电子、软件</w:t>
            </w:r>
            <w:r>
              <w:rPr>
                <w:rFonts w:hint="eastAsia" w:ascii="宋体" w:hAnsi="宋体" w:cs="宋体"/>
                <w:color w:val="auto"/>
                <w:sz w:val="21"/>
                <w:szCs w:val="21"/>
                <w:highlight w:val="none"/>
              </w:rPr>
              <w:t>类</w:t>
            </w:r>
            <w:r>
              <w:rPr>
                <w:rFonts w:hint="eastAsia" w:ascii="宋体" w:hAnsi="宋体" w:eastAsia="宋体" w:cs="宋体"/>
                <w:b w:val="0"/>
                <w:bCs w:val="0"/>
                <w:color w:val="auto"/>
                <w:sz w:val="21"/>
                <w:szCs w:val="21"/>
                <w:highlight w:val="none"/>
              </w:rPr>
              <w:t>等相关专业</w:t>
            </w:r>
            <w:r>
              <w:rPr>
                <w:rFonts w:hint="eastAsia" w:ascii="宋体" w:hAnsi="宋体" w:cs="宋体"/>
                <w:b w:val="0"/>
                <w:bCs w:val="0"/>
                <w:color w:val="auto"/>
                <w:sz w:val="21"/>
                <w:szCs w:val="21"/>
                <w:highlight w:val="none"/>
              </w:rPr>
              <w:t>本科及以上</w:t>
            </w:r>
            <w:r>
              <w:rPr>
                <w:rFonts w:hint="eastAsia" w:ascii="宋体" w:hAnsi="宋体" w:cs="宋体"/>
                <w:color w:val="auto"/>
                <w:sz w:val="21"/>
                <w:szCs w:val="21"/>
                <w:highlight w:val="none"/>
              </w:rPr>
              <w:t>学历，其中硕士及以上得4分，本科学历得2分；</w:t>
            </w:r>
          </w:p>
          <w:p>
            <w:pPr>
              <w:widowControl/>
              <w:pBdr>
                <w:top w:val="none" w:color="auto" w:sz="0" w:space="0"/>
                <w:left w:val="none" w:color="auto" w:sz="0" w:space="0"/>
                <w:bottom w:val="none" w:color="auto" w:sz="0" w:space="0"/>
                <w:right w:val="none" w:color="auto" w:sz="0" w:space="0"/>
              </w:pBdr>
              <w:spacing w:line="240" w:lineRule="auto"/>
              <w:ind w:left="0" w:leftChars="0" w:firstLine="0" w:firstLineChars="0"/>
              <w:jc w:val="both"/>
              <w:rPr>
                <w:rFonts w:hint="eastAsia" w:ascii="宋体" w:hAnsi="宋体" w:cs="宋体"/>
                <w:b w:val="0"/>
                <w:color w:val="auto"/>
                <w:sz w:val="21"/>
                <w:szCs w:val="21"/>
                <w:highlight w:val="none"/>
                <w:lang w:val="en-US" w:eastAsia="zh-CN"/>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具有</w:t>
            </w:r>
            <w:r>
              <w:rPr>
                <w:rStyle w:val="16"/>
                <w:rFonts w:hint="eastAsia" w:ascii="宋体" w:hAnsi="宋体" w:cs="宋体"/>
                <w:b w:val="0"/>
                <w:bCs w:val="0"/>
                <w:color w:val="auto"/>
                <w:sz w:val="21"/>
                <w:szCs w:val="21"/>
                <w:highlight w:val="none"/>
              </w:rPr>
              <w:t>人力资源社会保障部门核发的信息、通信、计算机、电子信息类</w:t>
            </w:r>
            <w:r>
              <w:rPr>
                <w:rStyle w:val="16"/>
                <w:rFonts w:hint="eastAsia" w:ascii="宋体" w:hAnsi="宋体" w:cs="宋体"/>
                <w:b w:val="0"/>
                <w:bCs w:val="0"/>
                <w:color w:val="auto"/>
                <w:sz w:val="21"/>
                <w:szCs w:val="21"/>
                <w:highlight w:val="none"/>
                <w:lang w:val="en-US" w:eastAsia="zh-CN"/>
              </w:rPr>
              <w:t>相关的</w:t>
            </w:r>
            <w:r>
              <w:rPr>
                <w:rStyle w:val="16"/>
                <w:rFonts w:hint="eastAsia" w:ascii="宋体" w:hAnsi="宋体" w:cs="宋体"/>
                <w:b w:val="0"/>
                <w:bCs w:val="0"/>
                <w:color w:val="auto"/>
                <w:sz w:val="21"/>
                <w:szCs w:val="21"/>
                <w:highlight w:val="none"/>
              </w:rPr>
              <w:t>高级工程师及以上职称</w:t>
            </w:r>
            <w:r>
              <w:rPr>
                <w:rFonts w:hint="eastAsia" w:ascii="宋体" w:hAnsi="宋体" w:cs="宋体"/>
                <w:color w:val="auto"/>
                <w:sz w:val="21"/>
                <w:szCs w:val="21"/>
                <w:highlight w:val="none"/>
              </w:rPr>
              <w:t>，得2分。</w:t>
            </w:r>
          </w:p>
          <w:p>
            <w:pPr>
              <w:numPr>
                <w:ilvl w:val="0"/>
                <w:numId w:val="0"/>
              </w:numPr>
              <w:ind w:left="420" w:hanging="318"/>
              <w:jc w:val="left"/>
              <w:rPr>
                <w:rFonts w:hint="eastAsia" w:ascii="宋体" w:hAnsi="宋体" w:eastAsia="宋体" w:cs="黑体"/>
                <w:b/>
                <w:sz w:val="21"/>
                <w:szCs w:val="21"/>
              </w:rPr>
            </w:pPr>
            <w:r>
              <w:rPr>
                <w:rFonts w:hint="eastAsia" w:ascii="宋体" w:hAnsi="宋体" w:eastAsia="宋体" w:cs="黑体"/>
                <w:b/>
                <w:bCs w:val="0"/>
                <w:sz w:val="21"/>
                <w:szCs w:val="21"/>
              </w:rPr>
              <w:t>（二）评分依据</w:t>
            </w:r>
          </w:p>
          <w:p>
            <w:pPr>
              <w:rPr>
                <w:rFonts w:ascii="宋体" w:hAnsi="宋体" w:cs="宋体"/>
                <w:kern w:val="0"/>
                <w:szCs w:val="21"/>
              </w:rPr>
            </w:pPr>
            <w:r>
              <w:rPr>
                <w:rFonts w:hint="eastAsia" w:ascii="宋体" w:hAnsi="宋体" w:eastAsia="宋体" w:cs="宋体"/>
                <w:b w:val="0"/>
                <w:color w:val="auto"/>
                <w:sz w:val="21"/>
                <w:szCs w:val="21"/>
                <w:highlight w:val="none"/>
                <w:lang w:val="en-US" w:eastAsia="zh-CN"/>
              </w:rPr>
              <w:t>1.</w:t>
            </w:r>
            <w:r>
              <w:rPr>
                <w:rFonts w:hint="eastAsia" w:ascii="宋体" w:hAnsi="宋体" w:cs="宋体"/>
                <w:szCs w:val="21"/>
              </w:rPr>
              <w:t>提供</w:t>
            </w:r>
            <w:r>
              <w:rPr>
                <w:rFonts w:ascii="宋体" w:hAnsi="宋体" w:cs="宋体"/>
                <w:bCs/>
                <w:color w:val="000000"/>
                <w:szCs w:val="21"/>
              </w:rPr>
              <w:t>项目</w:t>
            </w:r>
            <w:r>
              <w:rPr>
                <w:rFonts w:hint="eastAsia" w:ascii="宋体" w:hAnsi="宋体"/>
                <w:szCs w:val="21"/>
              </w:rPr>
              <w:t>负责人</w:t>
            </w:r>
            <w:r>
              <w:rPr>
                <w:rFonts w:hint="eastAsia" w:ascii="宋体" w:hAnsi="宋体" w:cs="宋体"/>
                <w:szCs w:val="21"/>
              </w:rPr>
              <w:t>通过投标人单位缴纳的</w:t>
            </w:r>
            <w:r>
              <w:rPr>
                <w:rFonts w:ascii="宋体" w:hAnsi="宋体" w:cs="宋体"/>
                <w:bCs/>
                <w:color w:val="000000"/>
                <w:szCs w:val="21"/>
              </w:rPr>
              <w:t>载有</w:t>
            </w:r>
            <w:r>
              <w:rPr>
                <w:rFonts w:hint="eastAsia" w:ascii="宋体" w:hAnsi="宋体" w:cs="宋体"/>
                <w:bCs/>
                <w:color w:val="000000"/>
                <w:szCs w:val="21"/>
              </w:rPr>
              <w:t>政府部门</w:t>
            </w:r>
            <w:r>
              <w:rPr>
                <w:rFonts w:ascii="宋体" w:hAnsi="宋体" w:cs="宋体"/>
                <w:bCs/>
                <w:color w:val="000000"/>
                <w:szCs w:val="21"/>
              </w:rPr>
              <w:t>印章的</w:t>
            </w:r>
            <w:r>
              <w:rPr>
                <w:rFonts w:hint="eastAsia" w:ascii="宋体" w:hAnsi="宋体" w:cs="宋体"/>
                <w:szCs w:val="21"/>
              </w:rPr>
              <w:t>近三个月任意一个月的社保证明</w:t>
            </w:r>
            <w:r>
              <w:rPr>
                <w:rFonts w:ascii="宋体" w:hAnsi="宋体" w:cs="宋体"/>
                <w:bCs/>
                <w:color w:val="000000"/>
                <w:szCs w:val="21"/>
              </w:rPr>
              <w:t>（社保资料必须至少包含养老保险信息）</w:t>
            </w:r>
            <w:r>
              <w:rPr>
                <w:rFonts w:hint="eastAsia" w:ascii="宋体" w:hAnsi="宋体" w:cs="宋体"/>
                <w:szCs w:val="21"/>
              </w:rPr>
              <w:t>作为本单位员工的证明依据。若投标人成立不足三个月的，</w:t>
            </w:r>
            <w:r>
              <w:rPr>
                <w:rFonts w:ascii="宋体" w:hAnsi="宋体" w:cs="宋体"/>
                <w:bCs/>
                <w:color w:val="000000"/>
                <w:szCs w:val="21"/>
              </w:rPr>
              <w:t>可提供加盖公章的情况说明或者证明材料亦视为符合。</w:t>
            </w:r>
            <w:r>
              <w:rPr>
                <w:szCs w:val="21"/>
              </w:rPr>
              <w:t>若为退休返聘人员，需提供</w:t>
            </w:r>
            <w:r>
              <w:rPr>
                <w:rFonts w:ascii="宋体" w:hAnsi="宋体" w:cs="宋体"/>
                <w:bCs/>
                <w:color w:val="000000"/>
                <w:szCs w:val="21"/>
              </w:rPr>
              <w:t>加盖公章的</w:t>
            </w:r>
            <w:r>
              <w:rPr>
                <w:szCs w:val="21"/>
              </w:rPr>
              <w:t>说明函（格式自拟），无需提供相关人员社保，亦可得分</w:t>
            </w:r>
            <w:r>
              <w:rPr>
                <w:rFonts w:hint="eastAsia"/>
                <w:szCs w:val="21"/>
              </w:rPr>
              <w:t>；</w:t>
            </w:r>
            <w:r>
              <w:rPr>
                <w:rFonts w:ascii="宋体" w:hAnsi="宋体" w:cs="宋体"/>
                <w:kern w:val="0"/>
                <w:szCs w:val="21"/>
              </w:rPr>
              <w:t xml:space="preserve"> </w:t>
            </w:r>
          </w:p>
          <w:p>
            <w:pP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提供学历证书，还需同时提供学信网查询记录，对于较早颁发的学历证书，学信网无法查询的，除提供证书扫描件、注明原件备查外，可提供其他佐证材料（如毕业院校、人社部门等颁发机构或监管机构等单位出具的证明）作为得分依据；留学归国人员如无法提供学信网查询记录截图，提供国（境）外学历证书扫描件（以及中文翻译件）和教育部留学服务中心出具的国外学历认证书扫描件【或教育部留学服务中心网站（http://zwfw.cscse.edu.cn/）在线查询截图】也予以认可。</w:t>
            </w:r>
          </w:p>
          <w:p>
            <w:pP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3.提供职称证书复印件。</w:t>
            </w:r>
          </w:p>
          <w:p>
            <w:pPr>
              <w:rPr>
                <w:rFonts w:hint="eastAsia" w:ascii="宋体" w:hAnsi="宋体" w:eastAsia="宋体" w:cs="宋体"/>
                <w:kern w:val="0"/>
                <w:sz w:val="21"/>
                <w:szCs w:val="21"/>
                <w:lang w:val="en-US" w:eastAsia="zh-CN" w:bidi="ar-SA"/>
              </w:rPr>
            </w:pPr>
            <w:r>
              <w:rPr>
                <w:rFonts w:hint="eastAsia" w:ascii="宋体" w:hAnsi="宋体" w:eastAsia="宋体" w:cs="宋体"/>
                <w:b w:val="0"/>
                <w:color w:val="auto"/>
                <w:sz w:val="21"/>
                <w:szCs w:val="21"/>
                <w:highlight w:val="none"/>
                <w:lang w:val="en-US" w:eastAsia="zh-CN"/>
              </w:rPr>
              <w:t>备注：证明材料均提供复印件并加盖投标人公章，原件备查。未按要求提供或提供不清晰导致专家无法判断的不得分。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rPr>
                <w:rFonts w:hint="eastAsia" w:ascii="宋体" w:hAnsi="宋体" w:eastAsia="宋体" w:cs="宋体"/>
                <w:b/>
                <w:bCs/>
                <w:color w:val="auto"/>
                <w:sz w:val="20"/>
                <w:szCs w:val="20"/>
              </w:rPr>
            </w:pP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ind w:firstLine="200" w:firstLineChars="100"/>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6</w:t>
            </w:r>
          </w:p>
        </w:tc>
        <w:tc>
          <w:tcPr>
            <w:tcW w:w="278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黑体"/>
                <w:kern w:val="2"/>
                <w:sz w:val="21"/>
                <w:szCs w:val="21"/>
                <w:lang w:val="en-US" w:eastAsia="zh-CN" w:bidi="ar-SA"/>
              </w:rPr>
            </w:pPr>
            <w:r>
              <w:rPr>
                <w:rFonts w:hint="eastAsia" w:ascii="宋体" w:hAnsi="宋体" w:cs="宋体"/>
                <w:szCs w:val="21"/>
              </w:rPr>
              <w:t>拟安排的项目团队成员（项目负责人除外）情况</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6</w:t>
            </w:r>
          </w:p>
        </w:tc>
        <w:tc>
          <w:tcPr>
            <w:tcW w:w="4561" w:type="dxa"/>
            <w:tcBorders>
              <w:top w:val="single" w:color="000000" w:sz="8" w:space="0"/>
              <w:left w:val="single" w:color="000000" w:sz="8" w:space="0"/>
              <w:bottom w:val="single" w:color="000000" w:sz="8" w:space="0"/>
              <w:right w:val="single" w:color="000000" w:sz="8" w:space="0"/>
            </w:tcBorders>
            <w:shd w:val="clear" w:color="auto" w:fill="auto"/>
            <w:vAlign w:val="top"/>
          </w:tcPr>
          <w:p>
            <w:pPr>
              <w:numPr>
                <w:ilvl w:val="0"/>
                <w:numId w:val="0"/>
              </w:numPr>
              <w:ind w:left="420" w:hanging="318"/>
              <w:rPr>
                <w:rFonts w:hint="eastAsia" w:ascii="宋体" w:hAnsi="宋体" w:eastAsia="宋体" w:cs="黑体"/>
                <w:b/>
                <w:bCs w:val="0"/>
                <w:sz w:val="21"/>
                <w:szCs w:val="21"/>
              </w:rPr>
            </w:pPr>
            <w:r>
              <w:rPr>
                <w:rFonts w:hint="eastAsia" w:ascii="宋体" w:hAnsi="宋体" w:eastAsia="宋体" w:cs="黑体"/>
                <w:b/>
                <w:bCs w:val="0"/>
                <w:sz w:val="21"/>
                <w:szCs w:val="21"/>
              </w:rPr>
              <w:t>（一）评分内容</w:t>
            </w:r>
          </w:p>
          <w:p>
            <w:pPr>
              <w:numPr>
                <w:ilvl w:val="-1"/>
                <w:numId w:val="0"/>
              </w:numPr>
              <w:tabs>
                <w:tab w:val="right" w:leader="dot" w:pos="8296"/>
              </w:tabs>
              <w:spacing w:line="360" w:lineRule="exact"/>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拟安排项目主要团队成员</w:t>
            </w:r>
            <w:r>
              <w:rPr>
                <w:rFonts w:hint="eastAsia" w:ascii="宋体" w:hAnsi="宋体" w:eastAsia="宋体" w:cs="宋体"/>
                <w:b w:val="0"/>
                <w:color w:val="auto"/>
                <w:sz w:val="21"/>
                <w:szCs w:val="21"/>
                <w:highlight w:val="none"/>
              </w:rPr>
              <w:t>（项目负责人除外），均须为投标单位正式聘任员工，否则本项不得分。在此基础上，按以下标准评分</w:t>
            </w:r>
            <w:r>
              <w:rPr>
                <w:rFonts w:hint="eastAsia" w:ascii="宋体" w:hAnsi="宋体" w:eastAsia="宋体" w:cs="宋体"/>
                <w:color w:val="auto"/>
                <w:sz w:val="21"/>
                <w:szCs w:val="21"/>
                <w:highlight w:val="none"/>
              </w:rPr>
              <w:t>：</w:t>
            </w:r>
          </w:p>
          <w:p>
            <w:pPr>
              <w:numPr>
                <w:ilvl w:val="-1"/>
                <w:numId w:val="0"/>
              </w:num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团队成员中具有</w:t>
            </w:r>
            <w:r>
              <w:rPr>
                <w:rFonts w:hint="eastAsia" w:ascii="宋体" w:hAnsi="宋体" w:cs="宋体"/>
                <w:b w:val="0"/>
                <w:bCs w:val="0"/>
                <w:color w:val="auto"/>
                <w:sz w:val="21"/>
                <w:szCs w:val="21"/>
                <w:highlight w:val="none"/>
              </w:rPr>
              <w:t>计算机、信息、通信、电子、软件</w:t>
            </w:r>
            <w:r>
              <w:rPr>
                <w:rFonts w:hint="eastAsia" w:ascii="宋体" w:hAnsi="宋体" w:cs="宋体"/>
                <w:color w:val="auto"/>
                <w:sz w:val="21"/>
                <w:szCs w:val="21"/>
                <w:highlight w:val="none"/>
              </w:rPr>
              <w:t>类</w:t>
            </w:r>
            <w:r>
              <w:rPr>
                <w:rFonts w:hint="eastAsia" w:ascii="宋体" w:hAnsi="宋体" w:eastAsia="宋体" w:cs="宋体"/>
                <w:b w:val="0"/>
                <w:bCs w:val="0"/>
                <w:color w:val="auto"/>
                <w:sz w:val="21"/>
                <w:szCs w:val="21"/>
                <w:highlight w:val="none"/>
              </w:rPr>
              <w:t>等相关专业本科及以上学历</w:t>
            </w:r>
            <w:r>
              <w:rPr>
                <w:rFonts w:hint="eastAsia" w:ascii="宋体" w:hAnsi="宋体" w:eastAsia="宋体" w:cs="宋体"/>
                <w:color w:val="auto"/>
                <w:sz w:val="21"/>
                <w:szCs w:val="21"/>
                <w:highlight w:val="none"/>
              </w:rPr>
              <w:t>的，每提供1人得1.5分，本项最高得6分。</w:t>
            </w:r>
          </w:p>
          <w:p>
            <w:pPr>
              <w:numPr>
                <w:ilvl w:val="0"/>
                <w:numId w:val="0"/>
              </w:numPr>
              <w:ind w:left="420" w:hanging="318"/>
              <w:jc w:val="left"/>
              <w:rPr>
                <w:rFonts w:hint="eastAsia" w:ascii="宋体" w:hAnsi="宋体" w:eastAsia="宋体" w:cs="黑体"/>
                <w:b/>
                <w:sz w:val="21"/>
                <w:szCs w:val="21"/>
              </w:rPr>
            </w:pPr>
            <w:r>
              <w:rPr>
                <w:rFonts w:hint="eastAsia" w:ascii="宋体" w:hAnsi="宋体" w:eastAsia="宋体" w:cs="黑体"/>
                <w:b/>
                <w:bCs w:val="0"/>
                <w:sz w:val="21"/>
                <w:szCs w:val="21"/>
              </w:rPr>
              <w:t>（二）评分依据</w:t>
            </w:r>
          </w:p>
          <w:p>
            <w:pPr>
              <w:rPr>
                <w:rFonts w:ascii="宋体" w:hAnsi="宋体" w:cs="宋体"/>
                <w:kern w:val="0"/>
                <w:szCs w:val="21"/>
              </w:rPr>
            </w:pPr>
            <w:r>
              <w:rPr>
                <w:rFonts w:hint="eastAsia" w:ascii="宋体" w:hAnsi="宋体" w:eastAsia="宋体" w:cs="宋体"/>
                <w:b w:val="0"/>
                <w:color w:val="auto"/>
                <w:sz w:val="21"/>
                <w:szCs w:val="21"/>
                <w:highlight w:val="none"/>
                <w:lang w:val="en-US" w:eastAsia="zh-CN"/>
              </w:rPr>
              <w:t>1.提供团队成员通过投标人单位缴纳的载有政府部门印章的近三个月任意一个月的社保证明（社保资料必须至少包含养老保险信息）作为本单位员工的证明依据。若投标人成立不足三个月的，可提供加盖公章的情况说明或者证明材料亦视为符合。若为退休返聘人员，需提供加盖公章的说明函（格式自拟），无需提供相关人员社保，亦可得分</w:t>
            </w:r>
            <w:r>
              <w:rPr>
                <w:rFonts w:hint="eastAsia"/>
                <w:szCs w:val="21"/>
              </w:rPr>
              <w:t>；</w:t>
            </w:r>
            <w:r>
              <w:rPr>
                <w:rFonts w:ascii="宋体" w:hAnsi="宋体" w:cs="宋体"/>
                <w:kern w:val="0"/>
                <w:szCs w:val="21"/>
              </w:rPr>
              <w:t xml:space="preserve"> </w:t>
            </w:r>
          </w:p>
          <w:p>
            <w:pPr>
              <w:pStyle w:val="6"/>
              <w:ind w:left="0" w:leftChars="0" w:firstLine="0" w:firstLineChars="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提供学历证书，还需同时提供学信网查询记录，对于较早颁发的学历证书，学信网无法查询的，除提供证书扫描件、注明原件备查外，可提供其他佐证材料（如毕业院校、人社部门等颁发机构或监管机构等单位出具的证明）作为得分依据；留学归国人员如无法提供学信网查询记录截图，提供国（境）外学历证书扫描件（以及中文翻译件）和教育部留学服务中心出具的国外学历认证书扫描件【或教育部留学服务中心网站（http://zwfw.cscse.edu.cn/）在线查询截图】也予以认可。</w:t>
            </w:r>
          </w:p>
          <w:p>
            <w:pPr>
              <w:pStyle w:val="2"/>
              <w:rPr>
                <w:rFonts w:hint="eastAsia"/>
                <w:lang w:val="en-US" w:eastAsia="zh-CN"/>
              </w:rPr>
            </w:pPr>
            <w:r>
              <w:rPr>
                <w:rFonts w:hint="eastAsia" w:ascii="宋体" w:hAnsi="宋体" w:eastAsia="宋体" w:cs="宋体"/>
                <w:b w:val="0"/>
                <w:color w:val="auto"/>
                <w:sz w:val="21"/>
                <w:szCs w:val="21"/>
                <w:highlight w:val="none"/>
                <w:lang w:val="en-US" w:eastAsia="zh-CN"/>
              </w:rPr>
              <w:t>备注：证明材料均提供复印件并加盖投标人公章，原件备查。未按要求提供或提供不清晰导致专家无法判断的不得分。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3</w:t>
            </w:r>
          </w:p>
        </w:tc>
        <w:tc>
          <w:tcPr>
            <w:tcW w:w="408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技术部分</w:t>
            </w:r>
          </w:p>
        </w:tc>
        <w:tc>
          <w:tcPr>
            <w:tcW w:w="4561"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b/>
                <w:bCs/>
                <w:color w:val="auto"/>
                <w:sz w:val="20"/>
                <w:szCs w:val="20"/>
                <w:lang w:val="en-US" w:eastAsia="zh-CN"/>
              </w:rPr>
            </w:pPr>
            <w:r>
              <w:rPr>
                <w:rFonts w:hint="eastAsia" w:ascii="宋体" w:hAnsi="宋体" w:cs="宋体"/>
                <w:b/>
                <w:bCs/>
                <w:color w:val="auto"/>
                <w:sz w:val="20"/>
                <w:szCs w:val="20"/>
                <w:lang w:val="en-US" w:eastAsia="zh-CN"/>
              </w:rPr>
              <w:t>48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04" w:hRule="atLeast"/>
          <w:jc w:val="center"/>
        </w:trPr>
        <w:tc>
          <w:tcPr>
            <w:tcW w:w="680" w:type="dxa"/>
            <w:vMerge w:val="continue"/>
            <w:tcBorders>
              <w:left w:val="single" w:color="auto" w:sz="4" w:space="0"/>
              <w:right w:val="single" w:color="auto" w:sz="4" w:space="0"/>
            </w:tcBorders>
            <w:vAlign w:val="center"/>
          </w:tcPr>
          <w:p>
            <w:pPr>
              <w:rPr>
                <w:rFonts w:hint="eastAsia" w:ascii="宋体" w:hAnsi="宋体" w:eastAsia="宋体" w:cs="宋体"/>
                <w:b/>
                <w:bCs/>
                <w:color w:val="auto"/>
                <w:sz w:val="20"/>
                <w:szCs w:val="20"/>
              </w:rPr>
            </w:pPr>
          </w:p>
        </w:tc>
        <w:tc>
          <w:tcPr>
            <w:tcW w:w="8642"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auto" w:sz="4" w:space="0"/>
              <w:right w:val="single" w:color="auto" w:sz="4" w:space="0"/>
            </w:tcBorders>
            <w:shd w:val="clear" w:color="auto" w:fill="E6EFFA"/>
            <w:vAlign w:val="center"/>
          </w:tcPr>
          <w:p>
            <w:pPr>
              <w:rPr>
                <w:rFonts w:hint="eastAsia" w:ascii="宋体" w:hAnsi="宋体" w:eastAsia="宋体" w:cs="宋体"/>
                <w:b/>
                <w:bCs/>
                <w:color w:val="auto"/>
                <w:sz w:val="20"/>
                <w:szCs w:val="20"/>
              </w:rPr>
            </w:pPr>
          </w:p>
        </w:tc>
        <w:tc>
          <w:tcPr>
            <w:tcW w:w="597" w:type="dxa"/>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2784" w:type="dxa"/>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评分因素</w:t>
            </w:r>
          </w:p>
        </w:tc>
        <w:tc>
          <w:tcPr>
            <w:tcW w:w="700" w:type="dxa"/>
            <w:tcBorders>
              <w:top w:val="outset" w:color="000000" w:sz="6" w:space="0"/>
              <w:left w:val="single" w:color="auto" w:sz="4" w:space="0"/>
              <w:bottom w:val="outset" w:color="000000" w:sz="6" w:space="0"/>
              <w:right w:val="outset" w:color="000000" w:sz="6" w:space="0"/>
            </w:tcBorders>
            <w:shd w:val="clear" w:color="auto" w:fill="E6EFFA"/>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分值范围</w:t>
            </w:r>
          </w:p>
        </w:tc>
        <w:tc>
          <w:tcPr>
            <w:tcW w:w="4561"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auto" w:sz="4" w:space="0"/>
              <w:right w:val="single" w:color="auto" w:sz="4" w:space="0"/>
            </w:tcBorders>
            <w:vAlign w:val="center"/>
          </w:tcPr>
          <w:p>
            <w:pPr>
              <w:rPr>
                <w:rFonts w:hint="eastAsia" w:ascii="宋体" w:hAnsi="宋体" w:eastAsia="宋体" w:cs="宋体"/>
                <w:b/>
                <w:bCs/>
                <w:color w:val="auto"/>
                <w:sz w:val="20"/>
                <w:szCs w:val="20"/>
              </w:rPr>
            </w:pPr>
          </w:p>
        </w:tc>
        <w:tc>
          <w:tcPr>
            <w:tcW w:w="5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1</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lang w:val="en-US" w:eastAsia="zh-CN"/>
              </w:rPr>
              <w:t>方案</w:t>
            </w:r>
          </w:p>
        </w:tc>
        <w:tc>
          <w:tcPr>
            <w:tcW w:w="700" w:type="dxa"/>
            <w:tcBorders>
              <w:top w:val="single" w:color="000000" w:sz="8" w:space="0"/>
              <w:left w:val="single" w:color="auto" w:sz="4" w:space="0"/>
              <w:bottom w:val="single" w:color="000000" w:sz="8" w:space="0"/>
              <w:right w:val="single" w:color="000000" w:sz="8" w:space="0"/>
            </w:tcBorders>
            <w:shd w:val="clear" w:color="auto" w:fill="auto"/>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szCs w:val="21"/>
                <w:lang w:val="en-US" w:eastAsia="zh-CN"/>
              </w:rPr>
              <w:t>15</w:t>
            </w:r>
          </w:p>
        </w:tc>
        <w:tc>
          <w:tcPr>
            <w:tcW w:w="4561" w:type="dxa"/>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0"/>
              </w:numPr>
              <w:ind w:left="420" w:hanging="318"/>
              <w:rPr>
                <w:rFonts w:hint="eastAsia" w:ascii="宋体" w:hAnsi="宋体" w:eastAsia="宋体" w:cs="黑体"/>
                <w:b/>
                <w:bCs w:val="0"/>
                <w:sz w:val="21"/>
                <w:szCs w:val="21"/>
              </w:rPr>
            </w:pPr>
            <w:r>
              <w:rPr>
                <w:rFonts w:hint="eastAsia" w:ascii="宋体" w:hAnsi="宋体" w:eastAsia="宋体" w:cs="黑体"/>
                <w:b/>
                <w:bCs w:val="0"/>
                <w:sz w:val="21"/>
                <w:szCs w:val="21"/>
              </w:rPr>
              <w:t>（一）评分内容</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根据投标人提供的服务方案进行打分，内容包括：</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 xml:space="preserve">具有项目背景的理解及现状分析； </w:t>
            </w:r>
          </w:p>
          <w:p>
            <w:pPr>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项目的业务需求； </w:t>
            </w:r>
          </w:p>
          <w:p>
            <w:pPr>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项目重点难点分析； </w:t>
            </w:r>
          </w:p>
          <w:p>
            <w:pPr>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针对项目的合理化建议。</w:t>
            </w:r>
          </w:p>
          <w:p>
            <w:pPr>
              <w:numPr>
                <w:ilvl w:val="0"/>
                <w:numId w:val="0"/>
              </w:numPr>
              <w:ind w:left="420" w:hanging="318"/>
              <w:jc w:val="left"/>
              <w:rPr>
                <w:rFonts w:hint="eastAsia" w:ascii="宋体" w:hAnsi="宋体" w:eastAsia="宋体" w:cs="黑体"/>
                <w:b/>
                <w:sz w:val="21"/>
                <w:szCs w:val="21"/>
              </w:rPr>
            </w:pPr>
            <w:r>
              <w:rPr>
                <w:rFonts w:hint="eastAsia" w:ascii="宋体" w:hAnsi="宋体" w:eastAsia="宋体" w:cs="黑体"/>
                <w:b/>
                <w:bCs w:val="0"/>
                <w:sz w:val="21"/>
                <w:szCs w:val="21"/>
              </w:rPr>
              <w:t>（二）评分依据</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投标文件包含以上任意一项内容，即可得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分，四项全部包含的得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 xml:space="preserve">分。 </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 xml:space="preserve">在此基础上，专家根据各供应商的具体响应内容进行比较评分。 </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（1）评审为优：方案内容完整，可操作性强，加</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分； </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（2）评审为良：方案内容较为完整，可操作性较强，加</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分； </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（3）评审为中：方案内容一般，可操作性一般，加</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（4）评审为差：方案内容较差，可操作性</w:t>
            </w:r>
            <w:r>
              <w:rPr>
                <w:rFonts w:hint="eastAsia" w:ascii="宋体" w:hAnsi="宋体" w:cs="宋体"/>
                <w:color w:val="auto"/>
                <w:szCs w:val="21"/>
                <w:highlight w:val="none"/>
                <w:lang w:val="en-US" w:eastAsia="zh-CN"/>
              </w:rPr>
              <w:t>较</w:t>
            </w:r>
            <w:r>
              <w:rPr>
                <w:rFonts w:hint="eastAsia" w:ascii="宋体" w:hAnsi="宋体" w:eastAsia="宋体" w:cs="宋体"/>
                <w:color w:val="auto"/>
                <w:szCs w:val="21"/>
                <w:highlight w:val="none"/>
              </w:rPr>
              <w:t>差，</w:t>
            </w:r>
            <w:r>
              <w:rPr>
                <w:rFonts w:hint="eastAsia" w:ascii="宋体" w:hAnsi="宋体" w:cs="宋体"/>
                <w:color w:val="auto"/>
                <w:szCs w:val="21"/>
                <w:highlight w:val="none"/>
                <w:lang w:val="en-US" w:eastAsia="zh-CN"/>
              </w:rPr>
              <w:t>加1</w:t>
            </w:r>
            <w:r>
              <w:rPr>
                <w:rFonts w:hint="eastAsia" w:ascii="宋体" w:hAnsi="宋体" w:eastAsia="宋体" w:cs="宋体"/>
                <w:color w:val="auto"/>
                <w:szCs w:val="21"/>
                <w:highlight w:val="none"/>
              </w:rPr>
              <w:t>分。</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以上两项合计最高得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分。</w:t>
            </w:r>
          </w:p>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Cs w:val="21"/>
                <w:highlight w:val="none"/>
              </w:rPr>
              <w:t>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078" w:hRule="atLeast"/>
          <w:jc w:val="center"/>
        </w:trPr>
        <w:tc>
          <w:tcPr>
            <w:tcW w:w="680" w:type="dxa"/>
            <w:vMerge w:val="continue"/>
            <w:tcBorders>
              <w:left w:val="single" w:color="auto" w:sz="4" w:space="0"/>
              <w:right w:val="single" w:color="auto" w:sz="4" w:space="0"/>
            </w:tcBorders>
            <w:vAlign w:val="center"/>
          </w:tcPr>
          <w:p>
            <w:pPr>
              <w:rPr>
                <w:rFonts w:hint="eastAsia" w:ascii="宋体" w:hAnsi="宋体" w:eastAsia="宋体" w:cs="宋体"/>
                <w:b/>
                <w:bCs/>
                <w:color w:val="auto"/>
                <w:sz w:val="20"/>
                <w:szCs w:val="20"/>
              </w:rPr>
            </w:pPr>
          </w:p>
        </w:tc>
        <w:tc>
          <w:tcPr>
            <w:tcW w:w="59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2</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Cs w:val="21"/>
                <w:highlight w:val="none"/>
              </w:rPr>
              <w:t>售后服务方案</w:t>
            </w:r>
          </w:p>
        </w:tc>
        <w:tc>
          <w:tcPr>
            <w:tcW w:w="700" w:type="dxa"/>
            <w:tcBorders>
              <w:top w:val="single" w:color="000000" w:sz="8" w:space="0"/>
              <w:left w:val="single" w:color="auto" w:sz="4" w:space="0"/>
              <w:bottom w:val="single" w:color="000000" w:sz="8" w:space="0"/>
              <w:right w:val="single" w:color="000000" w:sz="8" w:space="0"/>
            </w:tcBorders>
            <w:shd w:val="clear" w:color="auto" w:fill="auto"/>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szCs w:val="21"/>
                <w:lang w:val="en-US" w:eastAsia="zh-CN"/>
              </w:rPr>
              <w:t>8</w:t>
            </w:r>
          </w:p>
        </w:tc>
        <w:tc>
          <w:tcPr>
            <w:tcW w:w="4561" w:type="dxa"/>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0"/>
              </w:numPr>
              <w:ind w:left="420" w:hanging="318"/>
              <w:rPr>
                <w:rFonts w:hint="eastAsia" w:ascii="宋体" w:hAnsi="宋体" w:eastAsia="宋体" w:cs="黑体"/>
                <w:b/>
                <w:bCs w:val="0"/>
                <w:sz w:val="21"/>
                <w:szCs w:val="21"/>
              </w:rPr>
            </w:pPr>
            <w:r>
              <w:rPr>
                <w:rFonts w:hint="eastAsia" w:ascii="宋体" w:hAnsi="宋体" w:eastAsia="宋体" w:cs="黑体"/>
                <w:b/>
                <w:bCs w:val="0"/>
                <w:sz w:val="21"/>
                <w:szCs w:val="21"/>
              </w:rPr>
              <w:t>（一）评分内容</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根据投标单位针对该项目完成后提供售后服务方案进行评审：</w:t>
            </w:r>
          </w:p>
          <w:p>
            <w:pPr>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具有售后服务计划、承诺；</w:t>
            </w:r>
          </w:p>
          <w:p>
            <w:pPr>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具有售后服务保障措施。</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每满足以上1项的得1分，最高得2分。</w:t>
            </w:r>
          </w:p>
          <w:p>
            <w:pPr>
              <w:jc w:val="both"/>
              <w:rPr>
                <w:rFonts w:hint="eastAsia" w:ascii="宋体" w:hAnsi="宋体" w:eastAsia="宋体" w:cs="宋体"/>
                <w:color w:val="auto"/>
                <w:szCs w:val="21"/>
                <w:highlight w:val="none"/>
              </w:rPr>
            </w:pPr>
            <w:r>
              <w:rPr>
                <w:rFonts w:hint="eastAsia" w:ascii="宋体" w:hAnsi="宋体" w:eastAsia="宋体" w:cs="黑体"/>
                <w:b/>
                <w:bCs w:val="0"/>
                <w:sz w:val="21"/>
                <w:szCs w:val="21"/>
              </w:rPr>
              <w:t>（二）评分依据</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在此基础上，专家根据各供应商的具体响应内容进一步评审，评审标准如下：</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（1）售后服务能力内容全面具体，针对性强，科学合理，可操作性强，评价为优的加6分；</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（2）售后服务能力内容齐全，针对性较强，科学合理，可操作性较强，评审为良的加3分；</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（3）售后服务能力内容一般，针对性一般，基本合理，可操作性一般，评审为中的加1分；</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（4）售后服务能力内容不全面，针对性弱，不合理，可操作性弱，评审为差的不加分。</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以上两项合计最高得8分。</w:t>
            </w:r>
          </w:p>
          <w:p>
            <w:pPr>
              <w:jc w:val="both"/>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Cs w:val="21"/>
                <w:highlight w:val="none"/>
              </w:rPr>
              <w:t>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b/>
                <w:bCs/>
                <w:color w:val="auto"/>
                <w:sz w:val="20"/>
                <w:szCs w:val="20"/>
              </w:rPr>
            </w:pPr>
          </w:p>
        </w:tc>
        <w:tc>
          <w:tcPr>
            <w:tcW w:w="597" w:type="dxa"/>
            <w:tcBorders>
              <w:top w:val="single" w:color="auto" w:sz="4" w:space="0"/>
              <w:left w:val="single" w:color="000000" w:sz="8" w:space="0"/>
              <w:bottom w:val="single" w:color="auto" w:sz="4" w:space="0"/>
              <w:right w:val="single" w:color="000000" w:sz="8" w:space="0"/>
            </w:tcBorders>
            <w:shd w:val="clear" w:color="auto" w:fill="auto"/>
            <w:vAlign w:val="center"/>
          </w:tcPr>
          <w:p>
            <w:pPr>
              <w:wordWrap w:val="0"/>
              <w:ind w:firstLine="200" w:firstLineChars="1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3</w:t>
            </w:r>
          </w:p>
        </w:tc>
        <w:tc>
          <w:tcPr>
            <w:tcW w:w="2784"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color w:val="auto"/>
                <w:kern w:val="2"/>
                <w:sz w:val="20"/>
                <w:szCs w:val="20"/>
                <w:lang w:val="en-US" w:eastAsia="zh-CN" w:bidi="ar-SA"/>
              </w:rPr>
            </w:pPr>
            <w:r>
              <w:rPr>
                <w:rFonts w:hint="eastAsia"/>
                <w:szCs w:val="21"/>
              </w:rPr>
              <w:t>服务要求响应情况</w:t>
            </w:r>
          </w:p>
        </w:tc>
        <w:tc>
          <w:tcPr>
            <w:tcW w:w="700" w:type="dxa"/>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szCs w:val="21"/>
                <w:lang w:val="en-US" w:eastAsia="zh-CN"/>
              </w:rPr>
              <w:t>2</w:t>
            </w:r>
            <w:r>
              <w:rPr>
                <w:rFonts w:hint="eastAsia" w:ascii="宋体" w:hAnsi="宋体" w:eastAsia="宋体" w:cs="宋体"/>
                <w:szCs w:val="21"/>
                <w:lang w:val="en-US" w:eastAsia="zh-CN"/>
              </w:rPr>
              <w:t>5</w:t>
            </w:r>
          </w:p>
        </w:tc>
        <w:tc>
          <w:tcPr>
            <w:tcW w:w="4561" w:type="dxa"/>
            <w:tcBorders>
              <w:top w:val="single" w:color="000000" w:sz="8" w:space="0"/>
              <w:left w:val="single" w:color="000000" w:sz="8" w:space="0"/>
              <w:bottom w:val="single" w:color="auto" w:sz="4" w:space="0"/>
              <w:right w:val="single" w:color="000000" w:sz="8" w:space="0"/>
            </w:tcBorders>
            <w:shd w:val="clear" w:color="auto" w:fill="auto"/>
            <w:vAlign w:val="center"/>
          </w:tcPr>
          <w:p>
            <w:pPr>
              <w:numPr>
                <w:ilvl w:val="0"/>
                <w:numId w:val="0"/>
              </w:numPr>
              <w:ind w:left="420" w:hanging="318"/>
              <w:rPr>
                <w:rFonts w:hint="eastAsia" w:ascii="宋体" w:hAnsi="宋体" w:eastAsia="宋体" w:cs="黑体"/>
                <w:b/>
                <w:bCs w:val="0"/>
                <w:sz w:val="21"/>
                <w:szCs w:val="21"/>
              </w:rPr>
            </w:pPr>
            <w:r>
              <w:rPr>
                <w:rFonts w:hint="eastAsia" w:ascii="宋体" w:hAnsi="宋体" w:eastAsia="宋体" w:cs="黑体"/>
                <w:b/>
                <w:bCs w:val="0"/>
                <w:sz w:val="21"/>
                <w:szCs w:val="21"/>
              </w:rPr>
              <w:t>（一）评分内容</w:t>
            </w:r>
          </w:p>
          <w:p>
            <w:pPr>
              <w:jc w:val="left"/>
              <w:rPr>
                <w:rFonts w:hint="eastAsia" w:ascii="宋体" w:hAnsi="宋体" w:eastAsia="宋体"/>
                <w:szCs w:val="21"/>
              </w:rPr>
            </w:pPr>
            <w:r>
              <w:rPr>
                <w:rFonts w:hint="eastAsia" w:ascii="宋体" w:hAnsi="宋体" w:eastAsia="宋体"/>
                <w:szCs w:val="21"/>
              </w:rPr>
              <w:t>投标人应如实填写《服务要求响应情况表》，评审委员会根据第</w:t>
            </w:r>
            <w:r>
              <w:rPr>
                <w:rFonts w:hint="eastAsia" w:ascii="宋体" w:hAnsi="宋体"/>
                <w:szCs w:val="21"/>
                <w:lang w:val="en-US" w:eastAsia="zh-CN"/>
              </w:rPr>
              <w:t>二</w:t>
            </w:r>
            <w:r>
              <w:rPr>
                <w:rFonts w:hint="eastAsia" w:ascii="宋体" w:hAnsi="宋体" w:eastAsia="宋体"/>
                <w:szCs w:val="21"/>
              </w:rPr>
              <w:t>章</w:t>
            </w:r>
            <w:r>
              <w:rPr>
                <w:rFonts w:hint="eastAsia" w:ascii="宋体" w:hAnsi="宋体"/>
                <w:szCs w:val="21"/>
                <w:lang w:val="en-US" w:eastAsia="zh-CN"/>
              </w:rPr>
              <w:t>项目概况及需求</w:t>
            </w:r>
            <w:r>
              <w:rPr>
                <w:rFonts w:hint="eastAsia" w:ascii="宋体" w:hAnsi="宋体" w:eastAsia="宋体"/>
                <w:szCs w:val="21"/>
                <w:lang w:eastAsia="zh-CN"/>
              </w:rPr>
              <w:t>“</w:t>
            </w:r>
            <w:r>
              <w:rPr>
                <w:rFonts w:hint="eastAsia" w:ascii="宋体" w:hAnsi="宋体" w:eastAsia="宋体"/>
                <w:szCs w:val="21"/>
              </w:rPr>
              <w:t>服务要求响应情况表</w:t>
            </w:r>
            <w:r>
              <w:rPr>
                <w:rFonts w:hint="eastAsia" w:ascii="宋体" w:hAnsi="宋体" w:eastAsia="宋体"/>
                <w:szCs w:val="21"/>
                <w:lang w:eastAsia="zh-CN"/>
              </w:rPr>
              <w:t>”</w:t>
            </w:r>
            <w:r>
              <w:rPr>
                <w:rFonts w:hint="eastAsia" w:ascii="宋体" w:hAnsi="宋体" w:eastAsia="宋体"/>
                <w:szCs w:val="21"/>
              </w:rPr>
              <w:t>响应情况（</w:t>
            </w:r>
            <w:r>
              <w:rPr>
                <w:rFonts w:hint="eastAsia" w:ascii="宋体" w:hAnsi="宋体" w:eastAsia="宋体"/>
                <w:szCs w:val="21"/>
                <w:lang w:val="en-US" w:eastAsia="zh-CN"/>
              </w:rPr>
              <w:t>如</w:t>
            </w:r>
            <w:r>
              <w:rPr>
                <w:rFonts w:hint="eastAsia" w:ascii="宋体" w:hAnsi="宋体" w:eastAsia="宋体"/>
                <w:szCs w:val="21"/>
              </w:rPr>
              <w:t>有“★”的条款为实质性条款，不参与评分）进行打分，完全满足招标文件要求得</w:t>
            </w:r>
            <w:r>
              <w:rPr>
                <w:rFonts w:hint="eastAsia" w:ascii="宋体" w:hAnsi="宋体"/>
                <w:szCs w:val="21"/>
                <w:lang w:val="en-US" w:eastAsia="zh-CN"/>
              </w:rPr>
              <w:t>2</w:t>
            </w:r>
            <w:r>
              <w:rPr>
                <w:rFonts w:hint="eastAsia" w:ascii="宋体" w:hAnsi="宋体" w:eastAsia="宋体"/>
                <w:szCs w:val="21"/>
                <w:lang w:val="en-US" w:eastAsia="zh-CN"/>
              </w:rPr>
              <w:t>5</w:t>
            </w:r>
            <w:r>
              <w:rPr>
                <w:rFonts w:hint="eastAsia" w:ascii="宋体" w:hAnsi="宋体" w:eastAsia="宋体"/>
                <w:szCs w:val="21"/>
              </w:rPr>
              <w:t>分；带“▲”技术参数条款总分为1</w:t>
            </w:r>
            <w:r>
              <w:rPr>
                <w:rFonts w:hint="eastAsia" w:ascii="宋体" w:hAnsi="宋体"/>
                <w:szCs w:val="21"/>
                <w:lang w:val="en-US" w:eastAsia="zh-CN"/>
              </w:rPr>
              <w:t>5</w:t>
            </w:r>
            <w:r>
              <w:rPr>
                <w:rFonts w:hint="eastAsia" w:ascii="宋体" w:hAnsi="宋体" w:eastAsia="宋体"/>
                <w:szCs w:val="21"/>
              </w:rPr>
              <w:t>分，若响应为负偏离，一项扣</w:t>
            </w:r>
            <w:r>
              <w:rPr>
                <w:rFonts w:hint="eastAsia" w:ascii="宋体" w:hAnsi="宋体"/>
                <w:szCs w:val="21"/>
                <w:lang w:val="en-US" w:eastAsia="zh-CN"/>
              </w:rPr>
              <w:t>3</w:t>
            </w:r>
            <w:r>
              <w:rPr>
                <w:rFonts w:hint="eastAsia" w:ascii="宋体" w:hAnsi="宋体" w:eastAsia="宋体"/>
                <w:szCs w:val="21"/>
              </w:rPr>
              <w:t>分；其它技术参数条款总分为</w:t>
            </w:r>
            <w:r>
              <w:rPr>
                <w:rFonts w:hint="eastAsia" w:ascii="宋体" w:hAnsi="宋体"/>
                <w:szCs w:val="21"/>
                <w:lang w:val="en-US" w:eastAsia="zh-CN"/>
              </w:rPr>
              <w:t>10</w:t>
            </w:r>
            <w:r>
              <w:rPr>
                <w:rFonts w:hint="eastAsia" w:ascii="宋体" w:hAnsi="宋体" w:eastAsia="宋体"/>
                <w:szCs w:val="21"/>
              </w:rPr>
              <w:t>分，若响应为负偏离的，一项扣</w:t>
            </w:r>
            <w:r>
              <w:rPr>
                <w:rFonts w:hint="eastAsia" w:ascii="宋体" w:hAnsi="宋体"/>
                <w:szCs w:val="21"/>
                <w:lang w:val="en-US" w:eastAsia="zh-CN"/>
              </w:rPr>
              <w:t>1</w:t>
            </w:r>
            <w:r>
              <w:rPr>
                <w:rFonts w:hint="eastAsia" w:ascii="宋体" w:hAnsi="宋体" w:eastAsia="宋体"/>
                <w:szCs w:val="21"/>
              </w:rPr>
              <w:t>分。</w:t>
            </w:r>
          </w:p>
          <w:p>
            <w:pPr>
              <w:pStyle w:val="6"/>
              <w:ind w:left="0" w:leftChars="0" w:firstLine="0" w:firstLineChars="0"/>
              <w:rPr>
                <w:rFonts w:hint="eastAsia"/>
              </w:rPr>
            </w:pPr>
            <w:r>
              <w:rPr>
                <w:rFonts w:hint="eastAsia" w:ascii="宋体" w:hAnsi="宋体" w:eastAsia="宋体" w:cs="黑体"/>
                <w:b/>
                <w:bCs w:val="0"/>
                <w:sz w:val="21"/>
                <w:szCs w:val="21"/>
              </w:rPr>
              <w:t>（二）评分依据</w:t>
            </w:r>
          </w:p>
          <w:p>
            <w:pPr>
              <w:pStyle w:val="6"/>
              <w:ind w:left="0" w:leftChars="0" w:firstLine="0" w:firstLineChars="0"/>
              <w:rPr>
                <w:rFonts w:hint="eastAsia" w:ascii="宋体" w:hAnsi="宋体" w:eastAsia="宋体" w:cs="宋体"/>
                <w:color w:val="auto"/>
                <w:kern w:val="2"/>
                <w:sz w:val="20"/>
                <w:szCs w:val="20"/>
                <w:lang w:val="en-US" w:eastAsia="zh-CN" w:bidi="ar-SA"/>
              </w:rPr>
            </w:pPr>
            <w:r>
              <w:rPr>
                <w:rFonts w:hint="eastAsia"/>
              </w:rPr>
              <w:t>评审委员会根据投标人填写的《</w:t>
            </w:r>
            <w:r>
              <w:rPr>
                <w:rFonts w:hint="eastAsia"/>
                <w:szCs w:val="21"/>
              </w:rPr>
              <w:t>服务要求响应情况</w:t>
            </w:r>
            <w:r>
              <w:rPr>
                <w:rFonts w:hint="eastAsia"/>
              </w:rPr>
              <w:t>》进行打分，如有要求提供证明材料，投标人需按照要求提供。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4</w:t>
            </w:r>
          </w:p>
        </w:tc>
        <w:tc>
          <w:tcPr>
            <w:tcW w:w="408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诚信部分</w:t>
            </w:r>
          </w:p>
        </w:tc>
        <w:tc>
          <w:tcPr>
            <w:tcW w:w="4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auto"/>
                <w:sz w:val="20"/>
                <w:szCs w:val="20"/>
              </w:rPr>
            </w:pPr>
          </w:p>
        </w:tc>
        <w:tc>
          <w:tcPr>
            <w:tcW w:w="8642"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auto" w:sz="4" w:space="0"/>
              <w:left w:val="single" w:color="auto" w:sz="4" w:space="0"/>
              <w:bottom w:val="single" w:color="auto" w:sz="4" w:space="0"/>
              <w:right w:val="single" w:color="auto" w:sz="4" w:space="0"/>
            </w:tcBorders>
            <w:shd w:val="clear" w:color="auto" w:fill="E6EFFA"/>
            <w:vAlign w:val="center"/>
          </w:tcPr>
          <w:p>
            <w:pPr>
              <w:rPr>
                <w:rFonts w:hint="eastAsia" w:ascii="宋体" w:hAnsi="宋体" w:eastAsia="宋体" w:cs="宋体"/>
                <w:b/>
                <w:bCs/>
                <w:color w:val="auto"/>
                <w:sz w:val="20"/>
                <w:szCs w:val="20"/>
              </w:rPr>
            </w:pPr>
          </w:p>
        </w:tc>
        <w:tc>
          <w:tcPr>
            <w:tcW w:w="597" w:type="dxa"/>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2784" w:type="dxa"/>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评分因素</w:t>
            </w:r>
          </w:p>
        </w:tc>
        <w:tc>
          <w:tcPr>
            <w:tcW w:w="700" w:type="dxa"/>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分值范围</w:t>
            </w:r>
          </w:p>
        </w:tc>
        <w:tc>
          <w:tcPr>
            <w:tcW w:w="4561" w:type="dxa"/>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auto"/>
                <w:sz w:val="20"/>
                <w:szCs w:val="20"/>
              </w:rPr>
            </w:pPr>
          </w:p>
        </w:tc>
        <w:tc>
          <w:tcPr>
            <w:tcW w:w="5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rPr>
            </w:pPr>
            <w:r>
              <w:rPr>
                <w:rFonts w:hint="eastAsia" w:ascii="Calibri" w:hAnsi="Calibri" w:eastAsia="宋体" w:cs="黑体"/>
                <w:sz w:val="21"/>
                <w:szCs w:val="21"/>
              </w:rPr>
              <w:t>诚信管理情况</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5</w:t>
            </w:r>
          </w:p>
        </w:tc>
        <w:tc>
          <w:tcPr>
            <w:tcW w:w="45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投标人存在《深圳市财政局政府采购供应商信用信息管理办法》（深财规〔2023〕3号）列明的一般行政处罚信息、一般违法失信记录信息的，本项不得分，不存在上述情形的本项得5分。</w:t>
            </w:r>
          </w:p>
          <w:p>
            <w:pPr>
              <w:rPr>
                <w:rFonts w:hint="eastAsia" w:ascii="宋体" w:hAnsi="宋体" w:eastAsia="宋体" w:cs="宋体"/>
                <w:color w:val="auto"/>
                <w:sz w:val="20"/>
                <w:szCs w:val="20"/>
                <w:highlight w:val="yellow"/>
              </w:rPr>
            </w:pPr>
            <w:r>
              <w:rPr>
                <w:rFonts w:hint="eastAsia" w:ascii="宋体" w:hAnsi="宋体" w:eastAsia="宋体" w:cs="宋体"/>
                <w:color w:val="auto"/>
                <w:sz w:val="21"/>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pPr>
        <w:pStyle w:val="20"/>
        <w:ind w:firstLine="561"/>
        <w:rPr>
          <w:b/>
          <w:bCs/>
          <w:color w:val="auto"/>
          <w:kern w:val="0"/>
        </w:rPr>
      </w:pPr>
      <w:r>
        <w:rPr>
          <w:rFonts w:hint="eastAsia"/>
          <w:b/>
          <w:bCs/>
          <w:color w:val="auto"/>
          <w:kern w:val="0"/>
        </w:rPr>
        <w:t>十</w:t>
      </w:r>
      <w:r>
        <w:rPr>
          <w:rFonts w:hint="eastAsia"/>
          <w:b/>
          <w:bCs/>
          <w:color w:val="auto"/>
          <w:kern w:val="0"/>
          <w:lang w:val="en-US" w:eastAsia="zh-CN"/>
        </w:rPr>
        <w:t>五</w:t>
      </w:r>
      <w:r>
        <w:rPr>
          <w:rFonts w:hint="eastAsia"/>
          <w:b/>
          <w:bCs/>
          <w:color w:val="auto"/>
          <w:kern w:val="0"/>
        </w:rPr>
        <w:t>、政策导向</w:t>
      </w:r>
    </w:p>
    <w:p>
      <w:pPr>
        <w:spacing w:line="400" w:lineRule="exact"/>
        <w:ind w:firstLine="560" w:firstLineChars="200"/>
        <w:rPr>
          <w:rFonts w:hint="eastAsia" w:ascii="仿宋_GB2312" w:hAnsi="仿宋_GB2312" w:eastAsia="仿宋_GB2312" w:cs="仿宋_GB2312"/>
          <w:bCs w:val="0"/>
          <w:color w:val="000000" w:themeColor="text1"/>
          <w:kern w:val="2"/>
          <w:sz w:val="28"/>
          <w:szCs w:val="28"/>
          <w14:textFill>
            <w14:solidFill>
              <w14:schemeClr w14:val="tx1"/>
            </w14:solidFill>
          </w14:textFill>
        </w:rPr>
      </w:pPr>
      <w:r>
        <w:rPr>
          <w:rFonts w:hint="eastAsia" w:ascii="仿宋_GB2312" w:hAnsi="仿宋_GB2312" w:eastAsia="仿宋_GB2312" w:cs="仿宋_GB2312"/>
          <w:bCs w:val="0"/>
          <w:color w:val="000000" w:themeColor="text1"/>
          <w:kern w:val="2"/>
          <w:sz w:val="28"/>
          <w:szCs w:val="28"/>
          <w14:textFill>
            <w14:solidFill>
              <w14:schemeClr w14:val="tx1"/>
            </w14:solidFill>
          </w14:textFill>
        </w:rPr>
        <w:t>（1）投标人提供的服务全部由优惠主体承接，则对其投标总价给予</w:t>
      </w:r>
      <w:r>
        <w:rPr>
          <w:rFonts w:hint="eastAsia" w:ascii="仿宋_GB2312" w:hAnsi="仿宋_GB2312" w:eastAsia="仿宋_GB2312" w:cs="仿宋_GB2312"/>
          <w:b w:val="0"/>
          <w:color w:val="000000" w:themeColor="text1"/>
          <w:kern w:val="2"/>
          <w:sz w:val="28"/>
          <w:szCs w:val="28"/>
          <w:u w:val="none"/>
          <w14:textFill>
            <w14:solidFill>
              <w14:schemeClr w14:val="tx1"/>
            </w14:solidFill>
          </w14:textFill>
        </w:rPr>
        <w:t>10%</w:t>
      </w:r>
      <w:r>
        <w:rPr>
          <w:rFonts w:hint="eastAsia" w:ascii="仿宋_GB2312" w:hAnsi="仿宋_GB2312" w:eastAsia="仿宋_GB2312" w:cs="仿宋_GB2312"/>
          <w:bCs w:val="0"/>
          <w:color w:val="000000" w:themeColor="text1"/>
          <w:kern w:val="2"/>
          <w:sz w:val="28"/>
          <w:szCs w:val="28"/>
          <w14:textFill>
            <w14:solidFill>
              <w14:schemeClr w14:val="tx1"/>
            </w14:solidFill>
          </w14:textFill>
        </w:rPr>
        <w:t>的扣除，用扣除后的价格参与评审。满足多项优惠政策的企业，不重复享受多项价格扣除政策。</w:t>
      </w:r>
    </w:p>
    <w:p>
      <w:pPr>
        <w:spacing w:line="400" w:lineRule="exact"/>
        <w:ind w:firstLine="560" w:firstLineChars="200"/>
        <w:rPr>
          <w:rFonts w:hint="eastAsia" w:ascii="仿宋_GB2312" w:hAnsi="仿宋_GB2312" w:eastAsia="仿宋_GB2312" w:cs="仿宋_GB2312"/>
          <w:bCs w:val="0"/>
          <w:color w:val="000000" w:themeColor="text1"/>
          <w:kern w:val="2"/>
          <w:sz w:val="28"/>
          <w:szCs w:val="28"/>
          <w14:textFill>
            <w14:solidFill>
              <w14:schemeClr w14:val="tx1"/>
            </w14:solidFill>
          </w14:textFill>
        </w:rPr>
      </w:pPr>
      <w:r>
        <w:rPr>
          <w:rFonts w:hint="eastAsia" w:ascii="仿宋_GB2312" w:hAnsi="仿宋_GB2312" w:eastAsia="仿宋_GB2312" w:cs="仿宋_GB2312"/>
          <w:bCs w:val="0"/>
          <w:color w:val="000000" w:themeColor="text1"/>
          <w:kern w:val="2"/>
          <w:sz w:val="28"/>
          <w:szCs w:val="28"/>
          <w14:textFill>
            <w14:solidFill>
              <w14:schemeClr w14:val="tx1"/>
            </w14:solidFill>
          </w14:textFill>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spacing w:line="400" w:lineRule="exact"/>
        <w:ind w:firstLine="560" w:firstLineChars="200"/>
        <w:rPr>
          <w:rFonts w:ascii="方正仿宋_GB2312" w:hAnsi="方正仿宋_GB2312" w:eastAsia="方正仿宋_GB2312" w:cs="方正仿宋_GB2312"/>
          <w:bCs/>
          <w:kern w:val="0"/>
          <w:sz w:val="28"/>
          <w:szCs w:val="28"/>
        </w:rPr>
      </w:pPr>
      <w:r>
        <w:rPr>
          <w:rFonts w:hint="eastAsia" w:ascii="仿宋_GB2312" w:hAnsi="仿宋_GB2312" w:eastAsia="仿宋_GB2312" w:cs="仿宋_GB2312"/>
          <w:bCs w:val="0"/>
          <w:color w:val="000000" w:themeColor="text1"/>
          <w:kern w:val="2"/>
          <w:sz w:val="28"/>
          <w:szCs w:val="28"/>
          <w14:textFill>
            <w14:solidFill>
              <w14:schemeClr w14:val="tx1"/>
            </w14:solidFill>
          </w14:textFill>
        </w:rPr>
        <w:t>（2）根据《工业和信息化部、国家统计局、国家发展和改革委员会、财政部关于印发中小企业划型标准规定的通知》（工信部联企业〔2011〕300号），本项目采购标的（项目需求）对应的中小企业划分标准所属行业为</w:t>
      </w:r>
      <w:r>
        <w:rPr>
          <w:b/>
          <w:bCs/>
          <w:color w:val="000000"/>
          <w:sz w:val="24"/>
          <w:szCs w:val="24"/>
          <w:u w:val="single"/>
        </w:rPr>
        <w:t>信息传输业</w:t>
      </w:r>
      <w:r>
        <w:rPr>
          <w:rFonts w:hint="eastAsia" w:ascii="仿宋_GB2312" w:hAnsi="仿宋_GB2312" w:eastAsia="仿宋_GB2312" w:cs="仿宋_GB2312"/>
          <w:bCs w:val="0"/>
          <w:color w:val="000000" w:themeColor="text1"/>
          <w:kern w:val="2"/>
          <w:sz w:val="28"/>
          <w:szCs w:val="28"/>
          <w14:textFill>
            <w14:solidFill>
              <w14:schemeClr w14:val="tx1"/>
            </w14:solidFill>
          </w14:textFill>
        </w:rPr>
        <w:t>。</w:t>
      </w:r>
    </w:p>
    <w:p>
      <w:pPr>
        <w:spacing w:line="400" w:lineRule="exact"/>
        <w:ind w:firstLine="560" w:firstLineChars="200"/>
        <w:rPr>
          <w:rFonts w:hint="eastAsia" w:ascii="仿宋_GB2312" w:hAnsi="仿宋_GB2312" w:eastAsia="仿宋_GB2312" w:cs="仿宋_GB2312"/>
          <w:bCs w:val="0"/>
          <w:color w:val="000000" w:themeColor="text1"/>
          <w:kern w:val="2"/>
          <w:sz w:val="28"/>
          <w:szCs w:val="28"/>
          <w14:textFill>
            <w14:solidFill>
              <w14:schemeClr w14:val="tx1"/>
            </w14:solidFill>
          </w14:textFill>
        </w:rPr>
      </w:pPr>
      <w:r>
        <w:rPr>
          <w:rFonts w:hint="eastAsia" w:ascii="仿宋_GB2312" w:hAnsi="仿宋_GB2312" w:eastAsia="仿宋_GB2312" w:cs="仿宋_GB2312"/>
          <w:bCs w:val="0"/>
          <w:color w:val="000000" w:themeColor="text1"/>
          <w:kern w:val="2"/>
          <w:sz w:val="28"/>
          <w:szCs w:val="28"/>
          <w14:textFill>
            <w14:solidFill>
              <w14:schemeClr w14:val="tx1"/>
            </w14:solidFill>
          </w14:textFill>
        </w:rPr>
        <w:t>（3）小型企业、微型企业、残疾人福利性单位作为优惠主体的认定资料为《中小企业声明函》《残疾人福利性单位声明函》；监狱企业作为优惠主体的认定资料为省级以上监狱管理局、戒毒管理局出具的监狱企业证明文件。监狱企业或者代理提供监狱企业货物的供应商</w:t>
      </w:r>
      <w:r>
        <w:rPr>
          <w:rFonts w:hint="eastAsia" w:ascii="仿宋_GB2312" w:hAnsi="仿宋_GB2312" w:eastAsia="仿宋_GB2312" w:cs="仿宋_GB2312"/>
          <w:bCs w:val="0"/>
          <w:color w:val="000000" w:themeColor="text1"/>
          <w:kern w:val="2"/>
          <w:sz w:val="28"/>
          <w:szCs w:val="28"/>
          <w:lang w:eastAsia="zh-CN"/>
          <w14:textFill>
            <w14:solidFill>
              <w14:schemeClr w14:val="tx1"/>
            </w14:solidFill>
          </w14:textFill>
        </w:rPr>
        <w:t>如需</w:t>
      </w:r>
      <w:r>
        <w:rPr>
          <w:rFonts w:hint="eastAsia" w:ascii="仿宋_GB2312" w:hAnsi="仿宋_GB2312" w:eastAsia="仿宋_GB2312" w:cs="仿宋_GB2312"/>
          <w:bCs w:val="0"/>
          <w:color w:val="000000" w:themeColor="text1"/>
          <w:kern w:val="2"/>
          <w:sz w:val="28"/>
          <w:szCs w:val="28"/>
          <w14:textFill>
            <w14:solidFill>
              <w14:schemeClr w14:val="tx1"/>
            </w14:solidFill>
          </w14:textFill>
        </w:rPr>
        <w:t>享受优惠政策，除上述资料外，还须提供省级以上监狱管理局、戒毒管理局出具的监狱企业证明文件。</w:t>
      </w:r>
    </w:p>
    <w:p>
      <w:pPr>
        <w:spacing w:line="400" w:lineRule="exact"/>
        <w:ind w:firstLine="560" w:firstLineChars="200"/>
        <w:rPr>
          <w:rFonts w:hint="eastAsia" w:ascii="仿宋_GB2312" w:hAnsi="仿宋_GB2312" w:eastAsia="仿宋_GB2312" w:cs="仿宋_GB2312"/>
          <w:bCs w:val="0"/>
          <w:color w:val="000000" w:themeColor="text1"/>
          <w:kern w:val="2"/>
          <w:sz w:val="28"/>
          <w:szCs w:val="28"/>
          <w14:textFill>
            <w14:solidFill>
              <w14:schemeClr w14:val="tx1"/>
            </w14:solidFill>
          </w14:textFill>
        </w:rPr>
      </w:pPr>
      <w:r>
        <w:rPr>
          <w:rFonts w:hint="eastAsia" w:ascii="仿宋_GB2312" w:hAnsi="仿宋_GB2312" w:eastAsia="仿宋_GB2312" w:cs="仿宋_GB2312"/>
          <w:bCs w:val="0"/>
          <w:color w:val="000000" w:themeColor="text1"/>
          <w:kern w:val="2"/>
          <w:sz w:val="28"/>
          <w:szCs w:val="28"/>
          <w14:textFill>
            <w14:solidFill>
              <w14:schemeClr w14:val="tx1"/>
            </w14:solidFill>
          </w14:textFill>
        </w:rPr>
        <w:t>（4）享受价格扣除获得政府采购合同的，小微企业不得将合同分包给大中型企业。</w:t>
      </w:r>
    </w:p>
    <w:p>
      <w:pPr>
        <w:rPr>
          <w:rFonts w:ascii="方正仿宋_GB2312" w:hAnsi="方正仿宋_GB2312" w:eastAsia="方正仿宋_GB2312" w:cs="方正仿宋_GB2312"/>
          <w:b/>
          <w:bCs/>
          <w:sz w:val="36"/>
          <w:szCs w:val="36"/>
        </w:rPr>
      </w:pPr>
      <w:r>
        <w:rPr>
          <w:rFonts w:ascii="方正仿宋_GB2312" w:hAnsi="方正仿宋_GB2312" w:eastAsia="方正仿宋_GB2312" w:cs="方正仿宋_GB2312"/>
          <w:b/>
          <w:bCs/>
          <w:sz w:val="36"/>
          <w:szCs w:val="36"/>
        </w:rPr>
        <w:br w:type="page"/>
      </w:r>
    </w:p>
    <w:p>
      <w:pPr>
        <w:jc w:val="center"/>
        <w:rPr>
          <w:rFonts w:ascii="方正仿宋_GB2312" w:hAnsi="方正仿宋_GB2312" w:eastAsia="方正仿宋_GB2312" w:cs="方正仿宋_GB2312"/>
          <w:b/>
          <w:bCs/>
          <w:sz w:val="36"/>
          <w:szCs w:val="36"/>
        </w:rPr>
      </w:pPr>
      <w:r>
        <w:rPr>
          <w:rFonts w:hint="eastAsia" w:ascii="方正仿宋_GB2312" w:hAnsi="方正仿宋_GB2312" w:eastAsia="方正仿宋_GB2312" w:cs="方正仿宋_GB2312"/>
          <w:b/>
          <w:bCs/>
          <w:sz w:val="36"/>
          <w:szCs w:val="36"/>
        </w:rPr>
        <w:t>投标文件初审表</w:t>
      </w:r>
    </w:p>
    <w:p>
      <w:pPr>
        <w:jc w:val="center"/>
        <w:rPr>
          <w:rFonts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3"/>
        <w:spacing w:line="400" w:lineRule="exact"/>
        <w:jc w:val="center"/>
        <w:rPr>
          <w:rFonts w:ascii="宋体" w:hAnsi="宋体" w:cs="宋体"/>
          <w:b/>
          <w:bCs/>
          <w:sz w:val="28"/>
          <w:szCs w:val="28"/>
        </w:rPr>
      </w:pPr>
      <w:r>
        <w:rPr>
          <w:rFonts w:hint="eastAsia" w:ascii="宋体" w:hAnsi="宋体" w:cs="宋体"/>
          <w:b/>
          <w:bCs/>
          <w:sz w:val="28"/>
          <w:szCs w:val="28"/>
        </w:rPr>
        <w:t>（一）资格性审查表</w:t>
      </w:r>
    </w:p>
    <w:tbl>
      <w:tblPr>
        <w:tblStyle w:val="14"/>
        <w:tblW w:w="94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720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0" w:type="auto"/>
            <w:vAlign w:val="center"/>
          </w:tcPr>
          <w:p>
            <w:pPr>
              <w:jc w:val="center"/>
              <w:rPr>
                <w:rFonts w:ascii="宋体" w:cs="宋体"/>
                <w:b/>
              </w:rPr>
            </w:pPr>
            <w:r>
              <w:rPr>
                <w:rFonts w:hint="eastAsia" w:ascii="宋体" w:cs="宋体"/>
                <w:b/>
              </w:rPr>
              <w:t>序号</w:t>
            </w:r>
          </w:p>
        </w:tc>
        <w:tc>
          <w:tcPr>
            <w:tcW w:w="7204" w:type="dxa"/>
            <w:vAlign w:val="center"/>
          </w:tcPr>
          <w:p>
            <w:pPr>
              <w:jc w:val="center"/>
              <w:rPr>
                <w:rFonts w:ascii="宋体" w:cs="宋体"/>
                <w:b/>
              </w:rPr>
            </w:pPr>
            <w:r>
              <w:rPr>
                <w:rFonts w:hint="eastAsia" w:ascii="宋体" w:hAnsi="宋体" w:cs="宋体"/>
                <w:b/>
              </w:rPr>
              <w:t>评 审 内 容</w:t>
            </w:r>
          </w:p>
        </w:tc>
        <w:tc>
          <w:tcPr>
            <w:tcW w:w="1740" w:type="dxa"/>
            <w:vAlign w:val="center"/>
          </w:tcPr>
          <w:p>
            <w:pPr>
              <w:spacing w:line="360" w:lineRule="exact"/>
              <w:jc w:val="center"/>
              <w:rPr>
                <w:rFonts w:ascii="宋体" w:hAnsi="宋体"/>
                <w:szCs w:val="21"/>
              </w:rPr>
            </w:pPr>
            <w:r>
              <w:rPr>
                <w:rFonts w:hint="eastAsia" w:ascii="宋体" w:hAnsi="宋体"/>
                <w:szCs w:val="21"/>
              </w:rPr>
              <w:t>自查情况</w:t>
            </w:r>
          </w:p>
          <w:p>
            <w:pPr>
              <w:jc w:val="center"/>
              <w:rPr>
                <w:rFonts w:ascii="宋体" w:hAnsi="宋体" w:cs="宋体"/>
                <w:b/>
              </w:rPr>
            </w:pPr>
            <w:r>
              <w:rPr>
                <w:rFonts w:hint="eastAsia" w:ascii="宋体" w:hAnsi="宋体"/>
                <w:szCs w:val="21"/>
              </w:rPr>
              <w:t>（填写“满足”或“不满足”）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2"/>
              </w:numPr>
              <w:tabs>
                <w:tab w:val="left" w:pos="176"/>
                <w:tab w:val="left" w:pos="612"/>
              </w:tabs>
              <w:ind w:left="342"/>
              <w:jc w:val="center"/>
              <w:rPr>
                <w:rFonts w:ascii="宋体" w:hAnsi="宋体" w:cs="宋体"/>
              </w:rPr>
            </w:pPr>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p>
        </w:tc>
        <w:tc>
          <w:tcPr>
            <w:tcW w:w="1740" w:type="dxa"/>
            <w:vAlign w:val="center"/>
          </w:tcPr>
          <w:p>
            <w:pP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2"/>
              </w:numPr>
              <w:tabs>
                <w:tab w:val="left" w:pos="176"/>
                <w:tab w:val="left" w:pos="612"/>
              </w:tabs>
              <w:ind w:left="342"/>
              <w:jc w:val="center"/>
              <w:rPr>
                <w:rFonts w:ascii="宋体" w:hAnsi="宋体" w:cs="宋体"/>
              </w:rPr>
            </w:pPr>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p>
        </w:tc>
        <w:tc>
          <w:tcPr>
            <w:tcW w:w="1740" w:type="dxa"/>
            <w:vAlign w:val="center"/>
          </w:tcPr>
          <w:p>
            <w:pP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2"/>
              </w:numPr>
              <w:tabs>
                <w:tab w:val="left" w:pos="176"/>
                <w:tab w:val="left" w:pos="612"/>
              </w:tabs>
              <w:ind w:left="342"/>
              <w:jc w:val="center"/>
              <w:rPr>
                <w:rFonts w:ascii="宋体" w:hAnsi="宋体" w:cs="宋体"/>
              </w:rPr>
            </w:pPr>
            <w:bookmarkStart w:id="0" w:name="_Toc15975"/>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供应商基本情况表已提交，提供法定代表人、主要经营负责人、项目投标授权代表人、项目负责人（如有）、主要技术人员（如有）最近一个月的社会保险证明。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5.若因社保部门原因无法提供的，需提供劳动合同及社保部门官方通知证明（或官网公告截图）。</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c>
          <w:tcPr>
            <w:tcW w:w="1740" w:type="dxa"/>
            <w:vAlign w:val="center"/>
          </w:tcPr>
          <w:p>
            <w:pP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2"/>
              </w:numPr>
              <w:tabs>
                <w:tab w:val="left" w:pos="176"/>
                <w:tab w:val="left" w:pos="612"/>
              </w:tabs>
              <w:ind w:left="342"/>
              <w:jc w:val="center"/>
              <w:rPr>
                <w:rFonts w:ascii="宋体" w:hAnsi="宋体" w:cs="宋体"/>
              </w:rPr>
            </w:pPr>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如有）、主要技术人员（如有）不存在为同一人或在同一单位缴纳社会保险；或者不存在直接控股、管理关系；不存在因违法行为而被禁止参加政府采购活动等情形。</w:t>
            </w:r>
          </w:p>
        </w:tc>
        <w:tc>
          <w:tcPr>
            <w:tcW w:w="1740" w:type="dxa"/>
            <w:vAlign w:val="center"/>
          </w:tcPr>
          <w:p>
            <w:pPr>
              <w:rPr>
                <w:rFonts w:ascii="宋体" w:hAnsi="宋体" w:cs="宋体"/>
                <w:color w:val="000000" w:themeColor="text1"/>
                <w:sz w:val="22"/>
                <w:szCs w:val="22"/>
                <w14:textFill>
                  <w14:solidFill>
                    <w14:schemeClr w14:val="tx1"/>
                  </w14:solidFill>
                </w14:textFill>
              </w:rPr>
            </w:pPr>
          </w:p>
        </w:tc>
      </w:tr>
    </w:tbl>
    <w:p>
      <w:pPr>
        <w:adjustRightInd w:val="0"/>
        <w:snapToGrid w:val="0"/>
        <w:spacing w:line="360" w:lineRule="auto"/>
        <w:jc w:val="left"/>
        <w:rPr>
          <w:rFonts w:ascii="宋体" w:hAnsi="宋体" w:cs="宋体"/>
        </w:rPr>
      </w:pPr>
    </w:p>
    <w:bookmarkEnd w:id="0"/>
    <w:p/>
    <w:p>
      <w:pPr>
        <w:pStyle w:val="2"/>
      </w:pPr>
    </w:p>
    <w:p>
      <w:pPr>
        <w:pStyle w:val="11"/>
      </w:pPr>
    </w:p>
    <w:p>
      <w:pPr>
        <w:pStyle w:val="11"/>
      </w:pPr>
    </w:p>
    <w:p>
      <w:pPr>
        <w:pStyle w:val="11"/>
      </w:pPr>
    </w:p>
    <w:p>
      <w:pPr>
        <w:pStyle w:val="11"/>
      </w:pPr>
    </w:p>
    <w:p>
      <w:pPr>
        <w:pStyle w:val="11"/>
      </w:pPr>
    </w:p>
    <w:p>
      <w:pPr>
        <w:pStyle w:val="11"/>
      </w:pPr>
    </w:p>
    <w:p>
      <w:pPr>
        <w:pStyle w:val="11"/>
      </w:pPr>
    </w:p>
    <w:p>
      <w:pPr>
        <w:pStyle w:val="11"/>
      </w:pPr>
    </w:p>
    <w:p>
      <w:pPr>
        <w:pStyle w:val="3"/>
        <w:spacing w:line="400" w:lineRule="exact"/>
        <w:jc w:val="center"/>
        <w:rPr>
          <w:rFonts w:ascii="宋体" w:hAnsi="宋体" w:cs="宋体"/>
          <w:b/>
          <w:bCs/>
          <w:sz w:val="28"/>
          <w:szCs w:val="28"/>
        </w:rPr>
      </w:pPr>
      <w:r>
        <w:rPr>
          <w:rFonts w:hint="eastAsia" w:ascii="宋体" w:hAnsi="宋体" w:cs="宋体"/>
          <w:b/>
          <w:bCs/>
          <w:sz w:val="28"/>
          <w:szCs w:val="28"/>
        </w:rPr>
        <w:t>（二）符合性检查表</w:t>
      </w:r>
    </w:p>
    <w:tbl>
      <w:tblPr>
        <w:tblStyle w:val="14"/>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7402"/>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23" w:type="dxa"/>
            <w:noWrap/>
            <w:vAlign w:val="center"/>
          </w:tcPr>
          <w:p>
            <w:pPr>
              <w:jc w:val="center"/>
              <w:rPr>
                <w:rFonts w:ascii="宋体" w:hAnsi="宋体" w:cs="宋体"/>
                <w:b/>
              </w:rPr>
            </w:pPr>
            <w:r>
              <w:rPr>
                <w:rFonts w:hint="eastAsia" w:ascii="宋体" w:hAnsi="宋体" w:cs="宋体"/>
                <w:b/>
              </w:rPr>
              <w:t>序号</w:t>
            </w:r>
          </w:p>
        </w:tc>
        <w:tc>
          <w:tcPr>
            <w:tcW w:w="7402" w:type="dxa"/>
            <w:noWrap/>
            <w:vAlign w:val="center"/>
          </w:tcPr>
          <w:p>
            <w:pPr>
              <w:jc w:val="center"/>
              <w:rPr>
                <w:rFonts w:ascii="宋体" w:hAnsi="宋体" w:cs="宋体"/>
                <w:b/>
              </w:rPr>
            </w:pPr>
            <w:r>
              <w:rPr>
                <w:rFonts w:hint="eastAsia" w:ascii="宋体" w:hAnsi="宋体" w:cs="宋体"/>
                <w:b/>
              </w:rPr>
              <w:t>评审内容</w:t>
            </w:r>
          </w:p>
        </w:tc>
        <w:tc>
          <w:tcPr>
            <w:tcW w:w="1697" w:type="dxa"/>
            <w:noWrap/>
            <w:vAlign w:val="center"/>
          </w:tcPr>
          <w:p>
            <w:pPr>
              <w:spacing w:line="360" w:lineRule="exact"/>
              <w:jc w:val="center"/>
              <w:rPr>
                <w:rFonts w:ascii="宋体" w:hAnsi="宋体"/>
                <w:szCs w:val="21"/>
              </w:rPr>
            </w:pPr>
            <w:r>
              <w:rPr>
                <w:rFonts w:hint="eastAsia" w:ascii="宋体" w:hAnsi="宋体"/>
                <w:szCs w:val="21"/>
              </w:rPr>
              <w:t>自查情况</w:t>
            </w:r>
          </w:p>
          <w:p>
            <w:pPr>
              <w:jc w:val="center"/>
              <w:rPr>
                <w:rFonts w:ascii="宋体" w:hAnsi="宋体" w:cs="宋体"/>
                <w:b/>
              </w:rPr>
            </w:pPr>
            <w:r>
              <w:rPr>
                <w:rFonts w:hint="eastAsia" w:ascii="宋体" w:hAnsi="宋体"/>
                <w:szCs w:val="21"/>
              </w:rPr>
              <w:t>（填写“满足”或“不满足”）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w:t>
            </w:r>
          </w:p>
        </w:tc>
        <w:tc>
          <w:tcPr>
            <w:tcW w:w="7402" w:type="dxa"/>
            <w:noWrap/>
            <w:vAlign w:val="center"/>
          </w:tcPr>
          <w:p>
            <w:pPr>
              <w:rPr>
                <w:rFonts w:ascii="宋体" w:hAnsi="宋体" w:cs="宋体"/>
                <w:bCs/>
                <w:sz w:val="22"/>
                <w:szCs w:val="22"/>
              </w:rPr>
            </w:pPr>
            <w:r>
              <w:rPr>
                <w:rFonts w:hint="eastAsia"/>
              </w:rPr>
              <w:t>未</w:t>
            </w:r>
            <w:r>
              <w:rPr>
                <w:rFonts w:hint="eastAsia" w:ascii="宋体" w:hAnsi="宋体" w:cs="宋体"/>
                <w:bCs/>
                <w:sz w:val="22"/>
                <w:szCs w:val="22"/>
              </w:rPr>
              <w:t>将一个包中的内容拆开投标。</w:t>
            </w:r>
          </w:p>
        </w:tc>
        <w:tc>
          <w:tcPr>
            <w:tcW w:w="1697" w:type="dxa"/>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2</w:t>
            </w:r>
          </w:p>
        </w:tc>
        <w:tc>
          <w:tcPr>
            <w:tcW w:w="7402" w:type="dxa"/>
            <w:noWrap/>
            <w:vAlign w:val="center"/>
          </w:tcPr>
          <w:p>
            <w:pPr>
              <w:rPr>
                <w:rFonts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c>
          <w:tcPr>
            <w:tcW w:w="1697"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3</w:t>
            </w:r>
          </w:p>
        </w:tc>
        <w:tc>
          <w:tcPr>
            <w:tcW w:w="7402" w:type="dxa"/>
            <w:noWrap/>
            <w:vAlign w:val="center"/>
          </w:tcPr>
          <w:p>
            <w:pPr>
              <w:rPr>
                <w:rFonts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c>
          <w:tcPr>
            <w:tcW w:w="1697" w:type="dxa"/>
            <w:noWrap/>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4</w:t>
            </w:r>
          </w:p>
        </w:tc>
        <w:tc>
          <w:tcPr>
            <w:tcW w:w="7402" w:type="dxa"/>
            <w:noWrap/>
            <w:vAlign w:val="center"/>
          </w:tcPr>
          <w:p>
            <w:pPr>
              <w:widowControl/>
              <w:jc w:val="left"/>
              <w:textAlignment w:val="top"/>
              <w:rPr>
                <w:rFonts w:hint="eastAsia" w:ascii="宋体" w:hAnsi="宋体" w:eastAsia="宋体" w:cs="宋体"/>
                <w:sz w:val="22"/>
                <w:szCs w:val="22"/>
              </w:rPr>
            </w:pPr>
            <w:r>
              <w:rPr>
                <w:rFonts w:hint="eastAsia" w:ascii="宋体" w:hAnsi="宋体" w:eastAsia="宋体" w:cs="宋体"/>
                <w:sz w:val="22"/>
                <w:szCs w:val="22"/>
              </w:rPr>
              <w:t>审中出现下列情形之一的，评审委员会应当启动异常低价投标（响应）审查程序：</w:t>
            </w:r>
          </w:p>
          <w:p>
            <w:pPr>
              <w:widowControl/>
              <w:jc w:val="left"/>
              <w:textAlignment w:val="top"/>
              <w:rPr>
                <w:rFonts w:hint="eastAsia" w:ascii="宋体" w:hAnsi="宋体" w:eastAsia="宋体" w:cs="宋体"/>
                <w:sz w:val="22"/>
                <w:szCs w:val="22"/>
              </w:rPr>
            </w:pPr>
            <w:r>
              <w:rPr>
                <w:rFonts w:hint="eastAsia" w:ascii="宋体" w:hAnsi="宋体" w:eastAsia="宋体" w:cs="宋体"/>
                <w:sz w:val="22"/>
                <w:szCs w:val="22"/>
              </w:rPr>
              <w:t>1.投标（响应）报价低于全部通过符合性审查供应商投标（响应）报价平均值50%的，即投标（响应）报价</w:t>
            </w:r>
            <w:r>
              <w:rPr>
                <w:rFonts w:hint="eastAsia" w:ascii="宋体" w:hAnsi="宋体" w:cs="宋体"/>
                <w:sz w:val="22"/>
                <w:szCs w:val="22"/>
                <w:lang w:eastAsia="zh-CN"/>
              </w:rPr>
              <w:t>〈</w:t>
            </w:r>
            <w:r>
              <w:rPr>
                <w:rFonts w:hint="eastAsia" w:ascii="宋体" w:hAnsi="宋体" w:eastAsia="宋体" w:cs="宋体"/>
                <w:sz w:val="22"/>
                <w:szCs w:val="22"/>
              </w:rPr>
              <w:t>全部通过符合性审查供应商投标（响应）报价平均值×50%；</w:t>
            </w:r>
          </w:p>
          <w:p>
            <w:pPr>
              <w:widowControl/>
              <w:jc w:val="left"/>
              <w:textAlignment w:val="top"/>
              <w:rPr>
                <w:rFonts w:hint="eastAsia" w:ascii="宋体" w:hAnsi="宋体" w:eastAsia="宋体" w:cs="宋体"/>
                <w:sz w:val="22"/>
                <w:szCs w:val="22"/>
              </w:rPr>
            </w:pPr>
            <w:r>
              <w:rPr>
                <w:rFonts w:hint="eastAsia" w:ascii="宋体" w:hAnsi="宋体" w:eastAsia="宋体" w:cs="宋体"/>
                <w:sz w:val="22"/>
                <w:szCs w:val="22"/>
              </w:rPr>
              <w:t>2.投标（响应）报价低于通过符合性审查的次低报价供应商投标（响应）报价50%的，即投标（响应）报价</w:t>
            </w:r>
            <w:r>
              <w:rPr>
                <w:rFonts w:hint="eastAsia" w:ascii="宋体" w:hAnsi="宋体" w:cs="宋体"/>
                <w:sz w:val="22"/>
                <w:szCs w:val="22"/>
                <w:lang w:eastAsia="zh-CN"/>
              </w:rPr>
              <w:t>〈</w:t>
            </w:r>
            <w:r>
              <w:rPr>
                <w:rFonts w:hint="eastAsia" w:ascii="宋体" w:hAnsi="宋体" w:eastAsia="宋体" w:cs="宋体"/>
                <w:sz w:val="22"/>
                <w:szCs w:val="22"/>
              </w:rPr>
              <w:t>通过符合性审查的次低报价供应商投标（响应）报价×50%；</w:t>
            </w:r>
          </w:p>
          <w:p>
            <w:pPr>
              <w:widowControl/>
              <w:jc w:val="left"/>
              <w:textAlignment w:val="top"/>
              <w:rPr>
                <w:rFonts w:hint="eastAsia" w:ascii="宋体" w:hAnsi="宋体" w:eastAsia="宋体" w:cs="宋体"/>
                <w:sz w:val="22"/>
                <w:szCs w:val="22"/>
              </w:rPr>
            </w:pPr>
            <w:r>
              <w:rPr>
                <w:rFonts w:hint="eastAsia" w:ascii="宋体" w:hAnsi="宋体" w:eastAsia="宋体" w:cs="宋体"/>
                <w:sz w:val="22"/>
                <w:szCs w:val="22"/>
              </w:rPr>
              <w:t>3.投标（响应）报价低于采购项目最高限价</w:t>
            </w:r>
            <w:r>
              <w:rPr>
                <w:rFonts w:hint="eastAsia" w:ascii="宋体" w:hAnsi="宋体" w:cs="宋体"/>
                <w:sz w:val="22"/>
                <w:szCs w:val="22"/>
                <w:lang w:val="en-US" w:eastAsia="zh-CN"/>
              </w:rPr>
              <w:t>50</w:t>
            </w:r>
            <w:r>
              <w:rPr>
                <w:rFonts w:hint="eastAsia" w:ascii="宋体" w:hAnsi="宋体" w:eastAsia="宋体" w:cs="宋体"/>
                <w:sz w:val="22"/>
                <w:szCs w:val="22"/>
              </w:rPr>
              <w:t>%的，即投标（响应）报价</w:t>
            </w:r>
            <w:r>
              <w:rPr>
                <w:rFonts w:hint="eastAsia" w:ascii="宋体" w:hAnsi="宋体" w:cs="宋体"/>
                <w:sz w:val="22"/>
                <w:szCs w:val="22"/>
                <w:lang w:eastAsia="zh-CN"/>
              </w:rPr>
              <w:t>〈</w:t>
            </w:r>
            <w:r>
              <w:rPr>
                <w:rFonts w:hint="eastAsia" w:ascii="宋体" w:hAnsi="宋体" w:eastAsia="宋体" w:cs="宋体"/>
                <w:sz w:val="22"/>
                <w:szCs w:val="22"/>
              </w:rPr>
              <w:t>采购项目最高限价×</w:t>
            </w:r>
            <w:r>
              <w:rPr>
                <w:rFonts w:hint="eastAsia" w:ascii="宋体" w:hAnsi="宋体" w:cs="宋体"/>
                <w:sz w:val="22"/>
                <w:szCs w:val="22"/>
                <w:lang w:val="en-US" w:eastAsia="zh-CN"/>
              </w:rPr>
              <w:t>50</w:t>
            </w:r>
            <w:r>
              <w:rPr>
                <w:rFonts w:hint="eastAsia" w:ascii="宋体" w:hAnsi="宋体" w:eastAsia="宋体" w:cs="宋体"/>
                <w:sz w:val="22"/>
                <w:szCs w:val="22"/>
              </w:rPr>
              <w:t>%；</w:t>
            </w:r>
          </w:p>
          <w:p>
            <w:pPr>
              <w:widowControl/>
              <w:jc w:val="left"/>
              <w:textAlignment w:val="top"/>
              <w:rPr>
                <w:rFonts w:hint="eastAsia" w:ascii="宋体" w:hAnsi="宋体" w:eastAsia="宋体" w:cs="宋体"/>
                <w:sz w:val="22"/>
                <w:szCs w:val="22"/>
              </w:rPr>
            </w:pPr>
            <w:r>
              <w:rPr>
                <w:rFonts w:hint="eastAsia" w:ascii="宋体" w:hAnsi="宋体" w:eastAsia="宋体" w:cs="宋体"/>
                <w:sz w:val="22"/>
                <w:szCs w:val="22"/>
              </w:rPr>
              <w:t>4.评审委员会基于专业判断，认为供应商报价过低，有可能影响产品质量或者不能诚信履约的其他情形。</w:t>
            </w:r>
          </w:p>
          <w:p>
            <w:pPr>
              <w:widowControl/>
              <w:jc w:val="left"/>
              <w:textAlignment w:val="top"/>
              <w:rPr>
                <w:rFonts w:hint="eastAsia" w:ascii="宋体" w:hAnsi="宋体" w:eastAsia="宋体" w:cs="宋体"/>
                <w:sz w:val="22"/>
                <w:szCs w:val="22"/>
              </w:rPr>
            </w:pPr>
            <w:r>
              <w:rPr>
                <w:rFonts w:hint="eastAsia" w:ascii="宋体" w:hAnsi="宋体" w:eastAsia="宋体" w:cs="宋体"/>
                <w:sz w:val="22"/>
                <w:szCs w:val="2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rPr>
                <w:rFonts w:ascii="宋体" w:hAnsi="宋体" w:cs="宋体"/>
                <w:bCs/>
                <w:sz w:val="22"/>
                <w:szCs w:val="22"/>
              </w:rPr>
            </w:pPr>
            <w:r>
              <w:rPr>
                <w:rFonts w:hint="eastAsia" w:ascii="宋体" w:hAnsi="宋体" w:eastAsia="宋体" w:cs="宋体"/>
                <w:sz w:val="22"/>
                <w:szCs w:val="2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宋体" w:hAnsi="宋体" w:cs="宋体"/>
                <w:sz w:val="22"/>
                <w:szCs w:val="22"/>
                <w:lang w:eastAsia="zh-CN"/>
              </w:rPr>
              <w:t>。</w:t>
            </w:r>
          </w:p>
        </w:tc>
        <w:tc>
          <w:tcPr>
            <w:tcW w:w="1697"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5</w:t>
            </w:r>
          </w:p>
        </w:tc>
        <w:tc>
          <w:tcPr>
            <w:tcW w:w="7402" w:type="dxa"/>
            <w:noWrap/>
            <w:vAlign w:val="center"/>
          </w:tcPr>
          <w:p>
            <w:pPr>
              <w:rPr>
                <w:rFonts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c>
          <w:tcPr>
            <w:tcW w:w="1697"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6</w:t>
            </w:r>
          </w:p>
        </w:tc>
        <w:tc>
          <w:tcPr>
            <w:tcW w:w="7402" w:type="dxa"/>
            <w:noWrap/>
            <w:vAlign w:val="center"/>
          </w:tcPr>
          <w:p>
            <w:pPr>
              <w:rPr>
                <w:rFonts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c>
          <w:tcPr>
            <w:tcW w:w="1697"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7</w:t>
            </w:r>
          </w:p>
        </w:tc>
        <w:tc>
          <w:tcPr>
            <w:tcW w:w="7402" w:type="dxa"/>
            <w:noWrap/>
            <w:vAlign w:val="center"/>
          </w:tcPr>
          <w:p>
            <w:pPr>
              <w:rPr>
                <w:rFonts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c>
          <w:tcPr>
            <w:tcW w:w="1697"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8</w:t>
            </w:r>
          </w:p>
        </w:tc>
        <w:tc>
          <w:tcPr>
            <w:tcW w:w="7402" w:type="dxa"/>
            <w:noWrap/>
            <w:vAlign w:val="center"/>
          </w:tcPr>
          <w:p>
            <w:pPr>
              <w:rPr>
                <w:rFonts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c>
          <w:tcPr>
            <w:tcW w:w="1697"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9</w:t>
            </w:r>
          </w:p>
        </w:tc>
        <w:tc>
          <w:tcPr>
            <w:tcW w:w="7402" w:type="dxa"/>
            <w:noWrap/>
            <w:vAlign w:val="center"/>
          </w:tcPr>
          <w:p>
            <w:pPr>
              <w:rPr>
                <w:rFonts w:ascii="宋体" w:hAnsi="宋体" w:cs="宋体"/>
                <w:bCs/>
                <w:sz w:val="22"/>
                <w:szCs w:val="22"/>
              </w:rPr>
            </w:pPr>
            <w:r>
              <w:rPr>
                <w:rFonts w:hint="eastAsia" w:ascii="宋体" w:hAnsi="宋体" w:cs="宋体"/>
                <w:bCs/>
                <w:sz w:val="22"/>
                <w:szCs w:val="22"/>
              </w:rPr>
              <w:t>与其他投标供应商的投标文件未存在异常雷同现象的。</w:t>
            </w:r>
          </w:p>
        </w:tc>
        <w:tc>
          <w:tcPr>
            <w:tcW w:w="1697"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10</w:t>
            </w:r>
          </w:p>
        </w:tc>
        <w:tc>
          <w:tcPr>
            <w:tcW w:w="7402" w:type="dxa"/>
            <w:noWrap/>
            <w:vAlign w:val="center"/>
          </w:tcPr>
          <w:p>
            <w:pPr>
              <w:rPr>
                <w:rFonts w:ascii="宋体" w:hAnsi="宋体" w:cs="宋体"/>
                <w:bCs/>
                <w:sz w:val="22"/>
                <w:szCs w:val="22"/>
              </w:rPr>
            </w:pPr>
            <w:r>
              <w:rPr>
                <w:rFonts w:hint="eastAsia" w:ascii="宋体" w:hAnsi="宋体" w:cs="宋体"/>
                <w:bCs/>
                <w:sz w:val="22"/>
                <w:szCs w:val="22"/>
              </w:rPr>
              <w:t>未存在招标文件规定的其他投标无效情形。</w:t>
            </w:r>
          </w:p>
        </w:tc>
        <w:tc>
          <w:tcPr>
            <w:tcW w:w="1697"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11</w:t>
            </w:r>
          </w:p>
        </w:tc>
        <w:tc>
          <w:tcPr>
            <w:tcW w:w="7402" w:type="dxa"/>
            <w:noWrap/>
            <w:vAlign w:val="center"/>
          </w:tcPr>
          <w:p>
            <w:pPr>
              <w:rPr>
                <w:rFonts w:ascii="宋体" w:hAnsi="宋体" w:cs="宋体"/>
                <w:bCs/>
                <w:sz w:val="22"/>
                <w:szCs w:val="22"/>
              </w:rPr>
            </w:pPr>
            <w:r>
              <w:rPr>
                <w:rFonts w:hint="eastAsia" w:ascii="宋体" w:hAnsi="宋体" w:cs="宋体"/>
                <w:bCs/>
                <w:sz w:val="22"/>
                <w:szCs w:val="22"/>
                <w:lang w:eastAsia="zh-CN"/>
              </w:rPr>
              <w:t>法律法规</w:t>
            </w:r>
            <w:r>
              <w:rPr>
                <w:rFonts w:hint="eastAsia" w:ascii="宋体" w:hAnsi="宋体" w:cs="宋体"/>
                <w:bCs/>
                <w:sz w:val="22"/>
                <w:szCs w:val="22"/>
              </w:rPr>
              <w:t>规定的其他情形。</w:t>
            </w:r>
          </w:p>
        </w:tc>
        <w:tc>
          <w:tcPr>
            <w:tcW w:w="1697" w:type="dxa"/>
            <w:noWrap/>
            <w:vAlign w:val="center"/>
          </w:tcPr>
          <w:p>
            <w:pPr>
              <w:rPr>
                <w:rFonts w:ascii="宋体" w:hAnsi="宋体" w:cs="宋体"/>
                <w:bCs/>
                <w:sz w:val="22"/>
                <w:szCs w:val="22"/>
              </w:rPr>
            </w:pPr>
          </w:p>
        </w:tc>
      </w:tr>
    </w:tbl>
    <w:p>
      <w:pPr>
        <w:adjustRightInd w:val="0"/>
        <w:snapToGrid w:val="0"/>
        <w:spacing w:line="360" w:lineRule="auto"/>
        <w:jc w:val="left"/>
        <w:rPr>
          <w:rFonts w:ascii="宋体" w:hAnsi="宋体" w:cs="宋体"/>
        </w:rPr>
      </w:pPr>
    </w:p>
    <w:p>
      <w:pPr>
        <w:spacing w:line="360" w:lineRule="auto"/>
        <w:jc w:val="left"/>
        <w:rPr>
          <w:rFonts w:ascii="宋体" w:hAnsi="宋体" w:cs="宋体"/>
          <w:b/>
          <w:bCs/>
          <w:sz w:val="40"/>
          <w:szCs w:val="40"/>
        </w:rPr>
      </w:pPr>
      <w:r>
        <w:rPr>
          <w:rFonts w:hint="eastAsia" w:ascii="宋体" w:hAnsi="宋体" w:cs="宋体"/>
        </w:rPr>
        <w:t>说明：</w:t>
      </w:r>
      <w:r>
        <w:rPr>
          <w:rFonts w:hint="eastAsia" w:ascii="宋体" w:hAnsi="宋体"/>
        </w:rPr>
        <w:t>投标人必须严格按照《资格性审查表</w:t>
      </w:r>
      <w:r>
        <w:rPr>
          <w:rFonts w:hint="eastAsia" w:ascii="宋体" w:hAnsi="宋体"/>
          <w:lang w:eastAsia="zh-CN"/>
        </w:rPr>
        <w:t>》和</w:t>
      </w:r>
      <w:r>
        <w:rPr>
          <w:rFonts w:hint="eastAsia" w:ascii="宋体" w:hAnsi="宋体"/>
        </w:rPr>
        <w:t>《符合性检查表》的评审内容的要求如实提供材料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
      <w:pPr>
        <w:pStyle w:val="3"/>
        <w:spacing w:line="400" w:lineRule="exact"/>
        <w:jc w:val="center"/>
        <w:rPr>
          <w:rFonts w:ascii="宋体" w:hAnsi="宋体" w:cs="宋体"/>
          <w:b/>
          <w:bCs/>
          <w:sz w:val="32"/>
          <w:szCs w:val="32"/>
        </w:rPr>
      </w:pPr>
      <w:bookmarkStart w:id="1" w:name="_Toc417"/>
      <w:bookmarkStart w:id="2" w:name="_Toc24877"/>
      <w:bookmarkStart w:id="3" w:name="_Toc20190"/>
      <w:r>
        <w:rPr>
          <w:rFonts w:hint="eastAsia" w:ascii="宋体" w:hAnsi="宋体" w:cs="宋体"/>
          <w:b/>
          <w:bCs/>
          <w:sz w:val="28"/>
          <w:szCs w:val="28"/>
        </w:rPr>
        <w:t>（三）供应商自查表</w:t>
      </w:r>
      <w:bookmarkEnd w:id="1"/>
      <w:bookmarkEnd w:id="2"/>
      <w:bookmarkEnd w:id="3"/>
    </w:p>
    <w:p>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1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5995"/>
        <w:gridCol w:w="199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序号</w:t>
            </w:r>
          </w:p>
        </w:tc>
        <w:tc>
          <w:tcPr>
            <w:tcW w:w="5995" w:type="dxa"/>
            <w:vAlign w:val="center"/>
          </w:tcPr>
          <w:p>
            <w:pPr>
              <w:spacing w:line="360" w:lineRule="exact"/>
              <w:jc w:val="center"/>
              <w:rPr>
                <w:rFonts w:ascii="宋体" w:hAnsi="宋体"/>
                <w:szCs w:val="21"/>
              </w:rPr>
            </w:pPr>
            <w:r>
              <w:rPr>
                <w:rFonts w:hint="eastAsia" w:ascii="宋体" w:hAnsi="宋体"/>
                <w:szCs w:val="21"/>
              </w:rPr>
              <w:t>是否存在以下投标违规行为</w:t>
            </w:r>
          </w:p>
        </w:tc>
        <w:tc>
          <w:tcPr>
            <w:tcW w:w="1993" w:type="dxa"/>
            <w:vAlign w:val="center"/>
          </w:tcPr>
          <w:p>
            <w:pPr>
              <w:spacing w:line="360" w:lineRule="exact"/>
              <w:jc w:val="center"/>
              <w:rPr>
                <w:rFonts w:ascii="宋体" w:hAnsi="宋体"/>
                <w:szCs w:val="21"/>
              </w:rPr>
            </w:pPr>
            <w:r>
              <w:rPr>
                <w:rFonts w:hint="eastAsia" w:ascii="宋体" w:hAnsi="宋体"/>
                <w:szCs w:val="21"/>
              </w:rPr>
              <w:t>自查情况</w:t>
            </w:r>
          </w:p>
          <w:p>
            <w:pPr>
              <w:spacing w:line="360" w:lineRule="exact"/>
              <w:jc w:val="center"/>
              <w:rPr>
                <w:rFonts w:ascii="宋体" w:hAnsi="宋体"/>
                <w:szCs w:val="21"/>
              </w:rPr>
            </w:pPr>
            <w:r>
              <w:rPr>
                <w:rFonts w:hint="eastAsia" w:ascii="宋体" w:hAnsi="宋体"/>
                <w:szCs w:val="21"/>
              </w:rPr>
              <w:t>（填写“不存在”或“存在”）</w:t>
            </w:r>
          </w:p>
        </w:tc>
        <w:tc>
          <w:tcPr>
            <w:tcW w:w="1110" w:type="dxa"/>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w:t>
            </w:r>
          </w:p>
        </w:tc>
        <w:tc>
          <w:tcPr>
            <w:tcW w:w="5995" w:type="dxa"/>
            <w:vAlign w:val="center"/>
          </w:tcPr>
          <w:p>
            <w:pPr>
              <w:jc w:val="left"/>
              <w:rPr>
                <w:rFonts w:ascii="宋体" w:hAnsi="宋体" w:cs="宋体"/>
              </w:rPr>
            </w:pPr>
            <w:r>
              <w:rPr>
                <w:rFonts w:hint="eastAsia" w:ascii="宋体" w:hAnsi="宋体" w:cs="宋体"/>
                <w:bCs/>
                <w:szCs w:val="21"/>
              </w:rPr>
              <w:t>投标供应商之间相互约定给予未中标的供应商利益补偿。</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2</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不同投标供应商的法定代表人、主要经营负责人、项目投标授权代表人、项目负责人、主要技术人员为同一人、属于同一单位或者在同一单位缴纳社会保险。</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3</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4</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5</w:t>
            </w:r>
          </w:p>
        </w:tc>
        <w:tc>
          <w:tcPr>
            <w:tcW w:w="5995" w:type="dxa"/>
            <w:vAlign w:val="center"/>
          </w:tcPr>
          <w:p>
            <w:pPr>
              <w:jc w:val="left"/>
              <w:rPr>
                <w:rFonts w:ascii="宋体" w:hAnsi="宋体" w:cs="宋体"/>
                <w:snapToGrid w:val="0"/>
                <w:kern w:val="0"/>
                <w:szCs w:val="21"/>
              </w:rPr>
            </w:pPr>
            <w:r>
              <w:rPr>
                <w:szCs w:val="21"/>
              </w:rPr>
              <w:t>不同投标供应商的投标文件内容存在非正常一致。</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6</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7</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8</w:t>
            </w:r>
          </w:p>
        </w:tc>
        <w:tc>
          <w:tcPr>
            <w:tcW w:w="5995" w:type="dxa"/>
            <w:vAlign w:val="center"/>
          </w:tcPr>
          <w:p>
            <w:pPr>
              <w:jc w:val="left"/>
              <w:rPr>
                <w:rFonts w:ascii="宋体" w:hAnsi="宋体" w:cs="宋体"/>
                <w:snapToGrid w:val="0"/>
                <w:kern w:val="0"/>
                <w:szCs w:val="21"/>
              </w:rPr>
            </w:pPr>
            <w:r>
              <w:rPr>
                <w:rFonts w:hint="eastAsia" w:ascii="宋体" w:hAnsi="宋体" w:cs="宋体"/>
              </w:rPr>
              <w:t>不同投标人的投标报价呈规律性差异。</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9</w:t>
            </w:r>
          </w:p>
        </w:tc>
        <w:tc>
          <w:tcPr>
            <w:tcW w:w="5995" w:type="dxa"/>
            <w:vAlign w:val="center"/>
          </w:tcPr>
          <w:p>
            <w:pPr>
              <w:jc w:val="left"/>
              <w:rPr>
                <w:rFonts w:ascii="宋体" w:hAnsi="宋体" w:cs="宋体"/>
                <w:snapToGrid w:val="0"/>
                <w:kern w:val="0"/>
                <w:szCs w:val="21"/>
              </w:rPr>
            </w:pPr>
            <w:r>
              <w:rPr>
                <w:rFonts w:hint="eastAsia" w:ascii="宋体" w:hAnsi="宋体" w:cs="宋体"/>
              </w:rPr>
              <w:t>不同投标人的投标保证金从同一单位或者个人的账户转出。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10</w:t>
            </w:r>
          </w:p>
        </w:tc>
        <w:tc>
          <w:tcPr>
            <w:tcW w:w="5995" w:type="dxa"/>
            <w:vAlign w:val="center"/>
          </w:tcPr>
          <w:p>
            <w:pPr>
              <w:jc w:val="left"/>
              <w:rPr>
                <w:rFonts w:ascii="宋体" w:hAnsi="宋体" w:cs="宋体"/>
                <w:szCs w:val="21"/>
              </w:rPr>
            </w:pPr>
            <w:r>
              <w:rPr>
                <w:rFonts w:hint="eastAsia" w:ascii="宋体" w:hAnsi="宋体"/>
                <w:szCs w:val="21"/>
              </w:rPr>
              <w:t>投标人之间协商投标报价等投标文件的实质性内容。</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11</w:t>
            </w:r>
          </w:p>
        </w:tc>
        <w:tc>
          <w:tcPr>
            <w:tcW w:w="5995" w:type="dxa"/>
            <w:vAlign w:val="center"/>
          </w:tcPr>
          <w:p>
            <w:pPr>
              <w:jc w:val="left"/>
              <w:rPr>
                <w:rFonts w:ascii="宋体" w:hAnsi="宋体" w:cs="宋体"/>
                <w:szCs w:val="21"/>
              </w:rPr>
            </w:pPr>
            <w:r>
              <w:rPr>
                <w:rFonts w:hint="eastAsia" w:ascii="宋体" w:hAnsi="宋体"/>
                <w:szCs w:val="21"/>
              </w:rPr>
              <w:t>投标人之间约定中标人。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12</w:t>
            </w:r>
          </w:p>
        </w:tc>
        <w:tc>
          <w:tcPr>
            <w:tcW w:w="5995" w:type="dxa"/>
            <w:vAlign w:val="center"/>
          </w:tcPr>
          <w:p>
            <w:pPr>
              <w:jc w:val="left"/>
              <w:rPr>
                <w:rFonts w:ascii="宋体" w:hAnsi="宋体" w:cs="宋体"/>
                <w:szCs w:val="21"/>
              </w:rPr>
            </w:pPr>
            <w:r>
              <w:rPr>
                <w:rFonts w:hint="eastAsia" w:ascii="宋体" w:hAnsi="宋体"/>
                <w:szCs w:val="21"/>
              </w:rPr>
              <w:t>投标人之间约定部分投标人放弃投标或者中标。</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13</w:t>
            </w:r>
          </w:p>
        </w:tc>
        <w:tc>
          <w:tcPr>
            <w:tcW w:w="5995" w:type="dxa"/>
            <w:vAlign w:val="center"/>
          </w:tcPr>
          <w:p>
            <w:pPr>
              <w:jc w:val="left"/>
              <w:rPr>
                <w:rFonts w:ascii="宋体" w:hAnsi="宋体" w:cs="宋体"/>
                <w:szCs w:val="21"/>
              </w:rPr>
            </w:pPr>
            <w:r>
              <w:rPr>
                <w:rFonts w:hint="eastAsia" w:ascii="宋体" w:hAnsi="宋体"/>
                <w:szCs w:val="21"/>
              </w:rPr>
              <w:t>属于同一集团、协会、商会等组织成员的投标人按照该组织要求协同投标。</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14</w:t>
            </w:r>
          </w:p>
        </w:tc>
        <w:tc>
          <w:tcPr>
            <w:tcW w:w="5995" w:type="dxa"/>
            <w:vAlign w:val="center"/>
          </w:tcPr>
          <w:p>
            <w:pPr>
              <w:jc w:val="left"/>
              <w:rPr>
                <w:rFonts w:ascii="宋体" w:hAnsi="宋体" w:cs="宋体"/>
                <w:szCs w:val="21"/>
              </w:rPr>
            </w:pPr>
            <w:r>
              <w:rPr>
                <w:rFonts w:hint="eastAsia" w:ascii="宋体" w:hAnsi="宋体"/>
                <w:szCs w:val="21"/>
              </w:rPr>
              <w:t>投标人之间为谋取中标或者排斥特定投标人而采取的其他联合行动。</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15</w:t>
            </w:r>
          </w:p>
        </w:tc>
        <w:tc>
          <w:tcPr>
            <w:tcW w:w="5995" w:type="dxa"/>
            <w:vAlign w:val="center"/>
          </w:tcPr>
          <w:p>
            <w:pPr>
              <w:jc w:val="left"/>
              <w:rPr>
                <w:rFonts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16</w:t>
            </w:r>
          </w:p>
        </w:tc>
        <w:tc>
          <w:tcPr>
            <w:tcW w:w="5995" w:type="dxa"/>
            <w:vAlign w:val="center"/>
          </w:tcPr>
          <w:p>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17</w:t>
            </w:r>
          </w:p>
        </w:tc>
        <w:tc>
          <w:tcPr>
            <w:tcW w:w="5995" w:type="dxa"/>
            <w:vAlign w:val="center"/>
          </w:tcPr>
          <w:p>
            <w:pPr>
              <w:jc w:val="left"/>
              <w:rPr>
                <w:rFonts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18</w:t>
            </w:r>
          </w:p>
        </w:tc>
        <w:tc>
          <w:tcPr>
            <w:tcW w:w="5995" w:type="dxa"/>
            <w:vAlign w:val="center"/>
          </w:tcPr>
          <w:p>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19</w:t>
            </w:r>
          </w:p>
        </w:tc>
        <w:tc>
          <w:tcPr>
            <w:tcW w:w="5995" w:type="dxa"/>
            <w:vAlign w:val="center"/>
          </w:tcPr>
          <w:p>
            <w:pPr>
              <w:jc w:val="left"/>
              <w:rPr>
                <w:rFonts w:ascii="宋体" w:hAnsi="宋体" w:cs="宋体"/>
                <w:snapToGrid w:val="0"/>
                <w:kern w:val="0"/>
                <w:szCs w:val="21"/>
              </w:rPr>
            </w:pPr>
            <w:r>
              <w:rPr>
                <w:rFonts w:hint="eastAsia" w:ascii="宋体" w:hAnsi="宋体" w:cs="宋体"/>
                <w:szCs w:val="21"/>
              </w:rPr>
              <w:t>投标保证金不是从投标供应商基本账户转出。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20</w:t>
            </w:r>
          </w:p>
        </w:tc>
        <w:tc>
          <w:tcPr>
            <w:tcW w:w="5995" w:type="dxa"/>
            <w:vAlign w:val="center"/>
          </w:tcPr>
          <w:p>
            <w:pPr>
              <w:jc w:val="left"/>
              <w:rPr>
                <w:rFonts w:ascii="宋体" w:hAnsi="宋体" w:cs="宋体"/>
                <w:snapToGrid w:val="0"/>
                <w:kern w:val="0"/>
                <w:szCs w:val="21"/>
              </w:rPr>
            </w:pPr>
            <w:r>
              <w:rPr>
                <w:szCs w:val="21"/>
              </w:rPr>
              <w:t>其他隐瞒真实情况、提供虚假资料的行为。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bl>
    <w:p>
      <w:pPr>
        <w:spacing w:line="360" w:lineRule="auto"/>
        <w:jc w:val="left"/>
        <w:rPr>
          <w:rFonts w:ascii="宋体" w:hAnsi="宋体" w:cs="宋体"/>
          <w:szCs w:val="21"/>
        </w:rPr>
      </w:pPr>
      <w:r>
        <w:rPr>
          <w:rFonts w:hint="eastAsia" w:ascii="宋体" w:hAnsi="宋体" w:cs="宋体"/>
          <w:szCs w:val="21"/>
        </w:rPr>
        <w:t>注：投标供应商出现上述与其他采购参加人串通投标、隐瞒真实情况</w:t>
      </w:r>
      <w:r>
        <w:rPr>
          <w:rFonts w:hint="eastAsia" w:cs="宋体"/>
          <w:szCs w:val="21"/>
        </w:rPr>
        <w:t>或者</w:t>
      </w:r>
      <w:r>
        <w:rPr>
          <w:rFonts w:hint="eastAsia" w:ascii="宋体" w:hAnsi="宋体" w:cs="宋体"/>
          <w:szCs w:val="21"/>
        </w:rPr>
        <w:t>提供虚假资料行为的，将依法承担法律责任。</w:t>
      </w:r>
    </w:p>
    <w:p>
      <w:pPr>
        <w:pStyle w:val="22"/>
      </w:pPr>
    </w:p>
    <w:p>
      <w:pPr>
        <w:pStyle w:val="22"/>
        <w:ind w:firstLine="0" w:firstLineChars="0"/>
      </w:pPr>
    </w:p>
    <w:p>
      <w:pPr>
        <w:jc w:val="center"/>
        <w:rPr>
          <w:rFonts w:ascii="方正仿宋_GB2312" w:hAnsi="方正仿宋_GB2312" w:eastAsia="方正仿宋_GB2312" w:cs="方正仿宋_GB2312"/>
          <w:b/>
          <w:bCs/>
          <w:sz w:val="36"/>
          <w:szCs w:val="36"/>
        </w:rPr>
      </w:pPr>
      <w:r>
        <w:rPr>
          <w:rFonts w:ascii="方正仿宋_GB2312" w:hAnsi="方正仿宋_GB2312" w:eastAsia="方正仿宋_GB2312" w:cs="方正仿宋_GB2312"/>
          <w:b/>
          <w:bCs/>
          <w:sz w:val="36"/>
          <w:szCs w:val="36"/>
        </w:rPr>
        <w:t>第四章</w:t>
      </w:r>
      <w:r>
        <w:rPr>
          <w:rFonts w:hint="eastAsia" w:ascii="方正仿宋_GB2312" w:hAnsi="方正仿宋_GB2312" w:eastAsia="方正仿宋_GB2312" w:cs="方正仿宋_GB2312"/>
          <w:b/>
          <w:bCs/>
          <w:sz w:val="36"/>
          <w:szCs w:val="36"/>
        </w:rPr>
        <w:t xml:space="preserve">  投标须知</w:t>
      </w:r>
    </w:p>
    <w:p>
      <w:pPr>
        <w:pStyle w:val="3"/>
      </w:pPr>
    </w:p>
    <w:p>
      <w:pPr>
        <w:snapToGrid w:val="0"/>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（一）本项目的潜在供应商应在递交投标文件截止日之前到医院招采办报名投标。</w:t>
      </w:r>
    </w:p>
    <w:p>
      <w:pPr>
        <w:snapToGrid w:val="0"/>
        <w:spacing w:line="400" w:lineRule="exact"/>
        <w:ind w:firstLine="560" w:firstLineChars="200"/>
        <w:rPr>
          <w:rFonts w:ascii="仿宋" w:hAnsi="仿宋" w:eastAsia="仿宋" w:cs="仿宋"/>
          <w:b/>
          <w:bCs/>
          <w:sz w:val="28"/>
          <w:szCs w:val="28"/>
        </w:rPr>
      </w:pPr>
      <w:r>
        <w:rPr>
          <w:rFonts w:hint="eastAsia" w:ascii="仿宋" w:hAnsi="仿宋" w:eastAsia="仿宋" w:cs="仿宋"/>
          <w:sz w:val="28"/>
          <w:szCs w:val="28"/>
        </w:rPr>
        <w:t>（二）符合条件的供应商严格按照采购单位提供的招标文件，认真填写投标资料，并在规定时间内将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送达指定地点。投标单位法定代表人或授权代表人在规定的时间内未递交投标资料的，视为自动放弃。</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（三）院内公开招标有效投标的供应商不足三家，不得开标。</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（四）存在下列情形的，应予废标：</w:t>
      </w:r>
    </w:p>
    <w:p>
      <w:pPr>
        <w:snapToGrid w:val="0"/>
        <w:spacing w:line="400" w:lineRule="exact"/>
        <w:ind w:firstLine="638" w:firstLineChars="228"/>
        <w:rPr>
          <w:rFonts w:ascii="仿宋" w:hAnsi="仿宋" w:eastAsia="仿宋" w:cs="仿宋"/>
          <w:sz w:val="28"/>
          <w:szCs w:val="28"/>
        </w:rPr>
      </w:pPr>
      <w:r>
        <w:rPr>
          <w:rFonts w:hint="eastAsia" w:ascii="仿宋" w:hAnsi="仿宋" w:eastAsia="仿宋" w:cs="仿宋"/>
          <w:sz w:val="28"/>
          <w:szCs w:val="28"/>
        </w:rPr>
        <w:t>1.符合专业条件的供应商或者对招标文件作实质性响应的供应商不足三家的；</w:t>
      </w:r>
    </w:p>
    <w:p>
      <w:pPr>
        <w:snapToGrid w:val="0"/>
        <w:spacing w:line="400" w:lineRule="exact"/>
        <w:ind w:firstLine="638" w:firstLineChars="228"/>
        <w:rPr>
          <w:rFonts w:ascii="仿宋" w:hAnsi="仿宋" w:eastAsia="仿宋" w:cs="仿宋"/>
          <w:sz w:val="28"/>
          <w:szCs w:val="28"/>
        </w:rPr>
      </w:pPr>
      <w:r>
        <w:rPr>
          <w:rFonts w:hint="eastAsia" w:ascii="仿宋" w:hAnsi="仿宋" w:eastAsia="仿宋" w:cs="仿宋"/>
          <w:sz w:val="28"/>
          <w:szCs w:val="28"/>
        </w:rPr>
        <w:t>2.出现影响采购公正的违法、违规行为的；</w:t>
      </w:r>
    </w:p>
    <w:p>
      <w:pPr>
        <w:snapToGrid w:val="0"/>
        <w:spacing w:line="400" w:lineRule="exact"/>
        <w:ind w:firstLine="638" w:firstLineChars="228"/>
        <w:rPr>
          <w:rFonts w:ascii="仿宋" w:hAnsi="仿宋" w:eastAsia="仿宋" w:cs="仿宋"/>
          <w:sz w:val="28"/>
          <w:szCs w:val="28"/>
        </w:rPr>
      </w:pPr>
      <w:r>
        <w:rPr>
          <w:rFonts w:hint="eastAsia" w:ascii="仿宋" w:hAnsi="仿宋" w:eastAsia="仿宋" w:cs="仿宋"/>
          <w:sz w:val="28"/>
          <w:szCs w:val="28"/>
        </w:rPr>
        <w:t>3.投标人的报价均超过采购预算或最高限价，采购人不能支付的；</w:t>
      </w:r>
    </w:p>
    <w:p>
      <w:pPr>
        <w:snapToGrid w:val="0"/>
        <w:spacing w:line="400" w:lineRule="exact"/>
        <w:ind w:firstLine="638" w:firstLineChars="228"/>
        <w:rPr>
          <w:rFonts w:ascii="仿宋" w:hAnsi="仿宋" w:eastAsia="仿宋" w:cs="仿宋"/>
          <w:kern w:val="0"/>
          <w:sz w:val="28"/>
          <w:szCs w:val="28"/>
        </w:rPr>
      </w:pPr>
      <w:r>
        <w:rPr>
          <w:rFonts w:hint="eastAsia" w:ascii="仿宋" w:hAnsi="仿宋" w:eastAsia="仿宋" w:cs="仿宋"/>
          <w:sz w:val="28"/>
          <w:szCs w:val="28"/>
        </w:rPr>
        <w:t>4.因重大变故，采购任务取消的。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（五）投标文件有效期</w:t>
      </w:r>
    </w:p>
    <w:p>
      <w:pPr>
        <w:snapToGrid w:val="0"/>
        <w:spacing w:line="400" w:lineRule="exact"/>
        <w:ind w:firstLine="638" w:firstLineChars="228"/>
        <w:rPr>
          <w:rFonts w:ascii="仿宋" w:hAnsi="仿宋" w:eastAsia="仿宋" w:cs="仿宋"/>
          <w:sz w:val="28"/>
          <w:szCs w:val="28"/>
        </w:rPr>
      </w:pPr>
      <w:r>
        <w:rPr>
          <w:rFonts w:hint="eastAsia" w:ascii="仿宋" w:hAnsi="仿宋" w:eastAsia="仿宋" w:cs="仿宋"/>
          <w:sz w:val="28"/>
          <w:szCs w:val="28"/>
        </w:rPr>
        <w:t>1.在递交投标文件截止日期之后的60天内有效；</w:t>
      </w:r>
    </w:p>
    <w:p>
      <w:pPr>
        <w:snapToGrid w:val="0"/>
        <w:spacing w:line="400" w:lineRule="exact"/>
        <w:ind w:firstLine="638" w:firstLineChars="228"/>
        <w:rPr>
          <w:rFonts w:ascii="仿宋" w:hAnsi="仿宋" w:eastAsia="仿宋" w:cs="仿宋"/>
          <w:sz w:val="28"/>
          <w:szCs w:val="28"/>
        </w:rPr>
      </w:pPr>
      <w:r>
        <w:rPr>
          <w:rFonts w:hint="eastAsia" w:ascii="仿宋" w:hAnsi="仿宋" w:eastAsia="仿宋" w:cs="仿宋"/>
          <w:sz w:val="28"/>
          <w:szCs w:val="28"/>
        </w:rPr>
        <w:t>2.在原定投标文件有效期满之前，如果出现特殊情况，招采办可以书面形式向供应商提出延长投标文件有效期的要求。</w:t>
      </w:r>
    </w:p>
    <w:p>
      <w:pPr>
        <w:snapToGrid w:val="0"/>
        <w:spacing w:line="400" w:lineRule="exact"/>
        <w:ind w:firstLine="562" w:firstLineChars="20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二、需提供资料及标准</w:t>
      </w:r>
    </w:p>
    <w:p>
      <w:pPr>
        <w:snapToGrid w:val="0"/>
        <w:spacing w:line="400" w:lineRule="exact"/>
        <w:ind w:firstLine="560" w:firstLineChars="20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sz w:val="28"/>
          <w:szCs w:val="36"/>
        </w:rPr>
        <w:t>（一）投标文件的规定。投标文件</w:t>
      </w:r>
      <w:r>
        <w:rPr>
          <w:rFonts w:hint="eastAsia" w:ascii="方正仿宋_GB2312" w:hAnsi="方正仿宋_GB2312" w:eastAsia="方正仿宋_GB2312" w:cs="方正仿宋_GB2312"/>
          <w:b/>
          <w:bCs/>
          <w:sz w:val="28"/>
          <w:szCs w:val="36"/>
        </w:rPr>
        <w:t>须密封装袋</w:t>
      </w:r>
      <w:r>
        <w:rPr>
          <w:rFonts w:hint="eastAsia" w:ascii="方正仿宋_GB2312" w:hAnsi="方正仿宋_GB2312" w:eastAsia="方正仿宋_GB2312" w:cs="方正仿宋_GB2312"/>
          <w:sz w:val="28"/>
          <w:szCs w:val="36"/>
        </w:rPr>
        <w:t>，制作</w:t>
      </w:r>
      <w:r>
        <w:rPr>
          <w:rFonts w:hint="eastAsia" w:ascii="方正仿宋_GB2312" w:hAnsi="方正仿宋_GB2312" w:eastAsia="方正仿宋_GB2312" w:cs="方正仿宋_GB2312"/>
          <w:b/>
          <w:bCs/>
          <w:sz w:val="28"/>
          <w:szCs w:val="36"/>
        </w:rPr>
        <w:t>一本正本，2本副本（另：提交一本电子投标文件，用U盘拷贝，U盘不退还，并标明项目名称和公司名称）</w:t>
      </w:r>
      <w:r>
        <w:rPr>
          <w:rFonts w:hint="eastAsia" w:ascii="方正仿宋_GB2312" w:hAnsi="方正仿宋_GB2312" w:eastAsia="方正仿宋_GB2312" w:cs="方正仿宋_GB2312"/>
          <w:sz w:val="28"/>
          <w:szCs w:val="36"/>
        </w:rPr>
        <w:t>，每份投标文件必须装订且须在封面上清楚标明“</w:t>
      </w:r>
      <w:r>
        <w:rPr>
          <w:rFonts w:hint="eastAsia" w:ascii="方正仿宋_GB2312" w:hAnsi="方正仿宋_GB2312" w:eastAsia="方正仿宋_GB2312" w:cs="方正仿宋_GB2312"/>
          <w:b/>
          <w:bCs/>
          <w:sz w:val="28"/>
          <w:szCs w:val="36"/>
        </w:rPr>
        <w:t>正本</w:t>
      </w:r>
      <w:r>
        <w:rPr>
          <w:rFonts w:hint="eastAsia" w:ascii="方正仿宋_GB2312" w:hAnsi="方正仿宋_GB2312" w:eastAsia="方正仿宋_GB2312" w:cs="方正仿宋_GB2312"/>
          <w:sz w:val="28"/>
          <w:szCs w:val="36"/>
        </w:rPr>
        <w:t>”或“</w:t>
      </w:r>
      <w:r>
        <w:rPr>
          <w:rFonts w:hint="eastAsia" w:ascii="方正仿宋_GB2312" w:hAnsi="方正仿宋_GB2312" w:eastAsia="方正仿宋_GB2312" w:cs="方正仿宋_GB2312"/>
          <w:b/>
          <w:bCs/>
          <w:sz w:val="28"/>
          <w:szCs w:val="36"/>
        </w:rPr>
        <w:t>副本</w:t>
      </w:r>
      <w:r>
        <w:rPr>
          <w:rFonts w:hint="eastAsia" w:ascii="方正仿宋_GB2312" w:hAnsi="方正仿宋_GB2312" w:eastAsia="方正仿宋_GB2312" w:cs="方正仿宋_GB2312"/>
          <w:sz w:val="28"/>
          <w:szCs w:val="36"/>
        </w:rPr>
        <w:t>”字样。一旦正本与副本不符，以正本为准。 投标文件不得涂改和增删，如要修改错漏处，必须由同一签署人</w:t>
      </w:r>
      <w:r>
        <w:rPr>
          <w:rFonts w:hint="eastAsia" w:ascii="方正仿宋_GB2312" w:hAnsi="方正仿宋_GB2312" w:eastAsia="方正仿宋_GB2312" w:cs="方正仿宋_GB2312"/>
          <w:b/>
          <w:bCs/>
          <w:sz w:val="28"/>
          <w:szCs w:val="36"/>
        </w:rPr>
        <w:t>在修改处签字或盖章</w:t>
      </w:r>
      <w:r>
        <w:rPr>
          <w:rFonts w:hint="eastAsia" w:ascii="方正仿宋_GB2312" w:hAnsi="方正仿宋_GB2312" w:eastAsia="方正仿宋_GB2312" w:cs="方正仿宋_GB2312"/>
          <w:sz w:val="28"/>
          <w:szCs w:val="36"/>
        </w:rPr>
        <w:t>。</w:t>
      </w:r>
    </w:p>
    <w:p>
      <w:pPr>
        <w:spacing w:line="400" w:lineRule="exact"/>
        <w:ind w:firstLine="562" w:firstLineChars="20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（二）提供本项目开标一览表一份，开标一览表须加盖公章并单独密封，供应商须在开标一览表上签名确认。</w:t>
      </w:r>
    </w:p>
    <w:p>
      <w:pPr>
        <w:spacing w:line="400" w:lineRule="exact"/>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（三）资料封面注有公司名称、地址、联系人、手机号码、办公电话和邮箱地址。</w:t>
      </w:r>
    </w:p>
    <w:p>
      <w:pPr>
        <w:numPr>
          <w:ilvl w:val="255"/>
          <w:numId w:val="0"/>
        </w:numPr>
        <w:snapToGrid w:val="0"/>
        <w:spacing w:line="400" w:lineRule="exact"/>
        <w:ind w:left="-5" w:firstLine="560" w:firstLineChars="200"/>
        <w:jc w:val="left"/>
        <w:rPr>
          <w:rFonts w:ascii="方正仿宋_GB2312" w:hAnsi="方正仿宋_GB2312" w:eastAsia="方正仿宋_GB2312" w:cs="方正仿宋_GB2312"/>
          <w:snapToGrid w:val="0"/>
          <w:kern w:val="144"/>
          <w:sz w:val="28"/>
          <w:szCs w:val="28"/>
        </w:rPr>
      </w:pPr>
      <w:r>
        <w:rPr>
          <w:rFonts w:hint="eastAsia" w:ascii="方正仿宋_GB2312" w:hAnsi="方正仿宋_GB2312" w:eastAsia="方正仿宋_GB2312" w:cs="方正仿宋_GB2312"/>
          <w:snapToGrid w:val="0"/>
          <w:kern w:val="144"/>
          <w:sz w:val="28"/>
          <w:szCs w:val="28"/>
        </w:rPr>
        <w:t>1.所有资料要有封面、目录、页码、装订成册。</w:t>
      </w:r>
    </w:p>
    <w:p>
      <w:pPr>
        <w:numPr>
          <w:ilvl w:val="255"/>
          <w:numId w:val="0"/>
        </w:numPr>
        <w:snapToGrid w:val="0"/>
        <w:spacing w:line="400" w:lineRule="exact"/>
        <w:ind w:left="-5" w:firstLine="560" w:firstLineChars="200"/>
        <w:jc w:val="left"/>
        <w:rPr>
          <w:rFonts w:ascii="方正仿宋_GB2312" w:hAnsi="方正仿宋_GB2312" w:eastAsia="方正仿宋_GB2312" w:cs="方正仿宋_GB2312"/>
          <w:snapToGrid w:val="0"/>
          <w:kern w:val="144"/>
          <w:sz w:val="28"/>
          <w:szCs w:val="28"/>
        </w:rPr>
      </w:pPr>
      <w:r>
        <w:rPr>
          <w:rFonts w:hint="eastAsia" w:ascii="方正仿宋_GB2312" w:hAnsi="方正仿宋_GB2312" w:eastAsia="方正仿宋_GB2312" w:cs="方正仿宋_GB2312"/>
          <w:snapToGrid w:val="0"/>
          <w:kern w:val="144"/>
          <w:sz w:val="28"/>
          <w:szCs w:val="28"/>
        </w:rPr>
        <w:t>2.所有资料</w:t>
      </w:r>
      <w:r>
        <w:rPr>
          <w:rFonts w:hint="eastAsia" w:ascii="方正仿宋_GB2312" w:hAnsi="方正仿宋_GB2312" w:eastAsia="方正仿宋_GB2312" w:cs="方正仿宋_GB2312"/>
          <w:b/>
          <w:bCs/>
          <w:snapToGrid w:val="0"/>
          <w:kern w:val="144"/>
          <w:sz w:val="28"/>
          <w:szCs w:val="28"/>
        </w:rPr>
        <w:t>每页须加盖公章</w:t>
      </w:r>
      <w:r>
        <w:rPr>
          <w:rFonts w:hint="eastAsia" w:ascii="方正仿宋_GB2312" w:hAnsi="方正仿宋_GB2312" w:eastAsia="方正仿宋_GB2312" w:cs="方正仿宋_GB2312"/>
          <w:snapToGrid w:val="0"/>
          <w:kern w:val="144"/>
          <w:sz w:val="28"/>
          <w:szCs w:val="28"/>
        </w:rPr>
        <w:t>。</w:t>
      </w:r>
    </w:p>
    <w:p>
      <w:pPr>
        <w:numPr>
          <w:ilvl w:val="255"/>
          <w:numId w:val="0"/>
        </w:numPr>
        <w:snapToGrid w:val="0"/>
        <w:spacing w:line="400" w:lineRule="exact"/>
        <w:ind w:left="-5" w:firstLine="560" w:firstLineChars="200"/>
        <w:jc w:val="left"/>
        <w:rPr>
          <w:rFonts w:ascii="方正仿宋_GB2312" w:hAnsi="方正仿宋_GB2312" w:eastAsia="方正仿宋_GB2312" w:cs="方正仿宋_GB2312"/>
          <w:snapToGrid w:val="0"/>
          <w:kern w:val="144"/>
          <w:sz w:val="28"/>
          <w:szCs w:val="28"/>
        </w:rPr>
      </w:pPr>
      <w:r>
        <w:rPr>
          <w:rFonts w:hint="eastAsia" w:ascii="方正仿宋_GB2312" w:hAnsi="方正仿宋_GB2312" w:eastAsia="方正仿宋_GB2312" w:cs="方正仿宋_GB2312"/>
          <w:snapToGrid w:val="0"/>
          <w:kern w:val="144"/>
          <w:sz w:val="28"/>
          <w:szCs w:val="28"/>
        </w:rPr>
        <w:t>3.所有资料须</w:t>
      </w:r>
      <w:r>
        <w:rPr>
          <w:rFonts w:hint="eastAsia" w:ascii="方正仿宋_GB2312" w:hAnsi="方正仿宋_GB2312" w:eastAsia="方正仿宋_GB2312" w:cs="方正仿宋_GB2312"/>
          <w:b/>
          <w:bCs/>
          <w:snapToGrid w:val="0"/>
          <w:kern w:val="144"/>
          <w:sz w:val="28"/>
          <w:szCs w:val="28"/>
        </w:rPr>
        <w:t>密封并加盖公章</w:t>
      </w:r>
      <w:r>
        <w:rPr>
          <w:rFonts w:hint="eastAsia" w:ascii="方正仿宋_GB2312" w:hAnsi="方正仿宋_GB2312" w:eastAsia="方正仿宋_GB2312" w:cs="方正仿宋_GB2312"/>
          <w:snapToGrid w:val="0"/>
          <w:kern w:val="144"/>
          <w:sz w:val="28"/>
          <w:szCs w:val="28"/>
        </w:rPr>
        <w:t>。</w:t>
      </w:r>
    </w:p>
    <w:p>
      <w:pPr>
        <w:snapToGrid w:val="0"/>
        <w:spacing w:line="400" w:lineRule="exact"/>
        <w:ind w:firstLine="560" w:firstLineChars="200"/>
        <w:rPr>
          <w:rFonts w:ascii="方正仿宋_GB2312" w:hAnsi="方正仿宋_GB2312" w:eastAsia="方正仿宋_GB2312" w:cs="方正仿宋_GB2312"/>
          <w:snapToGrid w:val="0"/>
          <w:kern w:val="144"/>
          <w:sz w:val="28"/>
          <w:szCs w:val="28"/>
        </w:rPr>
      </w:pPr>
      <w:r>
        <w:rPr>
          <w:rFonts w:hint="eastAsia" w:ascii="方正仿宋_GB2312" w:hAnsi="方正仿宋_GB2312" w:eastAsia="方正仿宋_GB2312" w:cs="方正仿宋_GB2312"/>
          <w:snapToGrid w:val="0"/>
          <w:kern w:val="144"/>
          <w:sz w:val="28"/>
          <w:szCs w:val="28"/>
        </w:rPr>
        <w:t>（四）携带完整资料到招采办报名登记好公司名称、业务代表姓名、联系电话及提供的产品项目。</w:t>
      </w:r>
    </w:p>
    <w:p>
      <w:pPr>
        <w:snapToGrid w:val="0"/>
        <w:spacing w:line="400" w:lineRule="exact"/>
        <w:ind w:firstLine="560" w:firstLineChars="200"/>
        <w:rPr>
          <w:rFonts w:ascii="方正仿宋_GB2312" w:hAnsi="方正仿宋_GB2312" w:eastAsia="方正仿宋_GB2312" w:cs="方正仿宋_GB2312"/>
          <w:snapToGrid w:val="0"/>
          <w:kern w:val="144"/>
          <w:sz w:val="28"/>
          <w:szCs w:val="28"/>
        </w:rPr>
      </w:pPr>
      <w:r>
        <w:rPr>
          <w:rFonts w:hint="eastAsia" w:ascii="方正仿宋_GB2312" w:hAnsi="方正仿宋_GB2312" w:eastAsia="方正仿宋_GB2312" w:cs="方正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院内公开采购活动。</w:t>
      </w:r>
    </w:p>
    <w:p>
      <w:pPr>
        <w:snapToGrid w:val="0"/>
        <w:spacing w:line="400" w:lineRule="exact"/>
        <w:ind w:firstLine="560" w:firstLineChars="200"/>
        <w:rPr>
          <w:rFonts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（六）投标人的产品质量及服务承诺书不能严重低于招标文件中的服务要求标准作出响应，允许出现负偏差，但不得出现严重负偏差。</w:t>
      </w:r>
    </w:p>
    <w:p>
      <w:pPr>
        <w:snapToGrid w:val="0"/>
        <w:spacing w:line="400" w:lineRule="exact"/>
        <w:ind w:firstLine="560" w:firstLineChars="20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sz w:val="28"/>
          <w:szCs w:val="36"/>
        </w:rPr>
        <w:t>（七）评审结束，中标结果公示3天，中标供应商须在收到我院中标通知书后</w:t>
      </w:r>
      <w:r>
        <w:rPr>
          <w:rFonts w:hint="eastAsia" w:ascii="方正仿宋_GB2312" w:hAnsi="方正仿宋_GB2312" w:eastAsia="方正仿宋_GB2312" w:cs="方正仿宋_GB2312"/>
          <w:b/>
          <w:bCs/>
          <w:sz w:val="28"/>
          <w:szCs w:val="36"/>
        </w:rPr>
        <w:t>10个工作日内</w:t>
      </w:r>
      <w:r>
        <w:rPr>
          <w:rFonts w:hint="eastAsia" w:ascii="方正仿宋_GB2312" w:hAnsi="方正仿宋_GB2312" w:eastAsia="方正仿宋_GB2312" w:cs="方正仿宋_GB2312"/>
          <w:sz w:val="28"/>
          <w:szCs w:val="36"/>
        </w:rPr>
        <w:t>到我院签署合同，超过</w:t>
      </w:r>
      <w:r>
        <w:rPr>
          <w:rFonts w:hint="eastAsia" w:ascii="方正仿宋_GB2312" w:hAnsi="方正仿宋_GB2312" w:eastAsia="方正仿宋_GB2312" w:cs="方正仿宋_GB2312"/>
          <w:b/>
          <w:bCs/>
          <w:sz w:val="28"/>
          <w:szCs w:val="36"/>
        </w:rPr>
        <w:t>10个工作日</w:t>
      </w:r>
      <w:r>
        <w:rPr>
          <w:rFonts w:hint="eastAsia" w:ascii="方正仿宋_GB2312" w:hAnsi="方正仿宋_GB2312" w:eastAsia="方正仿宋_GB2312" w:cs="方正仿宋_GB2312"/>
          <w:sz w:val="28"/>
          <w:szCs w:val="36"/>
        </w:rPr>
        <w:t>未前来签订合同的，我院有权宣布本次采购结果作废，重新确定供应商。</w:t>
      </w:r>
    </w:p>
    <w:p>
      <w:pPr>
        <w:snapToGrid w:val="0"/>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三、招标文件的澄清</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（一）投标人在收到招标文件后，可以对已发出的招标文件进行必要的澄清或者修改。澄清或者修改应当在原公告发布媒体上发布澄清（更正/变更）公告。</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（三）采购人发出的澄清或修改（更正/变更）的内容为招标文件的组成部分，并对供应商具有约束力。</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snapToGrid w:val="0"/>
        <w:spacing w:line="400" w:lineRule="exact"/>
        <w:ind w:firstLine="562" w:firstLineChars="200"/>
        <w:rPr>
          <w:rFonts w:ascii="仿宋" w:hAnsi="仿宋" w:eastAsia="仿宋" w:cs="仿宋"/>
          <w:sz w:val="28"/>
          <w:szCs w:val="28"/>
        </w:rPr>
      </w:pPr>
      <w:r>
        <w:rPr>
          <w:rFonts w:hint="eastAsia" w:ascii="仿宋" w:hAnsi="仿宋" w:eastAsia="仿宋" w:cs="仿宋"/>
          <w:b/>
          <w:bCs/>
          <w:sz w:val="28"/>
          <w:szCs w:val="28"/>
        </w:rPr>
        <w:t>四、招标文件的补充和修正</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（一）采购人可以对已发出的招标文件进行必要的澄清或者修改。澄清或者修改应当在原公告发布媒体上发布澄清（更正/变更）公告。</w:t>
      </w:r>
    </w:p>
    <w:p>
      <w:pPr>
        <w:pStyle w:val="3"/>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w:t>
      </w:r>
      <w:r>
        <w:rPr>
          <w:rFonts w:ascii="仿宋" w:hAnsi="仿宋" w:eastAsia="仿宋" w:cs="仿宋"/>
          <w:sz w:val="28"/>
          <w:szCs w:val="28"/>
        </w:rPr>
        <w:t>采购人对招标文件的补充和修正，将以电子文件等方式发给所有获得招标文件的供应商，补充通知作为招标文件的组成部分，对同意参与招标单位起约束作用。</w:t>
      </w:r>
    </w:p>
    <w:p>
      <w:pPr>
        <w:snapToGrid w:val="0"/>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五、投标文件有效期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（一）在递交投标文件截止日期之后的60天内有效。</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（二）在原定投标文件有效期满之前，如果出现特殊情况，招采办可以书面形式向投标人提出延长投标文件有效期的要求。</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（三）质疑期限：凡对招标文件有任何质疑的（包括认为招标文件的技术指标或参数存在排他性或歧视性条款），请于开标之日前提出疑问，逾期不予处理。</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（四）招采办将作出澄清和解答，逾期未提交质疑文件的视同无问题。</w:t>
      </w:r>
    </w:p>
    <w:p>
      <w:pPr>
        <w:snapToGrid w:val="0"/>
        <w:spacing w:line="400" w:lineRule="exact"/>
        <w:ind w:firstLine="560" w:firstLineChars="200"/>
        <w:rPr>
          <w:rFonts w:ascii="仿宋" w:hAnsi="仿宋" w:eastAsia="仿宋" w:cs="仿宋"/>
          <w:sz w:val="28"/>
          <w:szCs w:val="28"/>
        </w:rPr>
      </w:pPr>
    </w:p>
    <w:p>
      <w:pPr>
        <w:snapToGrid w:val="0"/>
        <w:spacing w:line="400" w:lineRule="exact"/>
        <w:ind w:firstLine="560" w:firstLineChars="200"/>
        <w:rPr>
          <w:rFonts w:ascii="仿宋" w:hAnsi="仿宋" w:eastAsia="仿宋" w:cs="仿宋"/>
          <w:sz w:val="28"/>
          <w:szCs w:val="28"/>
        </w:rPr>
      </w:pPr>
    </w:p>
    <w:p>
      <w:pPr>
        <w:snapToGrid w:val="0"/>
        <w:spacing w:line="400" w:lineRule="exact"/>
        <w:ind w:firstLine="560" w:firstLineChars="200"/>
        <w:rPr>
          <w:rFonts w:ascii="仿宋" w:hAnsi="仿宋" w:eastAsia="仿宋" w:cs="仿宋"/>
          <w:sz w:val="28"/>
          <w:szCs w:val="28"/>
        </w:rPr>
      </w:pPr>
    </w:p>
    <w:p>
      <w:pPr>
        <w:snapToGrid w:val="0"/>
        <w:spacing w:line="400" w:lineRule="exact"/>
        <w:ind w:firstLine="560" w:firstLineChars="200"/>
        <w:rPr>
          <w:rFonts w:ascii="仿宋" w:hAnsi="仿宋" w:eastAsia="仿宋" w:cs="仿宋"/>
          <w:sz w:val="28"/>
          <w:szCs w:val="28"/>
        </w:rPr>
        <w:sectPr>
          <w:footerReference r:id="rId3" w:type="default"/>
          <w:pgSz w:w="11906" w:h="16838"/>
          <w:pgMar w:top="1440" w:right="1576" w:bottom="1440" w:left="1576" w:header="851" w:footer="992" w:gutter="0"/>
          <w:cols w:space="425" w:num="1"/>
          <w:docGrid w:type="lines" w:linePitch="312" w:charSpace="0"/>
        </w:sectPr>
      </w:pPr>
    </w:p>
    <w:p>
      <w:pPr>
        <w:jc w:val="center"/>
        <w:outlineLvl w:val="0"/>
        <w:rPr>
          <w:rFonts w:ascii="宋体" w:hAnsi="宋体"/>
          <w:sz w:val="24"/>
        </w:rPr>
      </w:pPr>
      <w:bookmarkStart w:id="4" w:name="_Toc20472"/>
      <w:r>
        <w:rPr>
          <w:rFonts w:hint="eastAsia" w:asciiTheme="minorEastAsia" w:hAnsiTheme="minorEastAsia" w:eastAsiaTheme="minorEastAsia"/>
          <w:b/>
          <w:bCs/>
          <w:sz w:val="44"/>
          <w:szCs w:val="44"/>
        </w:rPr>
        <w:t>特别警示条款</w:t>
      </w:r>
      <w:bookmarkEnd w:id="4"/>
    </w:p>
    <w:p>
      <w:pPr>
        <w:snapToGrid w:val="0"/>
        <w:spacing w:line="400" w:lineRule="exact"/>
        <w:ind w:firstLine="560" w:firstLineChars="200"/>
        <w:rPr>
          <w:rFonts w:ascii="仿宋" w:hAnsi="仿宋" w:eastAsia="仿宋" w:cs="仿宋"/>
          <w:sz w:val="28"/>
          <w:szCs w:val="28"/>
        </w:rPr>
      </w:pPr>
      <w:bookmarkStart w:id="5" w:name="_Toc16742"/>
      <w:bookmarkStart w:id="6" w:name="_Toc28128"/>
      <w:bookmarkStart w:id="7" w:name="_Toc4719"/>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一、《深圳经济特区政府采购条例》</w:t>
      </w:r>
      <w:bookmarkEnd w:id="5"/>
      <w:bookmarkEnd w:id="6"/>
      <w:bookmarkEnd w:id="7"/>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（一）在采购活动中应当回避而未回避的；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（二）未按本条例规定签订、履行采购合同，造成严重后果的；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（三）隐瞒真实情况，提供虚假资料的；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（四）以非法手段排斥其他供应商参与竞争的；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（五）与其他采购参加人串通投标的；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（六）恶意投诉的；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（七）向采购项目相关人行贿或者提供其他不当利益的；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（八）阻碍、抗拒主管部门监督检查的；</w:t>
      </w:r>
    </w:p>
    <w:p>
      <w:pPr>
        <w:snapToGrid w:val="0"/>
        <w:spacing w:line="400" w:lineRule="exact"/>
        <w:ind w:firstLine="560" w:firstLineChars="200"/>
        <w:rPr>
          <w:rFonts w:ascii="仿宋" w:hAnsi="仿宋" w:eastAsia="仿宋"/>
          <w:sz w:val="28"/>
          <w:szCs w:val="28"/>
        </w:rPr>
      </w:pPr>
      <w:r>
        <w:rPr>
          <w:rFonts w:hint="eastAsia" w:ascii="仿宋" w:hAnsi="仿宋" w:eastAsia="仿宋" w:cs="仿宋"/>
          <w:sz w:val="28"/>
          <w:szCs w:val="28"/>
        </w:rPr>
        <w:t>（九）其他违反本条例规定的行为。</w:t>
      </w:r>
    </w:p>
    <w:p>
      <w:pPr>
        <w:snapToGrid w:val="0"/>
        <w:spacing w:line="400" w:lineRule="exact"/>
        <w:ind w:firstLine="560" w:firstLineChars="200"/>
        <w:rPr>
          <w:rFonts w:ascii="仿宋" w:hAnsi="仿宋" w:eastAsia="仿宋" w:cs="仿宋"/>
          <w:sz w:val="28"/>
          <w:szCs w:val="28"/>
        </w:rPr>
      </w:pPr>
      <w:bookmarkStart w:id="8" w:name="_Toc4026"/>
      <w:bookmarkStart w:id="9" w:name="_Toc17680"/>
      <w:bookmarkStart w:id="10" w:name="_Toc6288"/>
      <w:r>
        <w:rPr>
          <w:rFonts w:hint="eastAsia" w:ascii="仿宋" w:hAnsi="仿宋" w:eastAsia="仿宋" w:cs="仿宋"/>
          <w:sz w:val="28"/>
          <w:szCs w:val="28"/>
        </w:rPr>
        <w:t>二、《深圳经济特区政府采购条例实施细则》</w:t>
      </w:r>
      <w:bookmarkEnd w:id="8"/>
      <w:bookmarkEnd w:id="9"/>
      <w:bookmarkEnd w:id="10"/>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第七十五条  供应商有下列情形的，属于采购条例所称的串通投标行为，按照采购条例第五十七条有关规定处理：</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（一）投标供应商之间相互约定给予未中标的供应商利益补偿；</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（二）不同投标供应商的法定代表人、主要经营负责人、项目投标授权代表人、项目负责人、主要技术人员为同一人、属于同一单位或者在同一单位缴纳社会保险；</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（七）主管部门依照法律法规认定的其他情形。</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第七十七条  供应商有下列情形之一的，属于隐瞒真实情况，提供虚假资料，按照采购条例第五十七条的有关规定处理：</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（五）其他隐瞒真实情况、提供虚假资料的行为。</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投标供应商不能提供项目负责人或者主要技术人员的劳动合同、社会保险等劳动关系证明材料的，视为存在前款第（三）项规定的情形。</w:t>
      </w:r>
    </w:p>
    <w:p>
      <w:pPr>
        <w:snapToGrid w:val="0"/>
        <w:spacing w:line="400" w:lineRule="exact"/>
        <w:ind w:firstLine="560" w:firstLineChars="200"/>
        <w:rPr>
          <w:rFonts w:ascii="仿宋" w:hAnsi="仿宋" w:eastAsia="仿宋" w:cs="仿宋"/>
          <w:sz w:val="28"/>
          <w:szCs w:val="28"/>
        </w:rPr>
      </w:pPr>
      <w:bookmarkStart w:id="11" w:name="_Toc5544"/>
      <w:bookmarkStart w:id="12" w:name="_Toc13409"/>
      <w:bookmarkStart w:id="13" w:name="_Toc12769"/>
      <w:r>
        <w:rPr>
          <w:rFonts w:hint="eastAsia" w:ascii="仿宋" w:hAnsi="仿宋" w:eastAsia="仿宋" w:cs="仿宋"/>
          <w:sz w:val="28"/>
          <w:szCs w:val="28"/>
        </w:rPr>
        <w:t>三、《中华人民共和国政府采购法实施条例》</w:t>
      </w:r>
      <w:bookmarkEnd w:id="11"/>
      <w:bookmarkEnd w:id="12"/>
      <w:bookmarkEnd w:id="13"/>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第十八条  单位负责人为同一人或者存在直接控股、管理关系的不同供应商，不得参加同一合同项下的政府采购活动。</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除单一来源采购项目外，为采购项目提供整体设计、规范编制或者项目管理、监理、检测等服务的供应商，不得再参加该采购项目的其他采购活动。</w:t>
      </w:r>
    </w:p>
    <w:p>
      <w:pPr>
        <w:autoSpaceDE w:val="0"/>
        <w:autoSpaceDN w:val="0"/>
        <w:spacing w:line="320" w:lineRule="exact"/>
        <w:ind w:firstLine="498" w:firstLineChars="177"/>
        <w:rPr>
          <w:rFonts w:ascii="方正仿宋_GB2312" w:eastAsia="方正仿宋_GB2312" w:hAnsiTheme="minorEastAsia"/>
          <w:b/>
          <w:sz w:val="28"/>
        </w:rPr>
      </w:pPr>
      <w:r>
        <w:rPr>
          <w:rFonts w:hint="eastAsia" w:ascii="方正仿宋_GB2312" w:eastAsia="方正仿宋_GB2312" w:hAnsiTheme="minorEastAsia"/>
          <w:b/>
          <w:sz w:val="28"/>
          <w:szCs w:val="28"/>
        </w:rPr>
        <w:t>投标供应商涉嫌存在串通投标等违法行为的，将书面报告财政主管部门依法处理。</w:t>
      </w: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rPr>
          <w:rFonts w:ascii="仿宋" w:hAnsi="仿宋" w:eastAsia="仿宋" w:cs="仿宋"/>
          <w:sz w:val="44"/>
          <w:szCs w:val="44"/>
        </w:rPr>
      </w:pPr>
    </w:p>
    <w:p>
      <w:pPr>
        <w:spacing w:line="560" w:lineRule="exact"/>
        <w:ind w:left="2882"/>
      </w:pPr>
      <w:r>
        <w:rPr>
          <w:rFonts w:hint="eastAsia" w:ascii="仿宋" w:hAnsi="仿宋" w:eastAsia="仿宋" w:cs="仿宋"/>
          <w:sz w:val="44"/>
          <w:szCs w:val="44"/>
        </w:rPr>
        <w:t>第五章  供应商标书</w:t>
      </w:r>
    </w:p>
    <w:tbl>
      <w:tblPr>
        <w:tblStyle w:val="14"/>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ascii="仿宋" w:hAnsi="仿宋" w:eastAsia="仿宋" w:cs="仿宋"/>
                <w:b/>
                <w:bCs/>
                <w:sz w:val="96"/>
                <w:szCs w:val="96"/>
              </w:rPr>
            </w:pPr>
          </w:p>
          <w:p>
            <w:pPr>
              <w:jc w:val="center"/>
              <w:rPr>
                <w:rFonts w:ascii="仿宋" w:hAnsi="仿宋" w:eastAsia="仿宋" w:cs="仿宋"/>
                <w:sz w:val="72"/>
                <w:szCs w:val="72"/>
              </w:rPr>
            </w:pPr>
            <w:r>
              <w:rPr>
                <w:rFonts w:hint="eastAsia" w:ascii="仿宋" w:hAnsi="仿宋" w:eastAsia="仿宋" w:cs="仿宋"/>
                <w:b/>
                <w:bCs/>
                <w:sz w:val="96"/>
                <w:szCs w:val="96"/>
              </w:rPr>
              <w:t>投标书</w:t>
            </w:r>
          </w:p>
          <w:p>
            <w:pPr>
              <w:rPr>
                <w:rFonts w:ascii="仿宋" w:hAnsi="仿宋" w:eastAsia="仿宋" w:cs="仿宋"/>
                <w:sz w:val="72"/>
                <w:szCs w:val="72"/>
              </w:rPr>
            </w:pPr>
          </w:p>
          <w:p>
            <w:pPr>
              <w:snapToGrid w:val="0"/>
              <w:spacing w:line="360" w:lineRule="auto"/>
              <w:rPr>
                <w:rFonts w:hint="default" w:ascii="方正仿宋_GB2312" w:hAnsi="方正仿宋_GB2312" w:eastAsia="方正仿宋_GB2312" w:cs="方正仿宋_GB2312"/>
                <w:sz w:val="44"/>
                <w:szCs w:val="44"/>
                <w:lang w:val="en-US" w:eastAsia="zh-CN"/>
              </w:rPr>
            </w:pPr>
            <w:r>
              <w:rPr>
                <w:rFonts w:hint="eastAsia"/>
                <w:sz w:val="36"/>
                <w:szCs w:val="36"/>
              </w:rPr>
              <w:t>项目名称：</w:t>
            </w:r>
            <w:r>
              <w:rPr>
                <w:rFonts w:hint="eastAsia" w:ascii="方正仿宋_GB2312" w:hAnsi="方正仿宋_GB2312" w:eastAsia="方正仿宋_GB2312" w:cs="方正仿宋_GB2312"/>
                <w:sz w:val="36"/>
                <w:szCs w:val="36"/>
              </w:rPr>
              <w:t>深圳市龙岗区第七人民医院</w:t>
            </w:r>
            <w:r>
              <w:rPr>
                <w:rFonts w:hint="eastAsia" w:ascii="方正仿宋_GB2312" w:hAnsi="方正仿宋_GB2312" w:eastAsia="方正仿宋_GB2312" w:cs="方正仿宋_GB2312"/>
                <w:sz w:val="36"/>
                <w:szCs w:val="36"/>
                <w:lang w:val="en-US" w:eastAsia="zh-CN"/>
              </w:rPr>
              <w:t>基本公共卫生服务短信通知服务项目</w:t>
            </w:r>
          </w:p>
          <w:p>
            <w:pPr>
              <w:pStyle w:val="23"/>
              <w:spacing w:line="480" w:lineRule="exact"/>
              <w:ind w:firstLine="0" w:firstLineChars="0"/>
              <w:jc w:val="center"/>
              <w:rPr>
                <w:rFonts w:ascii="方正仿宋_GB2312" w:hAnsi="方正仿宋_GB2312" w:eastAsia="方正仿宋_GB2312" w:cs="方正仿宋_GB2312"/>
                <w:sz w:val="36"/>
                <w:szCs w:val="36"/>
                <w:highlight w:val="none"/>
              </w:rPr>
            </w:pPr>
            <w:r>
              <w:rPr>
                <w:rFonts w:hint="eastAsia" w:ascii="方正仿宋_GB2312" w:hAnsi="方正仿宋_GB2312" w:eastAsia="方正仿宋_GB2312" w:cs="方正仿宋_GB2312"/>
                <w:sz w:val="44"/>
                <w:szCs w:val="44"/>
                <w:highlight w:val="none"/>
              </w:rPr>
              <w:t>（</w:t>
            </w:r>
            <w:r>
              <w:rPr>
                <w:rFonts w:hint="eastAsia" w:ascii="仿宋_GB2312" w:hAnsi="仿宋_GB2312" w:eastAsia="仿宋_GB2312" w:cs="仿宋_GB2312"/>
                <w:sz w:val="36"/>
                <w:szCs w:val="36"/>
                <w:highlight w:val="none"/>
              </w:rPr>
              <w:t>深龙七医采[</w:t>
            </w:r>
            <w:r>
              <w:rPr>
                <w:rFonts w:hint="eastAsia" w:ascii="仿宋_GB2312" w:hAnsi="仿宋_GB2312" w:eastAsia="仿宋_GB2312" w:cs="仿宋_GB2312"/>
                <w:sz w:val="36"/>
                <w:szCs w:val="36"/>
                <w:highlight w:val="none"/>
                <w:lang w:eastAsia="zh-CN"/>
              </w:rPr>
              <w:t>LGQY2026XX00</w:t>
            </w:r>
            <w:r>
              <w:rPr>
                <w:rFonts w:hint="eastAsia" w:ascii="仿宋_GB2312" w:hAnsi="仿宋_GB2312" w:eastAsia="仿宋_GB2312" w:cs="仿宋_GB2312"/>
                <w:sz w:val="36"/>
                <w:szCs w:val="36"/>
                <w:highlight w:val="none"/>
                <w:lang w:val="en-US" w:eastAsia="zh-CN"/>
              </w:rPr>
              <w:t>3</w:t>
            </w:r>
            <w:r>
              <w:rPr>
                <w:rFonts w:hint="eastAsia" w:ascii="仿宋_GB2312" w:hAnsi="仿宋_GB2312" w:eastAsia="仿宋_GB2312" w:cs="仿宋_GB2312"/>
                <w:sz w:val="36"/>
                <w:szCs w:val="36"/>
                <w:highlight w:val="none"/>
              </w:rPr>
              <w:t>]</w:t>
            </w:r>
            <w:r>
              <w:rPr>
                <w:rFonts w:hint="eastAsia" w:ascii="方正仿宋_GB2312" w:hAnsi="方正仿宋_GB2312" w:eastAsia="方正仿宋_GB2312" w:cs="方正仿宋_GB2312"/>
                <w:sz w:val="36"/>
                <w:szCs w:val="36"/>
                <w:highlight w:val="none"/>
              </w:rPr>
              <w:t>）</w:t>
            </w:r>
          </w:p>
          <w:p>
            <w:pPr>
              <w:pStyle w:val="23"/>
              <w:spacing w:line="480" w:lineRule="exact"/>
              <w:ind w:firstLine="0" w:firstLineChars="0"/>
              <w:jc w:val="center"/>
              <w:rPr>
                <w:rFonts w:ascii="方正仿宋_GB2312" w:hAnsi="方正仿宋_GB2312" w:eastAsia="方正仿宋_GB2312" w:cs="方正仿宋_GB2312"/>
                <w:sz w:val="44"/>
                <w:szCs w:val="44"/>
              </w:rPr>
            </w:pPr>
          </w:p>
          <w:p>
            <w:pPr>
              <w:jc w:val="center"/>
              <w:rPr>
                <w:rFonts w:ascii="方正仿宋_GB2312" w:hAnsi="方正仿宋_GB2312" w:eastAsia="方正仿宋_GB2312" w:cs="方正仿宋_GB2312"/>
                <w:sz w:val="44"/>
                <w:szCs w:val="44"/>
              </w:rPr>
            </w:pPr>
            <w:r>
              <w:rPr>
                <w:rFonts w:hint="eastAsia" w:ascii="方正仿宋_GB2312" w:hAnsi="方正仿宋_GB2312" w:eastAsia="方正仿宋_GB2312" w:cs="方正仿宋_GB2312"/>
                <w:sz w:val="44"/>
                <w:szCs w:val="44"/>
              </w:rPr>
              <w:t>采购单位：深圳市龙岗区第七人民医院</w:t>
            </w:r>
          </w:p>
          <w:p>
            <w:pPr>
              <w:jc w:val="center"/>
              <w:rPr>
                <w:rFonts w:ascii="方正仿宋_GB2312" w:hAnsi="方正仿宋_GB2312" w:eastAsia="方正仿宋_GB2312" w:cs="方正仿宋_GB2312"/>
                <w:b/>
                <w:sz w:val="44"/>
                <w:szCs w:val="44"/>
              </w:rPr>
            </w:pPr>
            <w:r>
              <w:rPr>
                <w:rFonts w:hint="eastAsia" w:ascii="方正仿宋_GB2312" w:hAnsi="方正仿宋_GB2312" w:eastAsia="方正仿宋_GB2312" w:cs="方正仿宋_GB2312"/>
                <w:b/>
                <w:sz w:val="44"/>
                <w:szCs w:val="44"/>
              </w:rPr>
              <w:t>（</w:t>
            </w:r>
            <w:r>
              <w:rPr>
                <w:rFonts w:hint="eastAsia" w:ascii="方正仿宋_GB2312" w:hAnsi="方正仿宋_GB2312" w:eastAsia="方正仿宋_GB2312" w:cs="方正仿宋_GB2312"/>
                <w:sz w:val="44"/>
                <w:szCs w:val="44"/>
              </w:rPr>
              <w:t>202</w:t>
            </w:r>
            <w:r>
              <w:rPr>
                <w:rFonts w:hint="eastAsia" w:ascii="方正仿宋_GB2312" w:hAnsi="方正仿宋_GB2312" w:eastAsia="方正仿宋_GB2312" w:cs="方正仿宋_GB2312"/>
                <w:sz w:val="44"/>
                <w:szCs w:val="44"/>
                <w:lang w:val="en-US" w:eastAsia="zh-CN"/>
              </w:rPr>
              <w:t>6</w:t>
            </w:r>
            <w:r>
              <w:rPr>
                <w:rFonts w:hint="eastAsia" w:ascii="方正仿宋_GB2312" w:hAnsi="方正仿宋_GB2312" w:eastAsia="方正仿宋_GB2312" w:cs="方正仿宋_GB2312"/>
                <w:sz w:val="44"/>
                <w:szCs w:val="44"/>
              </w:rPr>
              <w:t>年</w:t>
            </w:r>
            <w:r>
              <w:rPr>
                <w:rFonts w:hint="eastAsia" w:ascii="方正仿宋_GB2312" w:hAnsi="方正仿宋_GB2312" w:eastAsia="方正仿宋_GB2312" w:cs="方正仿宋_GB2312"/>
                <w:b/>
                <w:sz w:val="44"/>
                <w:szCs w:val="44"/>
              </w:rPr>
              <w:t>）</w:t>
            </w:r>
          </w:p>
          <w:p>
            <w:pPr>
              <w:rPr>
                <w:rFonts w:ascii="仿宋" w:hAnsi="仿宋" w:eastAsia="仿宋" w:cs="仿宋"/>
                <w:b/>
                <w:sz w:val="36"/>
                <w:szCs w:val="36"/>
              </w:rPr>
            </w:pPr>
          </w:p>
          <w:p>
            <w:pPr>
              <w:jc w:val="left"/>
              <w:rPr>
                <w:rFonts w:ascii="仿宋" w:hAnsi="仿宋" w:eastAsia="仿宋" w:cs="仿宋"/>
                <w:b/>
                <w:sz w:val="40"/>
                <w:szCs w:val="40"/>
              </w:rPr>
            </w:pPr>
            <w:r>
              <w:rPr>
                <w:rFonts w:hint="eastAsia" w:ascii="仿宋" w:hAnsi="仿宋" w:eastAsia="仿宋" w:cs="仿宋"/>
                <w:b/>
                <w:sz w:val="40"/>
                <w:szCs w:val="40"/>
              </w:rPr>
              <w:t>投标人：</w:t>
            </w:r>
          </w:p>
          <w:p>
            <w:pPr>
              <w:jc w:val="left"/>
              <w:rPr>
                <w:rFonts w:ascii="仿宋" w:hAnsi="仿宋" w:eastAsia="仿宋" w:cs="仿宋"/>
                <w:b/>
                <w:sz w:val="40"/>
                <w:szCs w:val="40"/>
              </w:rPr>
            </w:pPr>
            <w:r>
              <w:rPr>
                <w:rFonts w:hint="eastAsia" w:ascii="仿宋" w:hAnsi="仿宋" w:eastAsia="仿宋" w:cs="仿宋"/>
                <w:b/>
                <w:sz w:val="40"/>
                <w:szCs w:val="40"/>
              </w:rPr>
              <w:t>地  址：</w:t>
            </w:r>
          </w:p>
          <w:p>
            <w:pPr>
              <w:jc w:val="left"/>
              <w:rPr>
                <w:rFonts w:ascii="仿宋" w:hAnsi="仿宋" w:eastAsia="仿宋" w:cs="仿宋"/>
                <w:b/>
                <w:sz w:val="40"/>
                <w:szCs w:val="40"/>
              </w:rPr>
            </w:pPr>
            <w:r>
              <w:rPr>
                <w:rFonts w:hint="eastAsia" w:ascii="仿宋" w:hAnsi="仿宋" w:eastAsia="仿宋" w:cs="仿宋"/>
                <w:b/>
                <w:sz w:val="40"/>
                <w:szCs w:val="40"/>
              </w:rPr>
              <w:t>联系人：</w:t>
            </w:r>
          </w:p>
          <w:p>
            <w:pPr>
              <w:jc w:val="left"/>
              <w:rPr>
                <w:rFonts w:ascii="仿宋" w:hAnsi="仿宋" w:eastAsia="仿宋" w:cs="仿宋"/>
                <w:b/>
                <w:sz w:val="40"/>
                <w:szCs w:val="40"/>
              </w:rPr>
            </w:pPr>
            <w:r>
              <w:rPr>
                <w:rFonts w:hint="eastAsia" w:ascii="仿宋" w:hAnsi="仿宋" w:eastAsia="仿宋" w:cs="仿宋"/>
                <w:b/>
                <w:sz w:val="40"/>
                <w:szCs w:val="40"/>
              </w:rPr>
              <w:t>电  话：</w:t>
            </w:r>
          </w:p>
          <w:p>
            <w:pPr>
              <w:jc w:val="left"/>
              <w:rPr>
                <w:rFonts w:ascii="仿宋" w:hAnsi="仿宋" w:eastAsia="仿宋" w:cs="仿宋"/>
                <w:sz w:val="28"/>
              </w:rPr>
            </w:pPr>
            <w:r>
              <w:rPr>
                <w:rFonts w:hint="eastAsia" w:ascii="仿宋" w:hAnsi="仿宋" w:eastAsia="仿宋" w:cs="仿宋"/>
                <w:b/>
                <w:sz w:val="40"/>
                <w:szCs w:val="40"/>
              </w:rPr>
              <w:t>邮  箱：</w:t>
            </w:r>
          </w:p>
        </w:tc>
      </w:tr>
    </w:tbl>
    <w:p>
      <w:pPr>
        <w:rPr>
          <w:rFonts w:ascii="宋体" w:hAnsi="宋体" w:cs="宋体"/>
          <w:b/>
          <w:bCs/>
          <w:sz w:val="44"/>
          <w:szCs w:val="44"/>
        </w:rPr>
      </w:pPr>
    </w:p>
    <w:p>
      <w:pPr>
        <w:jc w:val="center"/>
        <w:rPr>
          <w:rFonts w:ascii="宋体" w:hAnsi="宋体" w:cs="宋体"/>
          <w:b/>
          <w:bCs/>
          <w:sz w:val="28"/>
          <w:szCs w:val="28"/>
        </w:rPr>
      </w:pPr>
      <w:r>
        <w:rPr>
          <w:rFonts w:hint="eastAsia" w:ascii="宋体" w:hAnsi="宋体" w:cs="宋体"/>
          <w:b/>
          <w:bCs/>
          <w:sz w:val="44"/>
          <w:szCs w:val="44"/>
        </w:rPr>
        <w:t>目录</w:t>
      </w:r>
      <w:r>
        <w:rPr>
          <w:rFonts w:hint="eastAsia" w:ascii="宋体" w:hAnsi="宋体" w:cs="宋体"/>
          <w:b/>
          <w:bCs/>
          <w:sz w:val="28"/>
          <w:szCs w:val="28"/>
        </w:rPr>
        <w:t>（附页码）</w:t>
      </w:r>
    </w:p>
    <w:p>
      <w:pPr>
        <w:pStyle w:val="2"/>
      </w:pPr>
    </w:p>
    <w:p>
      <w:pPr>
        <w:snapToGrid w:val="0"/>
        <w:spacing w:line="500" w:lineRule="exact"/>
        <w:ind w:left="0" w:firstLine="560" w:firstLineChars="200"/>
        <w:rPr>
          <w:rFonts w:hint="eastAsia" w:ascii="仿宋" w:hAnsi="仿宋" w:eastAsia="仿宋" w:cs="仿宋"/>
          <w:sz w:val="28"/>
          <w:szCs w:val="28"/>
        </w:rPr>
      </w:pPr>
      <w:r>
        <w:rPr>
          <w:rFonts w:hint="eastAsia" w:ascii="仿宋" w:hAnsi="仿宋" w:eastAsia="仿宋" w:cs="仿宋"/>
          <w:sz w:val="28"/>
          <w:szCs w:val="28"/>
        </w:rPr>
        <w:t>1.封面</w:t>
      </w:r>
    </w:p>
    <w:p>
      <w:pPr>
        <w:snapToGrid w:val="0"/>
        <w:spacing w:line="500" w:lineRule="exact"/>
        <w:ind w:left="0" w:firstLine="560" w:firstLineChars="200"/>
        <w:rPr>
          <w:rFonts w:hint="eastAsia" w:ascii="仿宋" w:hAnsi="仿宋" w:eastAsia="仿宋" w:cs="仿宋"/>
          <w:sz w:val="28"/>
          <w:szCs w:val="28"/>
        </w:rPr>
      </w:pPr>
      <w:r>
        <w:rPr>
          <w:rFonts w:hint="eastAsia" w:ascii="仿宋" w:hAnsi="仿宋" w:eastAsia="仿宋" w:cs="仿宋"/>
          <w:sz w:val="28"/>
          <w:szCs w:val="28"/>
        </w:rPr>
        <w:t>2.目录</w:t>
      </w:r>
    </w:p>
    <w:p>
      <w:pPr>
        <w:snapToGrid w:val="0"/>
        <w:spacing w:line="500" w:lineRule="exact"/>
        <w:ind w:left="0" w:firstLine="560" w:firstLineChars="200"/>
        <w:rPr>
          <w:rFonts w:hint="eastAsia" w:ascii="仿宋" w:hAnsi="仿宋" w:eastAsia="仿宋" w:cs="仿宋"/>
          <w:sz w:val="28"/>
          <w:szCs w:val="28"/>
        </w:rPr>
      </w:pPr>
      <w:r>
        <w:rPr>
          <w:rFonts w:hint="eastAsia" w:ascii="仿宋" w:hAnsi="仿宋" w:eastAsia="仿宋" w:cs="仿宋"/>
          <w:sz w:val="28"/>
          <w:szCs w:val="28"/>
        </w:rPr>
        <w:t>3.法定代表人资格证明书及身份证复印件</w:t>
      </w:r>
    </w:p>
    <w:p>
      <w:pPr>
        <w:widowControl/>
        <w:snapToGrid w:val="0"/>
        <w:spacing w:line="500" w:lineRule="exact"/>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bidi="ar"/>
        </w:rPr>
        <w:t>法定代表人授权书</w:t>
      </w:r>
      <w:r>
        <w:rPr>
          <w:rFonts w:hint="eastAsia" w:ascii="仿宋" w:hAnsi="仿宋" w:eastAsia="仿宋" w:cs="仿宋"/>
          <w:sz w:val="28"/>
          <w:szCs w:val="28"/>
        </w:rPr>
        <w:t>及授权代表人身份证复印件（如有）</w:t>
      </w:r>
    </w:p>
    <w:p>
      <w:pPr>
        <w:snapToGrid w:val="0"/>
        <w:spacing w:line="500" w:lineRule="exact"/>
        <w:ind w:left="0" w:firstLine="560" w:firstLineChars="200"/>
        <w:rPr>
          <w:rFonts w:hint="eastAsia" w:ascii="仿宋" w:hAnsi="仿宋" w:eastAsia="仿宋" w:cs="仿宋"/>
          <w:sz w:val="28"/>
          <w:szCs w:val="28"/>
        </w:rPr>
      </w:pPr>
      <w:r>
        <w:rPr>
          <w:rFonts w:hint="eastAsia" w:ascii="仿宋" w:hAnsi="仿宋" w:eastAsia="仿宋" w:cs="仿宋"/>
          <w:sz w:val="28"/>
          <w:szCs w:val="28"/>
        </w:rPr>
        <w:t>5.独立承担民事责任能力的法人或其他组织或个体工商户的营业执照或法人证书等证明材料复印件或扫描件</w:t>
      </w:r>
    </w:p>
    <w:p>
      <w:pPr>
        <w:snapToGrid w:val="0"/>
        <w:spacing w:line="500" w:lineRule="exact"/>
        <w:ind w:left="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.投标文件初审表</w:t>
      </w:r>
    </w:p>
    <w:p>
      <w:pPr>
        <w:snapToGrid w:val="0"/>
        <w:spacing w:line="500" w:lineRule="exact"/>
        <w:ind w:left="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.供应商自查表</w:t>
      </w:r>
    </w:p>
    <w:p>
      <w:pPr>
        <w:widowControl/>
        <w:snapToGrid w:val="0"/>
        <w:spacing w:line="500" w:lineRule="exact"/>
        <w:ind w:left="0"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bidi="ar"/>
        </w:rPr>
        <w:t>投标函</w:t>
      </w:r>
    </w:p>
    <w:p>
      <w:pPr>
        <w:widowControl/>
        <w:snapToGrid w:val="0"/>
        <w:spacing w:line="500" w:lineRule="exact"/>
        <w:ind w:left="0"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val="en-US" w:eastAsia="zh-CN" w:bidi="ar"/>
        </w:rPr>
        <w:t>9</w:t>
      </w:r>
      <w:r>
        <w:rPr>
          <w:rFonts w:hint="eastAsia" w:ascii="仿宋" w:hAnsi="仿宋" w:eastAsia="仿宋" w:cs="仿宋"/>
          <w:sz w:val="28"/>
          <w:szCs w:val="28"/>
          <w:lang w:bidi="ar"/>
        </w:rPr>
        <w:t>.投标及履约承诺函</w:t>
      </w:r>
    </w:p>
    <w:p>
      <w:pPr>
        <w:widowControl/>
        <w:snapToGrid w:val="0"/>
        <w:spacing w:line="500" w:lineRule="exact"/>
        <w:ind w:left="0"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1</w:t>
      </w:r>
      <w:r>
        <w:rPr>
          <w:rFonts w:hint="eastAsia" w:ascii="仿宋" w:hAnsi="仿宋" w:eastAsia="仿宋" w:cs="仿宋"/>
          <w:sz w:val="28"/>
          <w:szCs w:val="28"/>
          <w:lang w:val="en-US" w:eastAsia="zh-CN" w:bidi="ar"/>
        </w:rPr>
        <w:t>0</w:t>
      </w:r>
      <w:r>
        <w:rPr>
          <w:rFonts w:hint="eastAsia" w:ascii="仿宋" w:hAnsi="仿宋" w:eastAsia="仿宋" w:cs="仿宋"/>
          <w:sz w:val="28"/>
          <w:szCs w:val="28"/>
          <w:lang w:bidi="ar"/>
        </w:rPr>
        <w:t>.供应商基本情况表</w:t>
      </w:r>
    </w:p>
    <w:p>
      <w:pPr>
        <w:widowControl/>
        <w:snapToGrid w:val="0"/>
        <w:spacing w:line="500" w:lineRule="exact"/>
        <w:ind w:left="0"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1</w:t>
      </w:r>
      <w:r>
        <w:rPr>
          <w:rFonts w:hint="eastAsia" w:ascii="仿宋" w:hAnsi="仿宋" w:eastAsia="仿宋" w:cs="仿宋"/>
          <w:sz w:val="28"/>
          <w:szCs w:val="28"/>
          <w:lang w:val="en-US" w:eastAsia="zh-CN" w:bidi="ar"/>
        </w:rPr>
        <w:t>1</w:t>
      </w:r>
      <w:r>
        <w:rPr>
          <w:rFonts w:hint="eastAsia" w:ascii="仿宋" w:hAnsi="仿宋" w:eastAsia="仿宋" w:cs="仿宋"/>
          <w:sz w:val="28"/>
          <w:szCs w:val="28"/>
          <w:lang w:bidi="ar"/>
        </w:rPr>
        <w:t>.社会保险证明</w:t>
      </w:r>
    </w:p>
    <w:p>
      <w:pPr>
        <w:widowControl/>
        <w:snapToGrid w:val="0"/>
        <w:spacing w:line="500" w:lineRule="exact"/>
        <w:ind w:left="0"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1</w:t>
      </w:r>
      <w:r>
        <w:rPr>
          <w:rFonts w:hint="eastAsia" w:ascii="仿宋" w:hAnsi="仿宋" w:eastAsia="仿宋" w:cs="仿宋"/>
          <w:sz w:val="28"/>
          <w:szCs w:val="28"/>
          <w:lang w:val="en-US" w:eastAsia="zh-CN" w:bidi="ar"/>
        </w:rPr>
        <w:t>2</w:t>
      </w:r>
      <w:r>
        <w:rPr>
          <w:rFonts w:hint="eastAsia" w:ascii="仿宋" w:hAnsi="仿宋" w:eastAsia="仿宋" w:cs="仿宋"/>
          <w:sz w:val="28"/>
          <w:szCs w:val="28"/>
          <w:lang w:bidi="ar"/>
        </w:rPr>
        <w:t>.开标一览表</w:t>
      </w:r>
    </w:p>
    <w:p>
      <w:pPr>
        <w:widowControl/>
        <w:snapToGrid w:val="0"/>
        <w:spacing w:line="500" w:lineRule="exact"/>
        <w:ind w:left="0"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1</w:t>
      </w:r>
      <w:r>
        <w:rPr>
          <w:rFonts w:hint="eastAsia" w:ascii="仿宋" w:hAnsi="仿宋" w:eastAsia="仿宋" w:cs="仿宋"/>
          <w:sz w:val="28"/>
          <w:szCs w:val="28"/>
          <w:lang w:val="en-US" w:eastAsia="zh-CN" w:bidi="ar"/>
        </w:rPr>
        <w:t>3</w:t>
      </w:r>
      <w:r>
        <w:rPr>
          <w:rFonts w:hint="eastAsia" w:ascii="仿宋" w:hAnsi="仿宋" w:eastAsia="仿宋" w:cs="仿宋"/>
          <w:sz w:val="28"/>
          <w:szCs w:val="28"/>
          <w:lang w:bidi="ar"/>
        </w:rPr>
        <w:t>.服务条款偏离表</w:t>
      </w:r>
    </w:p>
    <w:p>
      <w:pPr>
        <w:widowControl/>
        <w:snapToGrid w:val="0"/>
        <w:spacing w:line="500" w:lineRule="exact"/>
        <w:ind w:left="0"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1</w:t>
      </w:r>
      <w:r>
        <w:rPr>
          <w:rFonts w:hint="eastAsia" w:ascii="仿宋" w:hAnsi="仿宋" w:eastAsia="仿宋" w:cs="仿宋"/>
          <w:sz w:val="28"/>
          <w:szCs w:val="28"/>
          <w:lang w:val="en-US" w:eastAsia="zh-CN" w:bidi="ar"/>
        </w:rPr>
        <w:t>4</w:t>
      </w:r>
      <w:r>
        <w:rPr>
          <w:rFonts w:hint="eastAsia" w:ascii="仿宋" w:hAnsi="仿宋" w:eastAsia="仿宋" w:cs="仿宋"/>
          <w:sz w:val="28"/>
          <w:szCs w:val="28"/>
          <w:lang w:bidi="ar"/>
        </w:rPr>
        <w:t>.</w:t>
      </w:r>
      <w:r>
        <w:rPr>
          <w:rFonts w:hint="eastAsia" w:ascii="仿宋" w:hAnsi="仿宋" w:eastAsia="仿宋" w:cs="仿宋"/>
          <w:sz w:val="28"/>
          <w:szCs w:val="28"/>
          <w:lang w:val="en-US" w:eastAsia="zh-CN" w:bidi="ar"/>
        </w:rPr>
        <w:t>商务</w:t>
      </w:r>
      <w:r>
        <w:rPr>
          <w:rFonts w:hint="eastAsia" w:ascii="仿宋" w:hAnsi="仿宋" w:eastAsia="仿宋" w:cs="仿宋"/>
          <w:sz w:val="28"/>
          <w:szCs w:val="28"/>
          <w:lang w:bidi="ar"/>
        </w:rPr>
        <w:t>条款偏离表</w:t>
      </w:r>
    </w:p>
    <w:p>
      <w:pPr>
        <w:widowControl/>
        <w:snapToGrid w:val="0"/>
        <w:spacing w:line="50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1</w:t>
      </w:r>
      <w:r>
        <w:rPr>
          <w:rFonts w:hint="eastAsia" w:ascii="仿宋" w:hAnsi="仿宋" w:eastAsia="仿宋" w:cs="仿宋"/>
          <w:sz w:val="28"/>
          <w:szCs w:val="28"/>
          <w:lang w:val="en-US" w:eastAsia="zh-CN" w:bidi="ar"/>
        </w:rPr>
        <w:t>5</w:t>
      </w:r>
      <w:r>
        <w:rPr>
          <w:rFonts w:hint="eastAsia" w:ascii="仿宋" w:hAnsi="仿宋" w:eastAsia="仿宋" w:cs="仿宋"/>
          <w:sz w:val="28"/>
          <w:szCs w:val="28"/>
          <w:lang w:bidi="ar"/>
        </w:rPr>
        <w:t>.同类项目业绩</w:t>
      </w:r>
    </w:p>
    <w:p>
      <w:pPr>
        <w:widowControl/>
        <w:snapToGrid w:val="0"/>
        <w:spacing w:line="50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1</w:t>
      </w:r>
      <w:r>
        <w:rPr>
          <w:rFonts w:hint="eastAsia" w:ascii="仿宋" w:hAnsi="仿宋" w:eastAsia="仿宋" w:cs="仿宋"/>
          <w:sz w:val="28"/>
          <w:szCs w:val="28"/>
          <w:lang w:val="en-US" w:eastAsia="zh-CN" w:bidi="ar"/>
        </w:rPr>
        <w:t>6</w:t>
      </w:r>
      <w:r>
        <w:rPr>
          <w:rFonts w:hint="eastAsia" w:ascii="仿宋" w:hAnsi="仿宋" w:eastAsia="仿宋" w:cs="仿宋"/>
          <w:sz w:val="28"/>
          <w:szCs w:val="28"/>
          <w:lang w:bidi="ar"/>
        </w:rPr>
        <w:t>.履约评价</w:t>
      </w:r>
    </w:p>
    <w:p>
      <w:pPr>
        <w:widowControl/>
        <w:snapToGrid w:val="0"/>
        <w:spacing w:line="500" w:lineRule="exact"/>
        <w:ind w:left="0"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1</w:t>
      </w:r>
      <w:r>
        <w:rPr>
          <w:rFonts w:hint="eastAsia" w:ascii="仿宋" w:hAnsi="仿宋" w:eastAsia="仿宋" w:cs="仿宋"/>
          <w:sz w:val="28"/>
          <w:szCs w:val="28"/>
          <w:lang w:val="en-US" w:eastAsia="zh-CN" w:bidi="ar"/>
        </w:rPr>
        <w:t>7</w:t>
      </w:r>
      <w:r>
        <w:rPr>
          <w:rFonts w:hint="eastAsia" w:ascii="仿宋" w:hAnsi="仿宋" w:eastAsia="仿宋" w:cs="仿宋"/>
          <w:sz w:val="28"/>
          <w:szCs w:val="28"/>
          <w:lang w:bidi="ar"/>
        </w:rPr>
        <w:t>.供应商资格（资质、认证）情况</w:t>
      </w:r>
    </w:p>
    <w:p>
      <w:pPr>
        <w:widowControl/>
        <w:snapToGrid w:val="0"/>
        <w:spacing w:line="50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1</w:t>
      </w:r>
      <w:r>
        <w:rPr>
          <w:rFonts w:hint="eastAsia" w:ascii="仿宋" w:hAnsi="仿宋" w:eastAsia="仿宋" w:cs="仿宋"/>
          <w:sz w:val="28"/>
          <w:szCs w:val="28"/>
          <w:lang w:val="en-US" w:eastAsia="zh-CN" w:bidi="ar"/>
        </w:rPr>
        <w:t>8</w:t>
      </w:r>
      <w:r>
        <w:rPr>
          <w:rFonts w:hint="eastAsia" w:ascii="仿宋" w:hAnsi="仿宋" w:eastAsia="仿宋" w:cs="仿宋"/>
          <w:sz w:val="28"/>
          <w:szCs w:val="28"/>
          <w:lang w:bidi="ar"/>
        </w:rPr>
        <w:t>.投标人自主知识产权产品（创新、设计）情况</w:t>
      </w:r>
    </w:p>
    <w:p>
      <w:pPr>
        <w:widowControl/>
        <w:snapToGrid w:val="0"/>
        <w:spacing w:line="50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拟安排的项目负责人情况（仅限一人）</w:t>
      </w:r>
    </w:p>
    <w:p>
      <w:pPr>
        <w:widowControl/>
        <w:snapToGrid w:val="0"/>
        <w:spacing w:line="500" w:lineRule="exact"/>
        <w:ind w:left="0"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val="en-US" w:eastAsia="zh-CN" w:bidi="ar"/>
        </w:rPr>
        <w:t>19</w:t>
      </w:r>
      <w:r>
        <w:rPr>
          <w:rFonts w:hint="eastAsia" w:ascii="仿宋" w:hAnsi="仿宋" w:eastAsia="仿宋" w:cs="仿宋"/>
          <w:sz w:val="28"/>
          <w:szCs w:val="28"/>
          <w:lang w:bidi="ar"/>
        </w:rPr>
        <w:t>.拟安排的项目团队成员（项目负责人除外）情况</w:t>
      </w:r>
    </w:p>
    <w:p>
      <w:pPr>
        <w:widowControl/>
        <w:snapToGrid w:val="0"/>
        <w:spacing w:line="500" w:lineRule="exact"/>
        <w:ind w:left="0"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val="en-US" w:eastAsia="zh-CN" w:bidi="ar"/>
        </w:rPr>
        <w:t>20.服务方案</w:t>
      </w:r>
    </w:p>
    <w:p>
      <w:pPr>
        <w:widowControl/>
        <w:snapToGrid w:val="0"/>
        <w:spacing w:line="500" w:lineRule="exact"/>
        <w:ind w:left="0"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val="en-US" w:eastAsia="zh-CN" w:bidi="ar"/>
        </w:rPr>
        <w:t>21</w:t>
      </w:r>
      <w:r>
        <w:rPr>
          <w:rFonts w:hint="eastAsia" w:ascii="仿宋" w:hAnsi="仿宋" w:eastAsia="仿宋" w:cs="仿宋"/>
          <w:sz w:val="28"/>
          <w:szCs w:val="28"/>
          <w:lang w:bidi="ar"/>
        </w:rPr>
        <w:t>.售后服务方案</w:t>
      </w:r>
    </w:p>
    <w:p>
      <w:pPr>
        <w:widowControl/>
        <w:snapToGrid w:val="0"/>
        <w:spacing w:line="500" w:lineRule="exact"/>
        <w:ind w:left="0"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2</w:t>
      </w:r>
      <w:r>
        <w:rPr>
          <w:rFonts w:hint="eastAsia" w:ascii="仿宋" w:hAnsi="仿宋" w:eastAsia="仿宋" w:cs="仿宋"/>
          <w:sz w:val="28"/>
          <w:szCs w:val="28"/>
          <w:lang w:val="en-US" w:eastAsia="zh-CN" w:bidi="ar"/>
        </w:rPr>
        <w:t>2</w:t>
      </w:r>
      <w:r>
        <w:rPr>
          <w:rFonts w:hint="eastAsia" w:ascii="仿宋" w:hAnsi="仿宋" w:eastAsia="仿宋" w:cs="仿宋"/>
          <w:sz w:val="28"/>
          <w:szCs w:val="28"/>
          <w:lang w:bidi="ar"/>
        </w:rPr>
        <w:t>.服务要求响应情况</w:t>
      </w:r>
    </w:p>
    <w:p>
      <w:pPr>
        <w:widowControl/>
        <w:snapToGrid w:val="0"/>
        <w:spacing w:line="500" w:lineRule="exact"/>
        <w:ind w:left="0"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2</w:t>
      </w:r>
      <w:r>
        <w:rPr>
          <w:rFonts w:hint="eastAsia" w:ascii="仿宋" w:hAnsi="仿宋" w:eastAsia="仿宋" w:cs="仿宋"/>
          <w:sz w:val="28"/>
          <w:szCs w:val="28"/>
          <w:lang w:val="en-US" w:eastAsia="zh-CN" w:bidi="ar"/>
        </w:rPr>
        <w:t>3</w:t>
      </w:r>
      <w:r>
        <w:rPr>
          <w:rFonts w:hint="eastAsia" w:ascii="仿宋" w:hAnsi="仿宋" w:eastAsia="仿宋" w:cs="仿宋"/>
          <w:sz w:val="28"/>
          <w:szCs w:val="28"/>
          <w:lang w:bidi="ar"/>
        </w:rPr>
        <w:t>.诚信情况</w:t>
      </w:r>
    </w:p>
    <w:p>
      <w:pPr>
        <w:widowControl/>
        <w:snapToGrid w:val="0"/>
        <w:spacing w:line="500" w:lineRule="exact"/>
        <w:ind w:left="0"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2</w:t>
      </w:r>
      <w:r>
        <w:rPr>
          <w:rFonts w:hint="eastAsia" w:ascii="仿宋" w:hAnsi="仿宋" w:eastAsia="仿宋" w:cs="仿宋"/>
          <w:sz w:val="28"/>
          <w:szCs w:val="28"/>
          <w:lang w:val="en-US" w:eastAsia="zh-CN" w:bidi="ar"/>
        </w:rPr>
        <w:t>4</w:t>
      </w:r>
      <w:r>
        <w:rPr>
          <w:rFonts w:hint="eastAsia" w:ascii="仿宋" w:hAnsi="仿宋" w:eastAsia="仿宋" w:cs="仿宋"/>
          <w:sz w:val="28"/>
          <w:szCs w:val="28"/>
          <w:lang w:bidi="ar"/>
        </w:rPr>
        <w:t>.中小企业声明函</w:t>
      </w:r>
    </w:p>
    <w:p>
      <w:pPr>
        <w:widowControl/>
        <w:snapToGrid w:val="0"/>
        <w:spacing w:line="50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2</w:t>
      </w:r>
      <w:r>
        <w:rPr>
          <w:rFonts w:hint="eastAsia" w:ascii="仿宋" w:hAnsi="仿宋" w:eastAsia="仿宋" w:cs="仿宋"/>
          <w:sz w:val="28"/>
          <w:szCs w:val="28"/>
          <w:lang w:val="en-US" w:eastAsia="zh-CN" w:bidi="ar"/>
        </w:rPr>
        <w:t>5</w:t>
      </w:r>
      <w:r>
        <w:rPr>
          <w:rFonts w:hint="eastAsia" w:ascii="仿宋" w:hAnsi="仿宋" w:eastAsia="仿宋" w:cs="仿宋"/>
          <w:sz w:val="28"/>
          <w:szCs w:val="28"/>
          <w:lang w:bidi="ar"/>
        </w:rPr>
        <w:t>.其他证明材料</w:t>
      </w:r>
    </w:p>
    <w:p>
      <w:pPr>
        <w:spacing w:line="480" w:lineRule="exact"/>
        <w:jc w:val="center"/>
        <w:rPr>
          <w:rFonts w:hint="eastAsia" w:ascii="宋体" w:hAnsi="宋体" w:cs="宋体"/>
          <w:b/>
          <w:bCs/>
          <w:sz w:val="44"/>
          <w:szCs w:val="44"/>
        </w:rPr>
      </w:pPr>
    </w:p>
    <w:p>
      <w:pPr>
        <w:pStyle w:val="2"/>
        <w:rPr>
          <w:rFonts w:hint="eastAsia" w:ascii="宋体" w:hAnsi="宋体" w:cs="宋体"/>
          <w:b/>
          <w:bCs/>
          <w:sz w:val="44"/>
          <w:szCs w:val="44"/>
        </w:rPr>
      </w:pPr>
    </w:p>
    <w:p>
      <w:pPr>
        <w:rPr>
          <w:rFonts w:hint="eastAsia" w:ascii="宋体" w:hAnsi="宋体" w:cs="宋体"/>
          <w:b/>
          <w:bCs/>
          <w:sz w:val="44"/>
          <w:szCs w:val="44"/>
        </w:rPr>
      </w:pPr>
    </w:p>
    <w:p>
      <w:pPr>
        <w:pStyle w:val="2"/>
        <w:rPr>
          <w:rFonts w:hint="eastAsia" w:ascii="宋体" w:hAnsi="宋体" w:cs="宋体"/>
          <w:b/>
          <w:bCs/>
          <w:sz w:val="44"/>
          <w:szCs w:val="44"/>
        </w:rPr>
      </w:pPr>
    </w:p>
    <w:p>
      <w:pPr>
        <w:rPr>
          <w:rFonts w:hint="eastAsia" w:ascii="宋体" w:hAnsi="宋体" w:cs="宋体"/>
          <w:b/>
          <w:bCs/>
          <w:sz w:val="44"/>
          <w:szCs w:val="44"/>
        </w:rPr>
      </w:pPr>
    </w:p>
    <w:p>
      <w:pPr>
        <w:pStyle w:val="2"/>
        <w:rPr>
          <w:rFonts w:hint="eastAsia" w:ascii="宋体" w:hAnsi="宋体" w:cs="宋体"/>
          <w:b/>
          <w:bCs/>
          <w:sz w:val="44"/>
          <w:szCs w:val="44"/>
        </w:rPr>
      </w:pPr>
    </w:p>
    <w:p>
      <w:pPr>
        <w:rPr>
          <w:rFonts w:hint="eastAsia" w:ascii="宋体" w:hAnsi="宋体" w:cs="宋体"/>
          <w:b/>
          <w:bCs/>
          <w:sz w:val="44"/>
          <w:szCs w:val="44"/>
        </w:rPr>
      </w:pPr>
    </w:p>
    <w:p>
      <w:pPr>
        <w:pStyle w:val="2"/>
        <w:rPr>
          <w:rFonts w:hint="eastAsia" w:ascii="宋体" w:hAnsi="宋体" w:cs="宋体"/>
          <w:b/>
          <w:bCs/>
          <w:sz w:val="44"/>
          <w:szCs w:val="44"/>
        </w:rPr>
      </w:pPr>
    </w:p>
    <w:p>
      <w:pPr>
        <w:rPr>
          <w:rFonts w:hint="eastAsia" w:ascii="宋体" w:hAnsi="宋体" w:cs="宋体"/>
          <w:b/>
          <w:bCs/>
          <w:sz w:val="44"/>
          <w:szCs w:val="44"/>
        </w:rPr>
      </w:pPr>
    </w:p>
    <w:p>
      <w:pPr>
        <w:pStyle w:val="2"/>
        <w:rPr>
          <w:rFonts w:hint="eastAsia" w:ascii="宋体" w:hAnsi="宋体" w:cs="宋体"/>
          <w:b/>
          <w:bCs/>
          <w:sz w:val="44"/>
          <w:szCs w:val="44"/>
        </w:rPr>
      </w:pPr>
    </w:p>
    <w:p>
      <w:pPr>
        <w:rPr>
          <w:rFonts w:hint="eastAsia" w:ascii="宋体" w:hAnsi="宋体" w:cs="宋体"/>
          <w:b/>
          <w:bCs/>
          <w:sz w:val="44"/>
          <w:szCs w:val="44"/>
        </w:rPr>
      </w:pPr>
    </w:p>
    <w:p>
      <w:pPr>
        <w:pStyle w:val="2"/>
        <w:rPr>
          <w:rFonts w:hint="eastAsia" w:ascii="宋体" w:hAnsi="宋体" w:cs="宋体"/>
          <w:b/>
          <w:bCs/>
          <w:sz w:val="44"/>
          <w:szCs w:val="44"/>
        </w:rPr>
      </w:pPr>
    </w:p>
    <w:p>
      <w:pPr>
        <w:rPr>
          <w:rFonts w:hint="eastAsia" w:ascii="宋体" w:hAnsi="宋体" w:cs="宋体"/>
          <w:b/>
          <w:bCs/>
          <w:sz w:val="44"/>
          <w:szCs w:val="44"/>
        </w:rPr>
      </w:pPr>
    </w:p>
    <w:p>
      <w:pPr>
        <w:pStyle w:val="2"/>
        <w:rPr>
          <w:rFonts w:hint="eastAsia" w:ascii="宋体" w:hAnsi="宋体" w:cs="宋体"/>
          <w:b/>
          <w:bCs/>
          <w:sz w:val="44"/>
          <w:szCs w:val="44"/>
        </w:rPr>
      </w:pPr>
    </w:p>
    <w:p>
      <w:pPr>
        <w:rPr>
          <w:rFonts w:hint="eastAsia" w:ascii="宋体" w:hAnsi="宋体" w:cs="宋体"/>
          <w:b/>
          <w:bCs/>
          <w:sz w:val="44"/>
          <w:szCs w:val="44"/>
        </w:rPr>
      </w:pPr>
    </w:p>
    <w:p>
      <w:pPr>
        <w:pStyle w:val="2"/>
        <w:rPr>
          <w:rFonts w:hint="eastAsia"/>
        </w:rPr>
      </w:pPr>
    </w:p>
    <w:p>
      <w:pPr>
        <w:pStyle w:val="2"/>
        <w:rPr>
          <w:rFonts w:hint="eastAsia" w:ascii="宋体" w:hAnsi="宋体" w:cs="宋体"/>
          <w:b/>
          <w:bCs/>
          <w:sz w:val="44"/>
          <w:szCs w:val="44"/>
        </w:rPr>
      </w:pPr>
    </w:p>
    <w:p>
      <w:pPr>
        <w:rPr>
          <w:rFonts w:hint="eastAsia" w:ascii="宋体" w:hAnsi="宋体" w:cs="宋体"/>
          <w:b/>
          <w:bCs/>
          <w:sz w:val="44"/>
          <w:szCs w:val="44"/>
        </w:rPr>
      </w:pPr>
    </w:p>
    <w:p>
      <w:pPr>
        <w:pStyle w:val="2"/>
        <w:rPr>
          <w:rFonts w:hint="eastAsia" w:ascii="宋体" w:hAnsi="宋体" w:cs="宋体"/>
          <w:b/>
          <w:bCs/>
          <w:sz w:val="44"/>
          <w:szCs w:val="44"/>
        </w:rPr>
      </w:pPr>
    </w:p>
    <w:p>
      <w:pPr>
        <w:spacing w:line="480" w:lineRule="exact"/>
        <w:jc w:val="center"/>
        <w:rPr>
          <w:rFonts w:ascii="宋体" w:hAnsi="宋体" w:cs="宋体"/>
          <w:b/>
          <w:bCs/>
          <w:sz w:val="44"/>
          <w:szCs w:val="44"/>
        </w:rPr>
      </w:pPr>
      <w:r>
        <w:rPr>
          <w:rFonts w:hint="eastAsia" w:ascii="宋体" w:hAnsi="宋体" w:cs="宋体"/>
          <w:b/>
          <w:bCs/>
          <w:sz w:val="44"/>
          <w:szCs w:val="44"/>
        </w:rPr>
        <w:t>投标函</w:t>
      </w:r>
    </w:p>
    <w:p>
      <w:pPr>
        <w:spacing w:line="460" w:lineRule="exact"/>
        <w:jc w:val="center"/>
        <w:rPr>
          <w:rFonts w:ascii="仿宋" w:hAnsi="仿宋" w:eastAsia="仿宋" w:cs="仿宋"/>
          <w:b/>
          <w:bCs/>
          <w:sz w:val="36"/>
          <w:szCs w:val="44"/>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spacing w:line="48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我司已经认真仔细阅读了贵单位关于</w:t>
      </w:r>
      <w:r>
        <w:rPr>
          <w:rFonts w:hint="eastAsia" w:ascii="仿宋_GB2312" w:hAnsi="仿宋_GB2312" w:eastAsia="仿宋_GB2312" w:cs="仿宋_GB2312"/>
          <w:sz w:val="28"/>
          <w:szCs w:val="28"/>
          <w:u w:val="single"/>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项目的招标文件，完全同意招标文件中的所有条款，愿意按招标文件要求，决定以投标</w:t>
      </w:r>
      <w:r>
        <w:rPr>
          <w:rFonts w:hint="eastAsia" w:ascii="仿宋_GB2312" w:hAnsi="仿宋_GB2312" w:eastAsia="仿宋_GB2312" w:cs="仿宋_GB2312"/>
          <w:sz w:val="28"/>
          <w:szCs w:val="28"/>
          <w:lang w:val="en-US" w:eastAsia="zh-CN"/>
        </w:rPr>
        <w:t>总</w:t>
      </w:r>
      <w:r>
        <w:rPr>
          <w:rFonts w:hint="eastAsia" w:ascii="仿宋_GB2312" w:hAnsi="仿宋_GB2312" w:eastAsia="仿宋_GB2312" w:cs="仿宋_GB2312"/>
          <w:sz w:val="28"/>
          <w:szCs w:val="28"/>
        </w:rPr>
        <w:t>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（元）参与投标并按招标文件要求承包上述项目，并许以如下承诺：</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1.我方愿意向招标人提供与本次招标的相关资料，并对其真实性、合法性、有效性负责。</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2.我方将严格履行本投标文件中的全部承诺和责任，并遵守招标文件中对投标人的所有规定。</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3.我方完全理解招标人有保留在授标之前，任何时候根据评标委员会的意见接受或拒绝任何投标的权利，并完全理解招标人对此无解释的义务。</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4.我方完全理解招标人不保证投标价最低的投标人中标。</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5.我方承诺在此次招标过程中涉及的一切应当保密的事项，不向任何第三方泄露，否则承担一切法律责任。</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2"/>
        <w:spacing w:line="480" w:lineRule="exact"/>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法定代表人或其授权代表人（签字）：</w:t>
      </w:r>
    </w:p>
    <w:p>
      <w:pPr>
        <w:spacing w:line="480" w:lineRule="exac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投标单位全称（加盖公章）：</w:t>
      </w:r>
    </w:p>
    <w:p>
      <w:pPr>
        <w:spacing w:line="440" w:lineRule="exact"/>
        <w:jc w:val="center"/>
        <w:rPr>
          <w:rFonts w:hint="eastAsia" w:ascii="仿宋_GB2312" w:hAnsi="仿宋_GB2312" w:eastAsia="仿宋_GB2312" w:cs="仿宋_GB2312"/>
          <w:b/>
          <w:bCs/>
          <w:sz w:val="28"/>
          <w:szCs w:val="28"/>
        </w:rPr>
      </w:pPr>
    </w:p>
    <w:p>
      <w:pPr>
        <w:spacing w:line="440" w:lineRule="exact"/>
        <w:jc w:val="center"/>
        <w:rPr>
          <w:rFonts w:ascii="宋体" w:hAnsi="宋体" w:cs="宋体"/>
          <w:b/>
          <w:bCs/>
          <w:sz w:val="44"/>
          <w:szCs w:val="44"/>
        </w:rPr>
      </w:pPr>
    </w:p>
    <w:p>
      <w:pPr>
        <w:spacing w:line="440" w:lineRule="exact"/>
        <w:jc w:val="center"/>
        <w:rPr>
          <w:rFonts w:hint="eastAsia" w:ascii="宋体" w:hAnsi="宋体" w:cs="宋体"/>
          <w:b/>
          <w:bCs/>
          <w:sz w:val="44"/>
          <w:szCs w:val="44"/>
        </w:rPr>
      </w:pPr>
    </w:p>
    <w:p>
      <w:pPr>
        <w:spacing w:line="440" w:lineRule="exact"/>
        <w:jc w:val="center"/>
        <w:rPr>
          <w:rFonts w:ascii="宋体" w:hAnsi="宋体" w:cs="宋体"/>
          <w:b/>
          <w:bCs/>
          <w:sz w:val="44"/>
          <w:szCs w:val="44"/>
        </w:rPr>
      </w:pPr>
      <w:r>
        <w:rPr>
          <w:rFonts w:hint="eastAsia" w:ascii="宋体" w:hAnsi="宋体" w:cs="宋体"/>
          <w:b/>
          <w:bCs/>
          <w:sz w:val="44"/>
          <w:szCs w:val="44"/>
        </w:rPr>
        <w:t>投标及履约承诺函</w:t>
      </w:r>
    </w:p>
    <w:p>
      <w:pPr>
        <w:spacing w:line="440" w:lineRule="exact"/>
        <w:rPr>
          <w:rFonts w:ascii="方正仿宋_GB2312" w:hAnsi="方正仿宋_GB2312" w:eastAsia="方正仿宋_GB2312" w:cs="方正仿宋_GB2312"/>
          <w:sz w:val="32"/>
          <w:szCs w:val="32"/>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（以下简称“本项目”）院内采购活动，承诺：</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公司参与本项目所提供的货物或服务未侵犯知识产权。我公司具备《中华人民共和国政府采购法》第二十二条第一款规定的六项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包括法律、行政法规和国家有关规定对供应商从事特定经营活动有资质、资格规定的，本公司具备相应条件。</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2.我公司参与本项目政府采购活动前三年内，在经营活动中没有《中华人民共和国政府采购法实施条例》第十九条规定的重大违法记录。</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3.我公司参与本项目政府采购活动时不存在被有关部门禁止参与政府采购活动且在有效期内的情况。</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4.除单一来源采购项目外，为采购项目提供整体设计、规范编制或者项目管理、监理、检测等服务的供应商，不得再参加该采购项目的其他采购活动。</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公司参与本项目政府采购活动，严格遵守政府采购相关法律，做到诚实，不造假，不围标、串标、陪标。参与本项目采购活动不存在与其他采购参加人串通投标，隐瞒真实情况，提供虚假资料等违法违规情形，不存在《深圳市财政局政府采购供应商信用信息管理办法》（深财规〔2023〕3号）列明的严重违法失信行为；我公司已清楚，如违反上述要求，将作无效响应处理，被列入不良记录名单并在网上曝光，同时将被提请政府采购监督管理部门给予一定年限内禁止参与政府采购活动或其他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公司参加本项目的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于同一单位或者在同一单位缴纳社会保险，参加同一项目的不同供应商之间不存在直接控股或管理关系”的情形。并按本项目投标文件格式要求提供《供应商基本情况表》相关信息。</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公司未被列入失信被执行人、重大税收违法案件当事人名单、政府采购严重违法失信行为记录名单（信用中国网“信用服务”栏的“重大税收违法失信主体”“失信被执行人”，中国政府采购网“政府采购严重违法失信行为记录名单”，深圳市政府采购监管网为投标人信用信息查询渠道）。</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8.我公司符合法律、行政法规和国家有关规定对本项目从事特定经营活动有资质、资格规定，具备相应条件的要求。</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9.我公司承诺不存在联合体投标，不非法分包、转包。</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textAlignment w:val="center"/>
        <w:rPr>
          <w:rFonts w:ascii="宋体" w:hAnsi="宋体" w:cs="宋体"/>
          <w:color w:val="000000"/>
          <w:kern w:val="0"/>
          <w:sz w:val="44"/>
          <w:szCs w:val="44"/>
          <w:lang w:bidi="ar"/>
        </w:rPr>
      </w:pPr>
      <w:bookmarkStart w:id="14" w:name="_Toc24111"/>
    </w:p>
    <w:p>
      <w:pPr>
        <w:widowControl/>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rPr>
          <w:rFonts w:ascii="仿宋" w:hAnsi="仿宋" w:eastAsia="仿宋" w:cs="仿宋"/>
          <w:color w:val="000000"/>
          <w:sz w:val="28"/>
          <w:szCs w:val="28"/>
        </w:rPr>
      </w:pP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先生/小姐，现任我单位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职务，为法定代表人，特此证明。</w:t>
      </w: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有效日期：               签发日期：  </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单位：                   （盖章）</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附：</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代表人性别：        年龄：       身份证号码：</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进口物品经营许可证号码：</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身份证复印件：</w:t>
      </w:r>
    </w:p>
    <w:tbl>
      <w:tblPr>
        <w:tblStyle w:val="14"/>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2"/>
            </w:pPr>
          </w:p>
          <w:p>
            <w:pPr>
              <w:ind w:firstLine="2100" w:firstLineChars="1000"/>
            </w:pPr>
            <w:r>
              <w:rPr>
                <w:rFonts w:hint="eastAsia"/>
              </w:rPr>
              <w:t>正反面</w:t>
            </w:r>
          </w:p>
        </w:tc>
      </w:tr>
    </w:tbl>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spacing w:line="440" w:lineRule="exact"/>
        <w:rPr>
          <w:color w:val="000000"/>
        </w:rPr>
      </w:pPr>
    </w:p>
    <w:p>
      <w:pPr>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日签字生效，有效期至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特此声明。</w:t>
      </w:r>
    </w:p>
    <w:p>
      <w:pPr>
        <w:spacing w:line="440" w:lineRule="exact"/>
        <w:ind w:firstLine="560" w:firstLineChars="200"/>
        <w:rPr>
          <w:rFonts w:ascii="仿宋" w:hAnsi="仿宋" w:eastAsia="仿宋" w:cs="仿宋"/>
          <w:color w:val="000000"/>
          <w:sz w:val="28"/>
          <w:szCs w:val="28"/>
        </w:rPr>
      </w:pP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法定代表人签字： </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被授权人签字：　</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单位盖章：　</w:t>
      </w:r>
    </w:p>
    <w:p>
      <w:pPr>
        <w:spacing w:line="440" w:lineRule="exact"/>
        <w:rPr>
          <w:rFonts w:ascii="仿宋" w:hAnsi="仿宋" w:eastAsia="仿宋" w:cs="仿宋"/>
          <w:color w:val="000000"/>
          <w:sz w:val="28"/>
          <w:szCs w:val="28"/>
        </w:rPr>
      </w:pP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附：</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被授权人姓名：                       身份证号：</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职务：</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详细通信地址：</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邮政编码：</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联系电话：</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移动电话：</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传真：</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身份证复印件：</w:t>
      </w:r>
    </w:p>
    <w:tbl>
      <w:tblPr>
        <w:tblStyle w:val="14"/>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
          <w:p>
            <w:pPr>
              <w:ind w:firstLine="2310" w:firstLineChars="1100"/>
            </w:pPr>
          </w:p>
          <w:p>
            <w:pPr>
              <w:ind w:firstLine="2310" w:firstLineChars="1100"/>
            </w:pPr>
            <w:r>
              <w:rPr>
                <w:rFonts w:hint="eastAsia"/>
              </w:rPr>
              <w:t>正反面</w:t>
            </w:r>
          </w:p>
        </w:tc>
      </w:tr>
    </w:tbl>
    <w:p>
      <w:pPr>
        <w:pStyle w:val="3"/>
        <w:ind w:left="420" w:hanging="420"/>
        <w:jc w:val="center"/>
        <w:rPr>
          <w:rFonts w:ascii="宋体" w:hAnsi="宋体" w:cs="宋体"/>
          <w:b/>
          <w:bCs/>
          <w:sz w:val="44"/>
          <w:szCs w:val="44"/>
        </w:rPr>
      </w:pPr>
    </w:p>
    <w:p>
      <w:pPr>
        <w:pStyle w:val="3"/>
        <w:ind w:left="420" w:hanging="420"/>
        <w:jc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4"/>
    </w:p>
    <w:p>
      <w:pPr>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1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采购单位</w:t>
            </w:r>
          </w:p>
        </w:tc>
        <w:tc>
          <w:tcPr>
            <w:tcW w:w="3386" w:type="dxa"/>
            <w:gridSpan w:val="2"/>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项目名称</w:t>
            </w: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投标（响应）供应商</w:t>
            </w:r>
          </w:p>
        </w:tc>
        <w:tc>
          <w:tcPr>
            <w:tcW w:w="3386" w:type="dxa"/>
            <w:gridSpan w:val="2"/>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供应商统一社会信用代码</w:t>
            </w: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spacing w:line="360" w:lineRule="auto"/>
              <w:jc w:val="center"/>
              <w:rPr>
                <w:rFonts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职务</w:t>
            </w:r>
          </w:p>
        </w:tc>
        <w:tc>
          <w:tcPr>
            <w:tcW w:w="1429" w:type="dxa"/>
            <w:vAlign w:val="center"/>
          </w:tcPr>
          <w:p>
            <w:pPr>
              <w:spacing w:line="360" w:lineRule="auto"/>
              <w:jc w:val="center"/>
              <w:rPr>
                <w:rFonts w:ascii="宋体" w:hAnsi="宋体" w:cs="宋体"/>
                <w:szCs w:val="21"/>
              </w:rPr>
            </w:pPr>
            <w:r>
              <w:rPr>
                <w:rFonts w:hint="eastAsia" w:ascii="宋体" w:hAnsi="宋体" w:cs="宋体"/>
                <w:szCs w:val="21"/>
              </w:rPr>
              <w:t>姓名</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身份证号码</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劳动合同</w:t>
            </w:r>
          </w:p>
          <w:p>
            <w:pPr>
              <w:spacing w:line="360" w:lineRule="auto"/>
              <w:jc w:val="center"/>
              <w:rPr>
                <w:rFonts w:ascii="宋体" w:hAnsi="宋体" w:cs="宋体"/>
                <w:szCs w:val="21"/>
              </w:rPr>
            </w:pPr>
            <w:r>
              <w:rPr>
                <w:rFonts w:hint="eastAsia" w:ascii="宋体" w:hAnsi="宋体" w:cs="宋体"/>
                <w:szCs w:val="21"/>
              </w:rPr>
              <w:t>关系单位</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缴纳社会</w:t>
            </w:r>
          </w:p>
          <w:p>
            <w:pPr>
              <w:spacing w:line="360" w:lineRule="auto"/>
              <w:jc w:val="center"/>
              <w:rPr>
                <w:rFonts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1</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法定代表人/单位负责人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2</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主要经营负责人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3</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项目投标授权代表人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项目负责人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5</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主要技术人员</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6</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投标文件编制人员</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left"/>
              <w:rPr>
                <w:rFonts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center"/>
              <w:rPr>
                <w:rFonts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3386" w:type="dxa"/>
            <w:gridSpan w:val="2"/>
            <w:vAlign w:val="center"/>
          </w:tcPr>
          <w:p>
            <w:pPr>
              <w:spacing w:line="360" w:lineRule="auto"/>
              <w:jc w:val="center"/>
              <w:rPr>
                <w:rFonts w:ascii="宋体" w:hAnsi="宋体" w:cs="宋体"/>
                <w:szCs w:val="21"/>
              </w:rPr>
            </w:pPr>
            <w:r>
              <w:rPr>
                <w:rFonts w:hint="eastAsia" w:ascii="宋体" w:hAnsi="宋体" w:cs="宋体"/>
                <w:szCs w:val="21"/>
              </w:rPr>
              <w:t>关联关系类型</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关联主体名称</w:t>
            </w: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1</w:t>
            </w:r>
          </w:p>
        </w:tc>
        <w:tc>
          <w:tcPr>
            <w:tcW w:w="3386" w:type="dxa"/>
            <w:gridSpan w:val="2"/>
            <w:vAlign w:val="center"/>
          </w:tcPr>
          <w:p>
            <w:pPr>
              <w:spacing w:line="360" w:lineRule="auto"/>
              <w:jc w:val="center"/>
              <w:rPr>
                <w:rFonts w:ascii="宋体" w:hAnsi="宋体" w:cs="宋体"/>
                <w:szCs w:val="21"/>
              </w:rPr>
            </w:pPr>
            <w:r>
              <w:rPr>
                <w:rFonts w:hint="eastAsia" w:ascii="宋体" w:hAnsi="宋体" w:cs="宋体"/>
                <w:szCs w:val="21"/>
              </w:rPr>
              <w:t>控股股东</w:t>
            </w:r>
          </w:p>
        </w:tc>
        <w:tc>
          <w:tcPr>
            <w:tcW w:w="1583" w:type="dxa"/>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2</w:t>
            </w:r>
          </w:p>
        </w:tc>
        <w:tc>
          <w:tcPr>
            <w:tcW w:w="3386" w:type="dxa"/>
            <w:gridSpan w:val="2"/>
            <w:vAlign w:val="center"/>
          </w:tcPr>
          <w:p>
            <w:pPr>
              <w:spacing w:line="360" w:lineRule="auto"/>
              <w:jc w:val="center"/>
              <w:rPr>
                <w:rFonts w:ascii="宋体" w:hAnsi="宋体" w:cs="宋体"/>
                <w:szCs w:val="21"/>
              </w:rPr>
            </w:pPr>
            <w:r>
              <w:rPr>
                <w:rFonts w:hint="eastAsia" w:ascii="宋体" w:hAnsi="宋体" w:cs="宋体"/>
                <w:szCs w:val="21"/>
              </w:rPr>
              <w:t>管理关系</w:t>
            </w:r>
          </w:p>
        </w:tc>
        <w:tc>
          <w:tcPr>
            <w:tcW w:w="1583" w:type="dxa"/>
            <w:vAlign w:val="center"/>
          </w:tcPr>
          <w:p>
            <w:pPr>
              <w:spacing w:line="360" w:lineRule="auto"/>
              <w:jc w:val="center"/>
              <w:rPr>
                <w:rFonts w:ascii="宋体" w:hAnsi="宋体" w:cs="宋体"/>
                <w:szCs w:val="21"/>
              </w:rPr>
            </w:pPr>
          </w:p>
        </w:tc>
        <w:tc>
          <w:tcPr>
            <w:tcW w:w="3166" w:type="dxa"/>
            <w:gridSpan w:val="2"/>
            <w:vAlign w:val="center"/>
          </w:tcPr>
          <w:p>
            <w:pPr>
              <w:spacing w:line="360" w:lineRule="auto"/>
              <w:rPr>
                <w:rFonts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spacing w:line="360" w:lineRule="auto"/>
              <w:jc w:val="left"/>
              <w:rPr>
                <w:rFonts w:ascii="宋体" w:hAnsi="宋体" w:cs="宋体"/>
                <w:szCs w:val="21"/>
              </w:rPr>
            </w:pPr>
            <w:r>
              <w:rPr>
                <w:rFonts w:hint="eastAsia" w:ascii="宋体" w:hAnsi="宋体" w:cs="宋体"/>
                <w:b/>
                <w:bCs/>
                <w:szCs w:val="21"/>
              </w:rPr>
              <w:t>说明：同一关联关系类型有多个主体的，应分行填写。</w:t>
            </w:r>
          </w:p>
        </w:tc>
      </w:tr>
    </w:tbl>
    <w:p>
      <w:pPr>
        <w:spacing w:line="360" w:lineRule="auto"/>
        <w:rPr>
          <w:rFonts w:ascii="宋体" w:hAnsi="宋体" w:cs="宋体"/>
          <w:b/>
          <w:bCs/>
        </w:rPr>
      </w:pPr>
      <w:r>
        <w:rPr>
          <w:rFonts w:hint="eastAsia" w:ascii="宋体" w:hAnsi="宋体" w:cs="宋体"/>
          <w:b/>
          <w:bCs/>
        </w:rPr>
        <w:t>备注：</w:t>
      </w:r>
    </w:p>
    <w:p>
      <w:pPr>
        <w:spacing w:line="360" w:lineRule="auto"/>
        <w:rPr>
          <w:rFonts w:ascii="宋体" w:hAnsi="宋体" w:cs="宋体"/>
          <w:b/>
          <w:bCs/>
        </w:rPr>
      </w:pPr>
      <w:r>
        <w:rPr>
          <w:rFonts w:hint="eastAsia" w:ascii="宋体" w:hAnsi="宋体" w:cs="宋体"/>
          <w:b/>
          <w:bCs/>
        </w:rPr>
        <w:t>1.本表中填报的人员姓名、身份证号码、缴纳社会保险单位应与社保证明材料中显示的信息相同。</w:t>
      </w:r>
    </w:p>
    <w:p>
      <w:pPr>
        <w:spacing w:line="360" w:lineRule="auto"/>
        <w:rPr>
          <w:rFonts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p>
      <w:pPr>
        <w:rPr>
          <w:rFonts w:ascii="宋体" w:hAnsi="宋体" w:cs="宋体"/>
          <w:sz w:val="30"/>
          <w:szCs w:val="30"/>
        </w:rPr>
      </w:pPr>
      <w:r>
        <w:rPr>
          <w:rFonts w:hint="eastAsia" w:ascii="宋体" w:hAnsi="宋体" w:cs="宋体"/>
          <w:sz w:val="30"/>
          <w:szCs w:val="30"/>
        </w:rPr>
        <w:br w:type="page"/>
      </w:r>
    </w:p>
    <w:p>
      <w:pPr>
        <w:pStyle w:val="3"/>
        <w:ind w:left="420" w:hanging="420"/>
        <w:jc w:val="center"/>
        <w:rPr>
          <w:rFonts w:ascii="宋体" w:hAnsi="宋体" w:cs="宋体"/>
          <w:color w:val="000000"/>
          <w:kern w:val="0"/>
          <w:sz w:val="44"/>
          <w:szCs w:val="44"/>
          <w:lang w:bidi="ar"/>
        </w:rPr>
      </w:pPr>
      <w:bookmarkStart w:id="15" w:name="_Toc14311"/>
      <w:bookmarkStart w:id="16" w:name="_Toc17532"/>
      <w:r>
        <w:rPr>
          <w:rFonts w:hint="eastAsia" w:ascii="宋体" w:hAnsi="宋体" w:cs="宋体"/>
          <w:color w:val="000000"/>
          <w:kern w:val="0"/>
          <w:sz w:val="44"/>
          <w:szCs w:val="44"/>
          <w:lang w:bidi="ar"/>
        </w:rPr>
        <w:t>提供社会保险证明</w:t>
      </w:r>
      <w:bookmarkEnd w:id="15"/>
      <w:bookmarkEnd w:id="16"/>
    </w:p>
    <w:p>
      <w:pPr>
        <w:pStyle w:val="24"/>
      </w:pP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spacing w:line="500" w:lineRule="exact"/>
        <w:rPr>
          <w:rFonts w:hint="eastAsia" w:ascii="仿宋_GB2312" w:hAnsi="仿宋_GB2312" w:eastAsia="仿宋_GB2312" w:cs="仿宋_GB2312"/>
          <w:sz w:val="28"/>
          <w:szCs w:val="28"/>
        </w:rPr>
      </w:pPr>
    </w:p>
    <w:p>
      <w:pPr>
        <w:pStyle w:val="2"/>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6.若因社保部门原因无法提供的，需提供劳动合同及社保部门官方通知证明（或官网公告截图）。</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jc w:val="center"/>
        <w:rPr>
          <w:rFonts w:ascii="宋体" w:hAnsi="宋体" w:cs="宋体"/>
          <w:b/>
          <w:bCs/>
          <w:sz w:val="44"/>
          <w:szCs w:val="44"/>
        </w:rPr>
      </w:pPr>
    </w:p>
    <w:p>
      <w:pPr>
        <w:jc w:val="center"/>
        <w:rPr>
          <w:rFonts w:ascii="宋体" w:hAnsi="宋体" w:cs="宋体"/>
          <w:b/>
          <w:bCs/>
          <w:sz w:val="44"/>
          <w:szCs w:val="44"/>
        </w:rPr>
      </w:pPr>
    </w:p>
    <w:p>
      <w:pPr>
        <w:jc w:val="center"/>
        <w:rPr>
          <w:rFonts w:ascii="仿宋" w:hAnsi="仿宋" w:eastAsia="仿宋" w:cs="仿宋"/>
          <w:b/>
          <w:bCs/>
          <w:sz w:val="28"/>
          <w:szCs w:val="36"/>
        </w:rPr>
      </w:pPr>
      <w:r>
        <w:rPr>
          <w:rFonts w:hint="eastAsia" w:ascii="宋体" w:hAnsi="宋体" w:cs="宋体"/>
          <w:b/>
          <w:bCs/>
          <w:sz w:val="44"/>
          <w:szCs w:val="44"/>
        </w:rPr>
        <w:t>政府采购优惠政策（根据实际情况提供）</w:t>
      </w:r>
    </w:p>
    <w:p>
      <w:pPr>
        <w:pStyle w:val="4"/>
        <w:spacing w:beforeAutospacing="0" w:afterAutospacing="0" w:line="500" w:lineRule="exact"/>
        <w:jc w:val="center"/>
        <w:rPr>
          <w:rFonts w:hint="default" w:ascii="黑体"/>
          <w:sz w:val="32"/>
          <w:szCs w:val="32"/>
        </w:rPr>
      </w:pPr>
    </w:p>
    <w:p>
      <w:pPr>
        <w:pStyle w:val="4"/>
        <w:spacing w:beforeAutospacing="0" w:afterAutospacing="0" w:line="400" w:lineRule="exact"/>
        <w:ind w:firstLine="560" w:firstLineChars="200"/>
        <w:jc w:val="both"/>
        <w:rPr>
          <w:rFonts w:hint="default" w:ascii="黑体" w:hAnsi="黑体" w:eastAsia="黑体" w:cs="黑体"/>
          <w:bCs/>
          <w:sz w:val="28"/>
          <w:szCs w:val="28"/>
        </w:rPr>
      </w:pPr>
      <w:r>
        <w:rPr>
          <w:rFonts w:ascii="黑体" w:hAnsi="黑体" w:eastAsia="黑体" w:cs="黑体"/>
          <w:sz w:val="28"/>
          <w:szCs w:val="28"/>
        </w:rPr>
        <w:t>一、投标人情况及资格证明文件</w:t>
      </w:r>
      <w:bookmarkStart w:id="17" w:name="_Hlk72257590"/>
    </w:p>
    <w:p>
      <w:pPr>
        <w:spacing w:line="400" w:lineRule="exact"/>
        <w:ind w:firstLine="560" w:firstLineChars="200"/>
        <w:jc w:val="left"/>
        <w:outlineLvl w:val="3"/>
        <w:rPr>
          <w:rFonts w:ascii="楷体" w:hAnsi="楷体" w:eastAsia="楷体" w:cs="楷体"/>
          <w:bCs/>
          <w:sz w:val="28"/>
          <w:szCs w:val="28"/>
        </w:rPr>
      </w:pPr>
      <w:r>
        <w:rPr>
          <w:rFonts w:hint="eastAsia" w:ascii="楷体" w:hAnsi="楷体" w:eastAsia="楷体" w:cs="楷体"/>
          <w:bCs/>
          <w:sz w:val="28"/>
          <w:szCs w:val="28"/>
        </w:rPr>
        <w:t>（一）投标人资格证明文件</w:t>
      </w:r>
    </w:p>
    <w:p>
      <w:pPr>
        <w:spacing w:line="4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[特别提示：投标人须按本招标文件第一册第一章招标公告“申请人的资格要求”（即投标人资格要求）提供相关的资格证明资料，未提供或提供不完整、不符合要求的，将作投标无效处理]</w:t>
      </w:r>
    </w:p>
    <w:p>
      <w:pPr>
        <w:spacing w:line="400" w:lineRule="exact"/>
        <w:ind w:firstLine="560" w:firstLineChars="200"/>
        <w:jc w:val="left"/>
        <w:outlineLvl w:val="3"/>
        <w:rPr>
          <w:rFonts w:ascii="楷体" w:hAnsi="楷体" w:eastAsia="楷体" w:cs="楷体"/>
          <w:bCs/>
          <w:sz w:val="28"/>
          <w:szCs w:val="28"/>
        </w:rPr>
      </w:pPr>
      <w:r>
        <w:rPr>
          <w:rFonts w:hint="eastAsia" w:ascii="楷体" w:hAnsi="楷体" w:eastAsia="楷体" w:cs="楷体"/>
          <w:bCs/>
          <w:sz w:val="28"/>
          <w:szCs w:val="28"/>
        </w:rPr>
        <w:t>（二）中小企业声明函、残疾人福利性单位声明函及监狱企业声明函</w:t>
      </w:r>
      <w:bookmarkEnd w:id="17"/>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填写指引：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2.该部分内容填写需要参考的相关文件：</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（1）财政部《政府采购促进中小企业发展管理办法》（财库〔2020〕46号）；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bookmarkStart w:id="18" w:name="_Hlk71925120"/>
      <w:r>
        <w:rPr>
          <w:rFonts w:hint="eastAsia" w:ascii="仿宋_GB2312" w:hAnsi="仿宋_GB2312" w:eastAsia="仿宋_GB2312" w:cs="仿宋_GB2312"/>
          <w:sz w:val="28"/>
          <w:szCs w:val="28"/>
        </w:rPr>
        <w:t>《工业和信息化部、国家统计局、国家发展和改革委员会、财政部关于印发中小企业划型标准规定的通知》（工信部联企业〔2011〕300号</w:t>
      </w:r>
      <w:bookmarkEnd w:id="18"/>
      <w:r>
        <w:rPr>
          <w:rFonts w:hint="eastAsia" w:ascii="仿宋_GB2312" w:hAnsi="仿宋_GB2312" w:eastAsia="仿宋_GB2312" w:cs="仿宋_GB2312"/>
          <w:sz w:val="28"/>
          <w:szCs w:val="28"/>
        </w:rPr>
        <w:t>，以下简称300号文）；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（4）《关于印发中小企业划型标准规定的通知》（工信部联企业〔2011〕300号）；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（5）《统计上大中小微型企业划分办法（2017）》（国统字〔2017〕213号）；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（6）《关于促进残疾人就业政府采购政策的通知》（财库〔2017〕141号）；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（7）《关于政府采购支持监狱企业发展有关问题的通知》（财库〔2014〕68号）。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3.请依照提供的格式和内容填写声明函，不要随意变更格式；声明函不需要盖章或签字；满足多项优惠政策的投标人，不重复享受多项价格扣除政策。</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4.声明函具体填写要求：</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（1）声明是中小企业须填写《中小企业声明函》的以下内容：</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第一处，在“单位名称”下划线处如实填写采购人名称（深圳公共资源交易中心不是本项目的采购人，而是组织实施机构）；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第二处，在“项目名称”下划线处如实填写采购项目名称；</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第三处，在“标的名称”下划线处填写所采购货物（标的）的具体名称；如果涉及多项货物（标的）为同一企业制造，“标的名称”下划线处可以如实填写多项货物；</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第四处，在“招标文件中明确的所属行业”下划线处填写采购标的对应的中小企业划分标准所属行业；</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（2）声明：残疾人福利性单位须填写《残疾人福利性单位声明函》的相关内容，具体参照以上《中小企业声明函》填写要求执行。</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（3）声明：监狱企业须填写《监狱企业声明函》的三项内容（填写位置的字体已加粗），具体参照以上《中小企业声明函》填写要求执行。</w:t>
      </w:r>
    </w:p>
    <w:p>
      <w:pPr>
        <w:spacing w:line="400" w:lineRule="exact"/>
        <w:ind w:firstLine="560" w:firstLineChars="200"/>
        <w:rPr>
          <w:rFonts w:ascii="方正仿宋_GB2312" w:hAnsi="方正仿宋_GB2312" w:eastAsia="方正仿宋_GB2312" w:cs="方正仿宋_GB2312"/>
          <w:sz w:val="28"/>
          <w:szCs w:val="28"/>
        </w:rPr>
      </w:pPr>
      <w:r>
        <w:rPr>
          <w:rFonts w:hint="eastAsia" w:ascii="仿宋_GB2312" w:hAnsi="仿宋_GB2312" w:eastAsia="仿宋_GB2312" w:cs="仿宋_GB2312"/>
          <w:sz w:val="28"/>
          <w:szCs w:val="28"/>
        </w:rPr>
        <w:t>5.声明函的有效性最终由评审委员会判定；如评审委员会判定声明函无效，相关供应商不享受价格扣除（但不作投标无效处理）。</w:t>
      </w:r>
    </w:p>
    <w:p>
      <w:pPr>
        <w:pStyle w:val="4"/>
        <w:spacing w:beforeAutospacing="0" w:afterAutospacing="0" w:line="400" w:lineRule="exact"/>
        <w:ind w:firstLine="560" w:firstLineChars="200"/>
        <w:jc w:val="both"/>
        <w:rPr>
          <w:rFonts w:hint="default"/>
          <w:b/>
          <w:sz w:val="28"/>
          <w:szCs w:val="28"/>
        </w:rPr>
      </w:pPr>
      <w:r>
        <w:rPr>
          <w:rFonts w:ascii="黑体" w:hAnsi="黑体" w:eastAsia="黑体" w:cs="黑体"/>
          <w:sz w:val="28"/>
          <w:szCs w:val="28"/>
        </w:rPr>
        <w:t>二、相关模板</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2"/>
        <w:rPr>
          <w:b/>
          <w:sz w:val="36"/>
          <w:szCs w:val="36"/>
        </w:rPr>
      </w:pPr>
    </w:p>
    <w:p>
      <w:pPr>
        <w:rPr>
          <w:b/>
          <w:sz w:val="36"/>
          <w:szCs w:val="36"/>
        </w:rPr>
      </w:pPr>
    </w:p>
    <w:p>
      <w:pPr>
        <w:pStyle w:val="2"/>
        <w:rPr>
          <w:b/>
          <w:sz w:val="36"/>
          <w:szCs w:val="36"/>
        </w:rPr>
      </w:pPr>
    </w:p>
    <w:p>
      <w:pPr>
        <w:rPr>
          <w:b/>
          <w:sz w:val="36"/>
          <w:szCs w:val="36"/>
        </w:rPr>
      </w:pPr>
    </w:p>
    <w:p>
      <w:pPr>
        <w:spacing w:line="500" w:lineRule="exact"/>
        <w:jc w:val="center"/>
        <w:rPr>
          <w:rFonts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6"/>
          <w:szCs w:val="36"/>
        </w:rPr>
        <w:t>（一）中小企业声明函</w:t>
      </w:r>
    </w:p>
    <w:p>
      <w:pPr>
        <w:spacing w:line="400" w:lineRule="exact"/>
        <w:ind w:firstLine="640" w:firstLineChars="200"/>
        <w:rPr>
          <w:rFonts w:ascii="方正仿宋_GB2312" w:hAnsi="方正仿宋_GB2312" w:eastAsia="方正仿宋_GB2312" w:cs="方正仿宋_GB2312"/>
          <w:sz w:val="32"/>
          <w:szCs w:val="32"/>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已知悉《政府采购促进中小企业发展管理办法》（财库〔2020〕46号）、《中小企业划型》（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本公司（联合体）郑重声明，根据《政府采购促进中小企业发展管理办法》（财库〔2020〕46号）的规定，本公司（联合体）参加</w:t>
      </w:r>
      <w:r>
        <w:rPr>
          <w:rFonts w:hint="eastAsia" w:ascii="仿宋_GB2312" w:hAnsi="仿宋_GB2312" w:eastAsia="仿宋_GB2312" w:cs="仿宋_GB2312"/>
          <w:sz w:val="28"/>
          <w:szCs w:val="28"/>
          <w:u w:val="single"/>
        </w:rPr>
        <w:t>（单位名称）</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（项目名称）</w:t>
      </w:r>
      <w:r>
        <w:rPr>
          <w:rFonts w:hint="eastAsia" w:ascii="仿宋_GB2312" w:hAnsi="仿宋_GB2312" w:eastAsia="仿宋_GB2312" w:cs="仿宋_GB2312"/>
          <w:sz w:val="28"/>
          <w:szCs w:val="28"/>
        </w:rPr>
        <w:t>采购活动，</w:t>
      </w:r>
      <w:r>
        <w:rPr>
          <w:rFonts w:hint="eastAsia" w:ascii="仿宋_GB2312" w:hAnsi="仿宋_GB2312" w:eastAsia="仿宋_GB2312" w:cs="仿宋_GB2312"/>
          <w:snapToGrid w:val="0"/>
          <w:kern w:val="0"/>
          <w:sz w:val="28"/>
          <w:szCs w:val="28"/>
          <w:lang w:val="en-GB"/>
        </w:rPr>
        <w:t>服务全部由符合政策要求的中小企业</w:t>
      </w:r>
      <w:r>
        <w:rPr>
          <w:rFonts w:hint="eastAsia" w:ascii="仿宋_GB2312" w:hAnsi="仿宋_GB2312" w:eastAsia="仿宋_GB2312" w:cs="仿宋_GB2312"/>
          <w:snapToGrid w:val="0"/>
          <w:kern w:val="0"/>
          <w:sz w:val="28"/>
          <w:szCs w:val="28"/>
        </w:rPr>
        <w:t>提供</w:t>
      </w:r>
      <w:r>
        <w:rPr>
          <w:rFonts w:hint="eastAsia" w:ascii="仿宋_GB2312" w:hAnsi="仿宋_GB2312" w:eastAsia="仿宋_GB2312" w:cs="仿宋_GB2312"/>
          <w:sz w:val="28"/>
          <w:szCs w:val="28"/>
        </w:rPr>
        <w:t>。相关企业（含联合体中的中小企业、签订分包意向协议的中小企业）的具体情况如下：</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（标的名称）</w:t>
      </w:r>
      <w:r>
        <w:rPr>
          <w:rFonts w:hint="eastAsia" w:ascii="仿宋_GB2312" w:hAnsi="仿宋_GB2312" w:eastAsia="仿宋_GB2312" w:cs="仿宋_GB2312"/>
          <w:sz w:val="28"/>
          <w:szCs w:val="28"/>
        </w:rPr>
        <w:t>，属于</w:t>
      </w:r>
      <w:r>
        <w:rPr>
          <w:rFonts w:hint="eastAsia" w:ascii="仿宋_GB2312" w:hAnsi="仿宋_GB2312" w:eastAsia="仿宋_GB2312" w:cs="仿宋_GB2312"/>
          <w:sz w:val="28"/>
          <w:szCs w:val="28"/>
          <w:u w:val="single"/>
        </w:rPr>
        <w:t>（采购文件中明确的所属行业）</w:t>
      </w:r>
      <w:r>
        <w:rPr>
          <w:rFonts w:hint="eastAsia" w:ascii="仿宋_GB2312" w:hAnsi="仿宋_GB2312" w:eastAsia="仿宋_GB2312" w:cs="仿宋_GB2312"/>
          <w:sz w:val="28"/>
          <w:szCs w:val="28"/>
        </w:rPr>
        <w:t>行业；</w:t>
      </w:r>
      <w:r>
        <w:rPr>
          <w:rFonts w:hint="eastAsia" w:ascii="仿宋_GB2312" w:hAnsi="仿宋_GB2312" w:eastAsia="仿宋_GB2312" w:cs="仿宋_GB2312"/>
          <w:snapToGrid w:val="0"/>
          <w:kern w:val="0"/>
          <w:sz w:val="28"/>
          <w:szCs w:val="28"/>
        </w:rPr>
        <w:t>投标</w:t>
      </w:r>
      <w:r>
        <w:rPr>
          <w:rFonts w:hint="eastAsia" w:ascii="仿宋_GB2312" w:hAnsi="仿宋_GB2312" w:eastAsia="仿宋_GB2312" w:cs="仿宋_GB2312"/>
          <w:snapToGrid w:val="0"/>
          <w:kern w:val="0"/>
          <w:sz w:val="28"/>
          <w:szCs w:val="28"/>
          <w:lang w:val="en-GB"/>
        </w:rPr>
        <w:t>企业为（企业名称），从业人员</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lang w:val="en-GB"/>
        </w:rPr>
        <w:t>人，营业收入为</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lang w:val="en-GB"/>
        </w:rPr>
        <w:t>万元，资产总额为</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u w:val="single"/>
        </w:rPr>
        <w:t xml:space="preserve"> </w:t>
      </w:r>
      <w:r>
        <w:rPr>
          <w:rFonts w:hint="eastAsia" w:ascii="仿宋_GB2312" w:hAnsi="仿宋_GB2312" w:eastAsia="仿宋_GB2312" w:cs="仿宋_GB2312"/>
          <w:snapToGrid w:val="0"/>
          <w:kern w:val="0"/>
          <w:sz w:val="28"/>
          <w:szCs w:val="28"/>
          <w:lang w:val="en-GB"/>
        </w:rPr>
        <w:t>万元，属于</w:t>
      </w:r>
      <w:r>
        <w:rPr>
          <w:rFonts w:hint="eastAsia" w:ascii="仿宋_GB2312" w:hAnsi="仿宋_GB2312" w:eastAsia="仿宋_GB2312" w:cs="仿宋_GB2312"/>
          <w:snapToGrid w:val="0"/>
          <w:kern w:val="0"/>
          <w:sz w:val="28"/>
          <w:szCs w:val="28"/>
          <w:u w:val="single"/>
          <w:lang w:val="en-GB"/>
        </w:rPr>
        <w:t>（中型企业、小型企业、微型企业）</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本企业对上述声明内容的真实性负责。如有虚假，将依法承担相应责任。</w:t>
      </w:r>
    </w:p>
    <w:p>
      <w:pPr>
        <w:pStyle w:val="2"/>
        <w:rPr>
          <w:rFonts w:hint="eastAsia" w:ascii="仿宋_GB2312" w:hAnsi="仿宋_GB2312" w:eastAsia="仿宋_GB2312" w:cs="仿宋_GB2312"/>
          <w:sz w:val="28"/>
          <w:szCs w:val="28"/>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企业名称（盖章）：</w:t>
      </w:r>
    </w:p>
    <w:p>
      <w:pPr>
        <w:spacing w:line="44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 xml:space="preserve">                                    日期：</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2"/>
      </w:pPr>
    </w:p>
    <w:p>
      <w:pPr>
        <w:spacing w:line="500" w:lineRule="exact"/>
        <w:jc w:val="center"/>
        <w:rPr>
          <w:b/>
          <w:sz w:val="36"/>
          <w:szCs w:val="36"/>
        </w:rPr>
      </w:pPr>
      <w:r>
        <w:rPr>
          <w:rFonts w:hint="eastAsia"/>
          <w:b/>
          <w:sz w:val="36"/>
          <w:szCs w:val="36"/>
        </w:rPr>
        <w:t>（二）残疾人福利性单位声明函</w:t>
      </w:r>
    </w:p>
    <w:p>
      <w:pPr>
        <w:spacing w:line="500" w:lineRule="exact"/>
        <w:ind w:firstLine="640" w:firstLineChars="200"/>
        <w:jc w:val="left"/>
        <w:rPr>
          <w:rFonts w:ascii="方正仿宋_GB2312" w:hAnsi="方正仿宋_GB2312" w:eastAsia="方正仿宋_GB2312" w:cs="方正仿宋_GB2312"/>
          <w:sz w:val="32"/>
          <w:szCs w:val="32"/>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本单位知悉《促进残疾人就业政府采购政策的通知》（财库〔2017〕141号）的规定，承诺提供的声明函内容是真实的，如提供声明函内容不实，则依法追究相关法律责任。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2"/>
        <w:tabs>
          <w:tab w:val="left" w:pos="562"/>
          <w:tab w:val="left" w:pos="3372"/>
          <w:tab w:val="left" w:pos="3653"/>
        </w:tabs>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pStyle w:val="2"/>
        <w:rPr>
          <w:rFonts w:ascii="方正仿宋_GB2312" w:hAnsi="方正仿宋_GB2312" w:eastAsia="方正仿宋_GB2312" w:cs="方正仿宋_GB2312"/>
        </w:rPr>
      </w:pPr>
    </w:p>
    <w:p>
      <w:pPr>
        <w:pStyle w:val="2"/>
        <w:rPr>
          <w:rFonts w:ascii="方正仿宋_GB2312" w:hAnsi="方正仿宋_GB2312" w:eastAsia="方正仿宋_GB2312" w:cs="方正仿宋_GB2312"/>
        </w:rPr>
      </w:pPr>
    </w:p>
    <w:p>
      <w:pPr>
        <w:rPr>
          <w:rFonts w:ascii="方正仿宋_GB2312" w:hAnsi="方正仿宋_GB2312" w:eastAsia="方正仿宋_GB2312" w:cs="方正仿宋_GB2312"/>
          <w:sz w:val="32"/>
          <w:szCs w:val="32"/>
        </w:rPr>
      </w:pPr>
    </w:p>
    <w:p>
      <w:pPr>
        <w:rPr>
          <w:rFonts w:ascii="方正仿宋_GB2312" w:hAnsi="方正仿宋_GB2312" w:eastAsia="方正仿宋_GB2312" w:cs="方正仿宋_GB2312"/>
          <w:sz w:val="32"/>
          <w:szCs w:val="32"/>
        </w:rPr>
      </w:pPr>
    </w:p>
    <w:p>
      <w:pPr>
        <w:rPr>
          <w:rFonts w:ascii="方正仿宋_GB2312" w:hAnsi="方正仿宋_GB2312" w:eastAsia="方正仿宋_GB2312" w:cs="方正仿宋_GB2312"/>
          <w:sz w:val="32"/>
          <w:szCs w:val="32"/>
        </w:rPr>
      </w:pPr>
    </w:p>
    <w:p>
      <w:pPr>
        <w:pStyle w:val="22"/>
      </w:pPr>
    </w:p>
    <w:p/>
    <w:p/>
    <w:p/>
    <w:p>
      <w:pPr>
        <w:numPr>
          <w:ilvl w:val="0"/>
          <w:numId w:val="3"/>
        </w:numPr>
        <w:spacing w:line="500" w:lineRule="exact"/>
        <w:jc w:val="center"/>
        <w:rPr>
          <w:b/>
          <w:sz w:val="36"/>
          <w:szCs w:val="36"/>
        </w:rPr>
      </w:pPr>
      <w:r>
        <w:rPr>
          <w:rFonts w:hint="eastAsia"/>
          <w:b/>
          <w:sz w:val="36"/>
          <w:szCs w:val="36"/>
        </w:rPr>
        <w:t>监狱企业声明函</w:t>
      </w:r>
    </w:p>
    <w:p>
      <w:pPr>
        <w:pStyle w:val="2"/>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附：省级以上监狱管理局、戒毒管理局（含新疆生产建设兵团）出具的监狱企业证明文件。</w:t>
      </w:r>
    </w:p>
    <w:p>
      <w:pPr>
        <w:spacing w:line="560" w:lineRule="exact"/>
        <w:ind w:firstLine="560" w:firstLineChars="200"/>
        <w:jc w:val="left"/>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spacing w:line="56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4480" w:firstLineChars="1600"/>
        <w:jc w:val="left"/>
        <w:rPr>
          <w:b/>
          <w:sz w:val="28"/>
          <w:szCs w:val="28"/>
        </w:rPr>
      </w:pPr>
      <w:r>
        <w:rPr>
          <w:rFonts w:hint="eastAsia" w:ascii="仿宋_GB2312" w:hAnsi="仿宋_GB2312" w:eastAsia="仿宋_GB2312" w:cs="仿宋_GB2312"/>
          <w:sz w:val="28"/>
          <w:szCs w:val="28"/>
        </w:rPr>
        <w:t>日  期：</w:t>
      </w:r>
    </w:p>
    <w:p>
      <w:pPr>
        <w:pStyle w:val="4"/>
        <w:spacing w:beforeAutospacing="0" w:afterAutospacing="0" w:line="500" w:lineRule="exact"/>
        <w:ind w:firstLine="643" w:firstLineChars="200"/>
        <w:jc w:val="both"/>
        <w:rPr>
          <w:rFonts w:hint="default" w:ascii="Calibri" w:hAnsi="Calibri" w:cs="黑体"/>
          <w:b/>
          <w:kern w:val="2"/>
          <w:sz w:val="32"/>
          <w:szCs w:val="32"/>
        </w:rPr>
      </w:pPr>
    </w:p>
    <w:p>
      <w:pPr>
        <w:pStyle w:val="4"/>
        <w:spacing w:beforeAutospacing="0" w:afterAutospacing="0" w:line="500" w:lineRule="exact"/>
        <w:ind w:firstLine="643" w:firstLineChars="200"/>
        <w:jc w:val="both"/>
        <w:rPr>
          <w:rFonts w:hint="default" w:ascii="Calibri" w:hAnsi="Calibri" w:cs="黑体"/>
          <w:b/>
          <w:kern w:val="2"/>
          <w:sz w:val="32"/>
          <w:szCs w:val="32"/>
        </w:rPr>
      </w:pPr>
    </w:p>
    <w:p>
      <w:pPr>
        <w:sectPr>
          <w:headerReference r:id="rId4" w:type="default"/>
          <w:footerReference r:id="rId5" w:type="default"/>
          <w:pgSz w:w="11906" w:h="16838"/>
          <w:pgMar w:top="1644" w:right="1587" w:bottom="1531" w:left="1474" w:header="31" w:footer="1587" w:gutter="0"/>
          <w:pgNumType w:fmt="numberInDash"/>
          <w:cols w:space="720" w:num="1"/>
          <w:docGrid w:type="lines" w:linePitch="312" w:charSpace="0"/>
        </w:sectPr>
      </w:pPr>
    </w:p>
    <w:tbl>
      <w:tblPr>
        <w:tblStyle w:val="14"/>
        <w:tblW w:w="13061" w:type="dxa"/>
        <w:tblInd w:w="0" w:type="dxa"/>
        <w:tblLayout w:type="fixed"/>
        <w:tblCellMar>
          <w:top w:w="15" w:type="dxa"/>
          <w:left w:w="15" w:type="dxa"/>
          <w:bottom w:w="15" w:type="dxa"/>
          <w:right w:w="15" w:type="dxa"/>
        </w:tblCellMar>
      </w:tblPr>
      <w:tblGrid>
        <w:gridCol w:w="4290"/>
        <w:gridCol w:w="3618"/>
        <w:gridCol w:w="2960"/>
        <w:gridCol w:w="2193"/>
      </w:tblGrid>
      <w:tr>
        <w:tblPrEx>
          <w:tblCellMar>
            <w:top w:w="15" w:type="dxa"/>
            <w:left w:w="15" w:type="dxa"/>
            <w:bottom w:w="15" w:type="dxa"/>
            <w:right w:w="15" w:type="dxa"/>
          </w:tblCellMar>
        </w:tblPrEx>
        <w:trPr>
          <w:trHeight w:val="705" w:hRule="atLeast"/>
        </w:trPr>
        <w:tc>
          <w:tcPr>
            <w:tcW w:w="13061" w:type="dxa"/>
            <w:gridSpan w:val="4"/>
            <w:noWrap/>
            <w:vAlign w:val="center"/>
          </w:tcPr>
          <w:p>
            <w:pPr>
              <w:widowControl/>
              <w:jc w:val="center"/>
              <w:textAlignment w:val="center"/>
              <w:rPr>
                <w:rFonts w:ascii="仿宋" w:hAnsi="仿宋" w:eastAsia="仿宋" w:cs="仿宋"/>
                <w:b/>
                <w:color w:val="000000"/>
                <w:kern w:val="0"/>
                <w:sz w:val="44"/>
                <w:szCs w:val="44"/>
              </w:rPr>
            </w:pPr>
            <w:r>
              <w:rPr>
                <w:rFonts w:hint="eastAsia" w:ascii="仿宋" w:hAnsi="仿宋" w:eastAsia="仿宋" w:cs="仿宋"/>
                <w:b/>
                <w:color w:val="000000"/>
                <w:kern w:val="0"/>
                <w:sz w:val="44"/>
                <w:szCs w:val="44"/>
              </w:rPr>
              <w:t>开标一览表</w:t>
            </w:r>
          </w:p>
          <w:p>
            <w:pPr>
              <w:widowControl/>
              <w:textAlignment w:val="center"/>
              <w:rPr>
                <w:rFonts w:ascii="仿宋" w:hAnsi="仿宋" w:eastAsia="仿宋" w:cs="仿宋"/>
                <w:b/>
                <w:color w:val="000000"/>
                <w:kern w:val="0"/>
                <w:sz w:val="44"/>
                <w:szCs w:val="44"/>
              </w:rPr>
            </w:pPr>
          </w:p>
        </w:tc>
      </w:tr>
      <w:tr>
        <w:tblPrEx>
          <w:tblCellMar>
            <w:top w:w="15" w:type="dxa"/>
            <w:left w:w="15" w:type="dxa"/>
            <w:bottom w:w="15" w:type="dxa"/>
            <w:right w:w="15" w:type="dxa"/>
          </w:tblCellMar>
        </w:tblPrEx>
        <w:trPr>
          <w:trHeight w:val="524" w:hRule="atLeast"/>
        </w:trPr>
        <w:tc>
          <w:tcPr>
            <w:tcW w:w="1306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8"/>
                <w:szCs w:val="28"/>
              </w:rPr>
              <w:t>投标人名称：　</w:t>
            </w:r>
            <w:r>
              <w:rPr>
                <w:rFonts w:hint="eastAsia" w:ascii="仿宋" w:hAnsi="仿宋" w:eastAsia="仿宋" w:cs="仿宋"/>
                <w:color w:val="000000"/>
                <w:kern w:val="0"/>
                <w:sz w:val="22"/>
                <w:szCs w:val="22"/>
              </w:rPr>
              <w:t xml:space="preserve">　　　　　　　　　　　　　                        </w:t>
            </w:r>
            <w:r>
              <w:rPr>
                <w:rFonts w:hint="eastAsia" w:ascii="仿宋" w:hAnsi="仿宋" w:eastAsia="仿宋" w:cs="仿宋"/>
                <w:color w:val="000000"/>
                <w:kern w:val="0"/>
                <w:sz w:val="28"/>
                <w:szCs w:val="28"/>
              </w:rPr>
              <w:t>采购项目编号：</w:t>
            </w:r>
            <w:r>
              <w:rPr>
                <w:rFonts w:hint="eastAsia" w:ascii="仿宋" w:hAnsi="仿宋" w:eastAsia="仿宋" w:cs="仿宋"/>
                <w:sz w:val="28"/>
                <w:szCs w:val="28"/>
                <w:highlight w:val="none"/>
              </w:rPr>
              <w:t>深龙七医采[</w:t>
            </w:r>
            <w:r>
              <w:rPr>
                <w:rFonts w:hint="eastAsia" w:ascii="仿宋" w:hAnsi="仿宋" w:eastAsia="仿宋" w:cs="仿宋"/>
                <w:sz w:val="28"/>
                <w:szCs w:val="28"/>
                <w:lang w:eastAsia="zh-CN"/>
              </w:rPr>
              <w:t>LGQY2026XX00</w:t>
            </w:r>
            <w:r>
              <w:rPr>
                <w:rFonts w:hint="eastAsia" w:ascii="仿宋" w:hAnsi="仿宋" w:eastAsia="仿宋" w:cs="仿宋"/>
                <w:sz w:val="28"/>
                <w:szCs w:val="28"/>
                <w:lang w:val="en-US" w:eastAsia="zh-CN"/>
              </w:rPr>
              <w:t>3</w:t>
            </w:r>
            <w:r>
              <w:rPr>
                <w:rFonts w:hint="eastAsia" w:ascii="仿宋" w:hAnsi="仿宋" w:eastAsia="仿宋" w:cs="仿宋"/>
                <w:sz w:val="28"/>
                <w:szCs w:val="28"/>
                <w:highlight w:val="none"/>
              </w:rPr>
              <w:t>]</w:t>
            </w:r>
          </w:p>
        </w:tc>
      </w:tr>
      <w:tr>
        <w:tblPrEx>
          <w:tblCellMar>
            <w:top w:w="15" w:type="dxa"/>
            <w:left w:w="15" w:type="dxa"/>
            <w:bottom w:w="15" w:type="dxa"/>
            <w:right w:w="15" w:type="dxa"/>
          </w:tblCellMar>
        </w:tblPrEx>
        <w:trPr>
          <w:trHeight w:val="509" w:hRule="atLeast"/>
        </w:trPr>
        <w:tc>
          <w:tcPr>
            <w:tcW w:w="42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tc>
        <w:tc>
          <w:tcPr>
            <w:tcW w:w="36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投标</w:t>
            </w:r>
            <w:r>
              <w:rPr>
                <w:rFonts w:hint="eastAsia" w:ascii="仿宋" w:hAnsi="仿宋" w:eastAsia="仿宋" w:cs="仿宋"/>
                <w:color w:val="000000"/>
                <w:sz w:val="24"/>
                <w:lang w:val="en-US" w:eastAsia="zh-CN"/>
              </w:rPr>
              <w:t>总</w:t>
            </w:r>
            <w:r>
              <w:rPr>
                <w:rFonts w:hint="eastAsia" w:ascii="仿宋" w:hAnsi="仿宋" w:eastAsia="仿宋" w:cs="仿宋"/>
                <w:color w:val="000000"/>
                <w:sz w:val="24"/>
              </w:rPr>
              <w:t>价（元）</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平均单价（元/条）</w:t>
            </w:r>
          </w:p>
        </w:tc>
        <w:tc>
          <w:tcPr>
            <w:tcW w:w="21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备注</w:t>
            </w:r>
          </w:p>
        </w:tc>
      </w:tr>
      <w:tr>
        <w:tblPrEx>
          <w:tblCellMar>
            <w:top w:w="15" w:type="dxa"/>
            <w:left w:w="15" w:type="dxa"/>
            <w:bottom w:w="15" w:type="dxa"/>
            <w:right w:w="15" w:type="dxa"/>
          </w:tblCellMar>
        </w:tblPrEx>
        <w:trPr>
          <w:trHeight w:val="989" w:hRule="atLeast"/>
        </w:trPr>
        <w:tc>
          <w:tcPr>
            <w:tcW w:w="42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p>
        </w:tc>
        <w:tc>
          <w:tcPr>
            <w:tcW w:w="36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p>
        </w:tc>
        <w:tc>
          <w:tcPr>
            <w:tcW w:w="29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p>
        </w:tc>
        <w:tc>
          <w:tcPr>
            <w:tcW w:w="21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p>
        </w:tc>
      </w:tr>
    </w:tbl>
    <w:p>
      <w:pPr>
        <w:spacing w:line="500" w:lineRule="exact"/>
        <w:ind w:left="425" w:hanging="425"/>
        <w:jc w:val="left"/>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开标一览表格式不得自行改动。</w:t>
      </w:r>
    </w:p>
    <w:p>
      <w:pPr>
        <w:spacing w:line="500" w:lineRule="exact"/>
        <w:ind w:left="425" w:hanging="425"/>
        <w:jc w:val="left"/>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价格条件为能否满足标书要求的投标报价。</w:t>
      </w:r>
    </w:p>
    <w:p>
      <w:pPr>
        <w:spacing w:line="500" w:lineRule="exact"/>
        <w:ind w:left="425" w:hanging="425"/>
        <w:jc w:val="left"/>
        <w:rPr>
          <w:rFonts w:hint="eastAsia" w:ascii="仿宋" w:hAnsi="仿宋" w:eastAsia="仿宋" w:cs="仿宋"/>
          <w:sz w:val="24"/>
        </w:rPr>
      </w:pPr>
      <w:r>
        <w:rPr>
          <w:rFonts w:ascii="仿宋" w:hAnsi="仿宋" w:eastAsia="仿宋" w:cs="仿宋"/>
          <w:sz w:val="24"/>
          <w:szCs w:val="32"/>
        </w:rPr>
        <w:t>3.</w:t>
      </w:r>
      <w:r>
        <w:rPr>
          <w:rFonts w:hint="eastAsia" w:ascii="仿宋" w:hAnsi="仿宋" w:eastAsia="仿宋" w:cs="仿宋"/>
          <w:sz w:val="24"/>
        </w:rPr>
        <w:t>无内容空格填“－”。</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法定代表人或其授权代表人（签字）：</w:t>
      </w:r>
    </w:p>
    <w:p>
      <w:pPr>
        <w:rPr>
          <w:rFonts w:ascii="仿宋" w:hAnsi="仿宋" w:eastAsia="仿宋" w:cs="仿宋"/>
          <w:sz w:val="24"/>
        </w:rPr>
      </w:pPr>
      <w:r>
        <w:rPr>
          <w:rFonts w:hint="eastAsia" w:ascii="仿宋" w:hAnsi="仿宋" w:eastAsia="仿宋" w:cs="仿宋"/>
          <w:sz w:val="24"/>
        </w:rPr>
        <w:t>投标单位全称（加盖公章）：</w:t>
      </w:r>
    </w:p>
    <w:p>
      <w:pPr>
        <w:adjustRightInd/>
        <w:snapToGrid/>
        <w:spacing w:line="240" w:lineRule="auto"/>
        <w:ind w:firstLine="0" w:firstLineChars="0"/>
        <w:jc w:val="left"/>
        <w:rPr>
          <w:rFonts w:hint="eastAsia" w:ascii="仿宋" w:hAnsi="仿宋" w:eastAsia="仿宋" w:cs="仿宋"/>
          <w:sz w:val="24"/>
          <w:szCs w:val="24"/>
        </w:rPr>
      </w:pPr>
      <w:bookmarkStart w:id="19" w:name="_Toc8113"/>
      <w:bookmarkStart w:id="20" w:name="_Toc27871"/>
      <w:bookmarkStart w:id="21" w:name="_Toc22449"/>
      <w:r>
        <w:rPr>
          <w:rFonts w:hint="eastAsia" w:ascii="仿宋" w:hAnsi="仿宋" w:eastAsia="仿宋" w:cs="仿宋"/>
          <w:sz w:val="24"/>
          <w:szCs w:val="24"/>
        </w:rPr>
        <w:t>日期：      年    月    日</w:t>
      </w:r>
    </w:p>
    <w:p>
      <w:pPr>
        <w:outlineLvl w:val="1"/>
        <w:rPr>
          <w:rFonts w:asciiTheme="minorEastAsia" w:hAnsiTheme="minorEastAsia" w:eastAsiaTheme="minorEastAsia" w:cstheme="minorEastAsia"/>
          <w:b/>
          <w:szCs w:val="21"/>
        </w:rPr>
      </w:pPr>
    </w:p>
    <w:p>
      <w:pPr>
        <w:outlineLvl w:val="1"/>
        <w:rPr>
          <w:rFonts w:asciiTheme="minorEastAsia" w:hAnsiTheme="minorEastAsia" w:eastAsiaTheme="minorEastAsia" w:cstheme="minorEastAsia"/>
          <w:b/>
          <w:szCs w:val="21"/>
        </w:rPr>
      </w:pPr>
    </w:p>
    <w:p>
      <w:pPr>
        <w:outlineLvl w:val="1"/>
        <w:rPr>
          <w:rFonts w:asciiTheme="minorEastAsia" w:hAnsiTheme="minorEastAsia" w:eastAsiaTheme="minorEastAsia" w:cstheme="minorEastAsia"/>
          <w:b/>
          <w:szCs w:val="21"/>
        </w:rPr>
      </w:pPr>
    </w:p>
    <w:p>
      <w:pPr>
        <w:outlineLvl w:val="1"/>
        <w:rPr>
          <w:rFonts w:asciiTheme="minorEastAsia" w:hAnsiTheme="minorEastAsia" w:eastAsiaTheme="minorEastAsia" w:cstheme="minorEastAsia"/>
          <w:b/>
          <w:szCs w:val="21"/>
        </w:rPr>
      </w:pPr>
    </w:p>
    <w:p>
      <w:pPr>
        <w:widowControl/>
        <w:jc w:val="center"/>
        <w:textAlignment w:val="center"/>
        <w:rPr>
          <w:rFonts w:ascii="仿宋" w:hAnsi="仿宋" w:eastAsia="仿宋" w:cs="仿宋"/>
          <w:b/>
          <w:color w:val="000000"/>
          <w:kern w:val="0"/>
          <w:sz w:val="44"/>
          <w:szCs w:val="44"/>
        </w:rPr>
      </w:pPr>
    </w:p>
    <w:bookmarkEnd w:id="19"/>
    <w:bookmarkEnd w:id="20"/>
    <w:bookmarkEnd w:id="21"/>
    <w:p>
      <w:pPr>
        <w:rPr>
          <w:rFonts w:ascii="仿宋" w:hAnsi="仿宋" w:eastAsia="仿宋" w:cs="仿宋"/>
          <w:sz w:val="24"/>
        </w:rPr>
      </w:pPr>
    </w:p>
    <w:p>
      <w:pPr>
        <w:pStyle w:val="2"/>
        <w:rPr>
          <w:rFonts w:ascii="仿宋" w:hAnsi="仿宋" w:eastAsia="仿宋" w:cs="仿宋"/>
          <w:sz w:val="24"/>
        </w:rPr>
      </w:pPr>
    </w:p>
    <w:p>
      <w:pPr>
        <w:widowControl/>
        <w:ind w:firstLine="4859" w:firstLineChars="1100"/>
        <w:jc w:val="both"/>
        <w:textAlignment w:val="center"/>
        <w:rPr>
          <w:rFonts w:ascii="仿宋" w:hAnsi="仿宋" w:eastAsia="仿宋" w:cs="仿宋"/>
          <w:b/>
          <w:color w:val="000000"/>
          <w:kern w:val="0"/>
          <w:sz w:val="44"/>
          <w:szCs w:val="44"/>
        </w:rPr>
      </w:pPr>
      <w:r>
        <w:rPr>
          <w:rFonts w:hint="eastAsia" w:ascii="仿宋" w:hAnsi="仿宋" w:eastAsia="仿宋" w:cs="仿宋"/>
          <w:b/>
          <w:color w:val="000000"/>
          <w:kern w:val="0"/>
          <w:sz w:val="44"/>
          <w:szCs w:val="44"/>
        </w:rPr>
        <w:t>服务条款偏离表</w:t>
      </w:r>
    </w:p>
    <w:tbl>
      <w:tblPr>
        <w:tblStyle w:val="14"/>
        <w:tblW w:w="5102" w:type="pct"/>
        <w:jc w:val="center"/>
        <w:tblLayout w:type="autofit"/>
        <w:tblCellMar>
          <w:top w:w="0" w:type="dxa"/>
          <w:left w:w="108" w:type="dxa"/>
          <w:bottom w:w="0" w:type="dxa"/>
          <w:right w:w="108" w:type="dxa"/>
        </w:tblCellMar>
      </w:tblPr>
      <w:tblGrid>
        <w:gridCol w:w="911"/>
        <w:gridCol w:w="5056"/>
        <w:gridCol w:w="3914"/>
        <w:gridCol w:w="1867"/>
        <w:gridCol w:w="1489"/>
      </w:tblGrid>
      <w:tr>
        <w:tblPrEx>
          <w:tblCellMar>
            <w:top w:w="0" w:type="dxa"/>
            <w:left w:w="108" w:type="dxa"/>
            <w:bottom w:w="0" w:type="dxa"/>
            <w:right w:w="108" w:type="dxa"/>
          </w:tblCellMar>
        </w:tblPrEx>
        <w:trPr>
          <w:trHeight w:val="510"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jc w:val="center"/>
              <w:rPr>
                <w:rFonts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序号</w:t>
            </w:r>
          </w:p>
        </w:tc>
        <w:tc>
          <w:tcPr>
            <w:tcW w:w="1909"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ind w:firstLine="442" w:firstLineChars="200"/>
              <w:jc w:val="center"/>
              <w:rPr>
                <w:rFonts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招标</w:t>
            </w:r>
            <w:r>
              <w:rPr>
                <w:rFonts w:hint="eastAsia" w:asciiTheme="minorEastAsia" w:hAnsiTheme="minorEastAsia" w:eastAsiaTheme="minorEastAsia" w:cstheme="minorEastAsia"/>
                <w:b/>
                <w:bCs/>
                <w:kern w:val="0"/>
                <w:sz w:val="22"/>
                <w:lang w:val="en-US" w:eastAsia="zh-CN"/>
              </w:rPr>
              <w:t>文件</w:t>
            </w:r>
            <w:r>
              <w:rPr>
                <w:rFonts w:hint="eastAsia" w:asciiTheme="minorEastAsia" w:hAnsiTheme="minorEastAsia" w:eastAsiaTheme="minorEastAsia" w:cstheme="minorEastAsia"/>
                <w:b/>
                <w:bCs/>
                <w:kern w:val="0"/>
                <w:sz w:val="22"/>
              </w:rPr>
              <w:t>服务条款</w:t>
            </w:r>
          </w:p>
        </w:tc>
        <w:tc>
          <w:tcPr>
            <w:tcW w:w="147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ind w:firstLine="422" w:firstLineChars="20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w:t>
            </w:r>
            <w:r>
              <w:rPr>
                <w:rFonts w:hint="eastAsia" w:asciiTheme="minorEastAsia" w:hAnsiTheme="minorEastAsia" w:eastAsiaTheme="minorEastAsia" w:cstheme="minorEastAsia"/>
                <w:b/>
                <w:szCs w:val="21"/>
                <w:lang w:val="en-US" w:eastAsia="zh-CN"/>
              </w:rPr>
              <w:t>文件服务</w:t>
            </w:r>
            <w:r>
              <w:rPr>
                <w:rFonts w:hint="eastAsia" w:asciiTheme="minorEastAsia" w:hAnsiTheme="minorEastAsia" w:eastAsiaTheme="minorEastAsia" w:cstheme="minorEastAsia"/>
                <w:b/>
                <w:szCs w:val="21"/>
              </w:rPr>
              <w:t>响应</w:t>
            </w:r>
          </w:p>
        </w:tc>
        <w:tc>
          <w:tcPr>
            <w:tcW w:w="705"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ind w:firstLine="422" w:firstLineChars="20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62"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说明或佐证材料页码</w:t>
            </w:r>
          </w:p>
        </w:tc>
      </w:tr>
      <w:tr>
        <w:tblPrEx>
          <w:tblCellMar>
            <w:top w:w="0" w:type="dxa"/>
            <w:left w:w="108" w:type="dxa"/>
            <w:bottom w:w="0" w:type="dxa"/>
            <w:right w:w="108" w:type="dxa"/>
          </w:tblCellMar>
        </w:tblPrEx>
        <w:trPr>
          <w:trHeight w:val="397"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仿宋" w:hAnsi="仿宋" w:eastAsia="仿宋" w:cs="仿宋"/>
                <w:sz w:val="24"/>
              </w:rPr>
            </w:pPr>
            <w:r>
              <w:rPr>
                <w:rFonts w:hint="eastAsia" w:ascii="仿宋" w:hAnsi="仿宋" w:eastAsia="仿宋" w:cs="仿宋"/>
                <w:sz w:val="24"/>
              </w:rPr>
              <w:t>1</w:t>
            </w:r>
          </w:p>
        </w:tc>
        <w:tc>
          <w:tcPr>
            <w:tcW w:w="1909" w:type="pct"/>
            <w:tcBorders>
              <w:top w:val="single" w:color="auto" w:sz="8" w:space="0"/>
              <w:left w:val="nil"/>
              <w:bottom w:val="single" w:color="auto" w:sz="8" w:space="0"/>
              <w:right w:val="single" w:color="auto" w:sz="8" w:space="0"/>
            </w:tcBorders>
            <w:vAlign w:val="center"/>
          </w:tcPr>
          <w:p>
            <w:pPr>
              <w:pStyle w:val="20"/>
              <w:ind w:firstLine="0" w:firstLineChars="0"/>
              <w:rPr>
                <w:rFonts w:hint="eastAsia" w:eastAsia="仿宋"/>
                <w:lang w:eastAsia="zh-CN"/>
              </w:rPr>
            </w:pPr>
          </w:p>
        </w:tc>
        <w:tc>
          <w:tcPr>
            <w:tcW w:w="1478" w:type="pct"/>
            <w:tcBorders>
              <w:top w:val="single" w:color="auto" w:sz="8" w:space="0"/>
              <w:left w:val="nil"/>
              <w:bottom w:val="single" w:color="auto" w:sz="8" w:space="0"/>
              <w:right w:val="single" w:color="auto" w:sz="8" w:space="0"/>
            </w:tcBorders>
            <w:vAlign w:val="center"/>
          </w:tcPr>
          <w:p>
            <w:pPr>
              <w:spacing w:line="500" w:lineRule="exact"/>
              <w:jc w:val="center"/>
              <w:rPr>
                <w:rFonts w:ascii="仿宋" w:hAnsi="仿宋" w:eastAsia="仿宋" w:cs="仿宋"/>
                <w:sz w:val="24"/>
              </w:rPr>
            </w:pPr>
          </w:p>
        </w:tc>
        <w:tc>
          <w:tcPr>
            <w:tcW w:w="705" w:type="pct"/>
            <w:tcBorders>
              <w:top w:val="single" w:color="auto" w:sz="8" w:space="0"/>
              <w:left w:val="nil"/>
              <w:bottom w:val="single" w:color="auto" w:sz="8" w:space="0"/>
              <w:right w:val="single" w:color="auto" w:sz="8" w:space="0"/>
            </w:tcBorders>
            <w:vAlign w:val="center"/>
          </w:tcPr>
          <w:p>
            <w:pPr>
              <w:spacing w:line="500" w:lineRule="exact"/>
              <w:jc w:val="center"/>
              <w:rPr>
                <w:rFonts w:ascii="仿宋" w:hAnsi="仿宋" w:eastAsia="仿宋" w:cs="仿宋"/>
                <w:sz w:val="24"/>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909" w:type="pct"/>
            <w:tcBorders>
              <w:top w:val="single" w:color="auto" w:sz="8" w:space="0"/>
              <w:left w:val="nil"/>
              <w:bottom w:val="single" w:color="auto" w:sz="8" w:space="0"/>
              <w:right w:val="single" w:color="auto" w:sz="8" w:space="0"/>
            </w:tcBorders>
            <w:vAlign w:val="center"/>
          </w:tcPr>
          <w:p>
            <w:pPr>
              <w:pStyle w:val="20"/>
              <w:ind w:firstLine="0" w:firstLineChars="0"/>
              <w:rPr>
                <w:rFonts w:hint="eastAsia" w:ascii="仿宋" w:hAnsi="仿宋" w:eastAsia="仿宋" w:cs="仿宋"/>
                <w:color w:val="auto"/>
                <w:sz w:val="24"/>
                <w:szCs w:val="24"/>
              </w:rPr>
            </w:pPr>
          </w:p>
        </w:tc>
        <w:tc>
          <w:tcPr>
            <w:tcW w:w="1478" w:type="pct"/>
            <w:tcBorders>
              <w:top w:val="single" w:color="auto" w:sz="8" w:space="0"/>
              <w:left w:val="nil"/>
              <w:bottom w:val="single" w:color="auto" w:sz="8" w:space="0"/>
              <w:right w:val="single" w:color="auto" w:sz="8" w:space="0"/>
            </w:tcBorders>
            <w:vAlign w:val="center"/>
          </w:tcPr>
          <w:p>
            <w:pPr>
              <w:spacing w:line="500" w:lineRule="exact"/>
              <w:jc w:val="center"/>
              <w:rPr>
                <w:rFonts w:hint="eastAsia" w:ascii="仿宋" w:hAnsi="仿宋" w:eastAsia="仿宋" w:cs="仿宋"/>
                <w:sz w:val="24"/>
                <w:lang w:val="en-US" w:eastAsia="zh-CN"/>
              </w:rPr>
            </w:pPr>
          </w:p>
        </w:tc>
        <w:tc>
          <w:tcPr>
            <w:tcW w:w="705" w:type="pct"/>
            <w:tcBorders>
              <w:top w:val="single" w:color="auto" w:sz="8" w:space="0"/>
              <w:left w:val="nil"/>
              <w:bottom w:val="single" w:color="auto" w:sz="8" w:space="0"/>
              <w:right w:val="single" w:color="auto" w:sz="8" w:space="0"/>
            </w:tcBorders>
            <w:vAlign w:val="center"/>
          </w:tcPr>
          <w:p>
            <w:pPr>
              <w:spacing w:line="500" w:lineRule="exact"/>
              <w:jc w:val="center"/>
              <w:rPr>
                <w:rFonts w:hint="eastAsia" w:ascii="仿宋" w:hAnsi="仿宋" w:eastAsia="仿宋" w:cs="仿宋"/>
                <w:sz w:val="24"/>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1909" w:type="pct"/>
            <w:tcBorders>
              <w:top w:val="single" w:color="auto" w:sz="8" w:space="0"/>
              <w:left w:val="nil"/>
              <w:bottom w:val="single" w:color="auto" w:sz="8" w:space="0"/>
              <w:right w:val="single" w:color="auto" w:sz="8" w:space="0"/>
            </w:tcBorders>
            <w:vAlign w:val="center"/>
          </w:tcPr>
          <w:p>
            <w:pPr>
              <w:pStyle w:val="20"/>
              <w:ind w:firstLine="0" w:firstLineChars="0"/>
              <w:rPr>
                <w:rFonts w:hint="eastAsia" w:ascii="仿宋" w:hAnsi="仿宋" w:eastAsia="仿宋" w:cs="仿宋"/>
                <w:color w:val="auto"/>
                <w:sz w:val="24"/>
                <w:szCs w:val="24"/>
              </w:rPr>
            </w:pPr>
          </w:p>
        </w:tc>
        <w:tc>
          <w:tcPr>
            <w:tcW w:w="1478" w:type="pct"/>
            <w:tcBorders>
              <w:top w:val="single" w:color="auto" w:sz="8" w:space="0"/>
              <w:left w:val="nil"/>
              <w:bottom w:val="single" w:color="auto" w:sz="8" w:space="0"/>
              <w:right w:val="single" w:color="auto" w:sz="8" w:space="0"/>
            </w:tcBorders>
            <w:vAlign w:val="center"/>
          </w:tcPr>
          <w:p>
            <w:pPr>
              <w:spacing w:line="500" w:lineRule="exact"/>
              <w:jc w:val="center"/>
              <w:rPr>
                <w:rFonts w:hint="eastAsia" w:ascii="仿宋" w:hAnsi="仿宋" w:eastAsia="仿宋" w:cs="仿宋"/>
                <w:sz w:val="24"/>
                <w:lang w:val="en-US" w:eastAsia="zh-CN"/>
              </w:rPr>
            </w:pPr>
          </w:p>
        </w:tc>
        <w:tc>
          <w:tcPr>
            <w:tcW w:w="705" w:type="pct"/>
            <w:tcBorders>
              <w:top w:val="single" w:color="auto" w:sz="8" w:space="0"/>
              <w:left w:val="nil"/>
              <w:bottom w:val="single" w:color="auto" w:sz="8" w:space="0"/>
              <w:right w:val="single" w:color="auto" w:sz="8" w:space="0"/>
            </w:tcBorders>
            <w:vAlign w:val="center"/>
          </w:tcPr>
          <w:p>
            <w:pPr>
              <w:spacing w:line="500" w:lineRule="exact"/>
              <w:jc w:val="center"/>
              <w:rPr>
                <w:rFonts w:hint="eastAsia" w:ascii="仿宋" w:hAnsi="仿宋" w:eastAsia="仿宋" w:cs="仿宋"/>
                <w:sz w:val="24"/>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ascii="仿宋" w:hAnsi="仿宋" w:eastAsia="仿宋" w:cs="仿宋"/>
                <w:sz w:val="24"/>
              </w:rPr>
            </w:pPr>
          </w:p>
        </w:tc>
      </w:tr>
    </w:tbl>
    <w:p>
      <w:pPr>
        <w:adjustRightInd w:val="0"/>
        <w:snapToGrid w:val="0"/>
        <w:spacing w:line="360" w:lineRule="auto"/>
        <w:ind w:firstLine="422" w:firstLineChars="200"/>
        <w:jc w:val="left"/>
        <w:rPr>
          <w:rFonts w:asciiTheme="minorEastAsia" w:hAnsiTheme="minorEastAsia" w:eastAsiaTheme="minorEastAsia" w:cstheme="minorEastAsia"/>
          <w:b/>
          <w:szCs w:val="21"/>
        </w:rPr>
      </w:pPr>
    </w:p>
    <w:p>
      <w:pPr>
        <w:adjustRightInd w:val="0"/>
        <w:snapToGrid w:val="0"/>
        <w:spacing w:line="360" w:lineRule="auto"/>
        <w:ind w:firstLine="422"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注：</w:t>
      </w:r>
      <w:r>
        <w:rPr>
          <w:rFonts w:hint="eastAsia" w:asciiTheme="minorEastAsia" w:hAnsiTheme="minorEastAsia" w:eastAsiaTheme="minorEastAsia" w:cstheme="minorEastAsia"/>
          <w:bCs/>
          <w:szCs w:val="21"/>
        </w:rPr>
        <w:t>1、投标人须根据招标文件第二章院内公开采购项目需求</w:t>
      </w:r>
      <w:r>
        <w:rPr>
          <w:rFonts w:hint="eastAsia" w:asciiTheme="minorEastAsia" w:hAnsiTheme="minorEastAsia" w:eastAsiaTheme="minorEastAsia" w:cstheme="minorEastAsia"/>
          <w:bCs/>
          <w:color w:val="auto"/>
          <w:sz w:val="21"/>
          <w:szCs w:val="21"/>
        </w:rPr>
        <w:t>中第二点内容</w:t>
      </w:r>
      <w:r>
        <w:rPr>
          <w:rFonts w:hint="eastAsia" w:asciiTheme="minorEastAsia" w:hAnsiTheme="minorEastAsia" w:eastAsiaTheme="minorEastAsia" w:cstheme="minorEastAsia"/>
          <w:bCs/>
          <w:szCs w:val="21"/>
        </w:rPr>
        <w:t>要求填写此表，作为投标文件重要的组成部分。</w:t>
      </w:r>
    </w:p>
    <w:p>
      <w:pPr>
        <w:adjustRightInd w:val="0"/>
        <w:snapToGrid w:val="0"/>
        <w:spacing w:line="360" w:lineRule="auto"/>
        <w:ind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2.投标人递交的投标文件中对招标文件第二章院内公开采购项目需求中</w:t>
      </w:r>
      <w:r>
        <w:rPr>
          <w:rFonts w:hint="eastAsia" w:asciiTheme="minorEastAsia" w:hAnsiTheme="minorEastAsia" w:eastAsiaTheme="minorEastAsia" w:cstheme="minorEastAsia"/>
          <w:bCs/>
          <w:sz w:val="21"/>
          <w:szCs w:val="21"/>
        </w:rPr>
        <w:t>第二点内容</w:t>
      </w:r>
      <w:r>
        <w:rPr>
          <w:rFonts w:hint="eastAsia" w:asciiTheme="minorEastAsia" w:hAnsiTheme="minorEastAsia" w:eastAsiaTheme="minorEastAsia" w:cstheme="minorEastAsia"/>
          <w:bCs/>
          <w:szCs w:val="21"/>
          <w:lang w:val="en-US" w:eastAsia="zh-CN"/>
        </w:rPr>
        <w:t>要求进行逐条响应</w:t>
      </w:r>
      <w:r>
        <w:rPr>
          <w:rFonts w:hint="eastAsia" w:asciiTheme="minorEastAsia" w:hAnsiTheme="minorEastAsia" w:eastAsiaTheme="minorEastAsia" w:cstheme="minorEastAsia"/>
          <w:bCs/>
          <w:szCs w:val="21"/>
        </w:rPr>
        <w:t>，完全与服务要求</w:t>
      </w:r>
      <w:r>
        <w:rPr>
          <w:rFonts w:hint="eastAsia" w:asciiTheme="minorEastAsia" w:hAnsiTheme="minorEastAsia" w:eastAsiaTheme="minorEastAsia" w:cstheme="minorEastAsia"/>
          <w:bCs/>
          <w:szCs w:val="21"/>
          <w:lang w:val="en-US" w:eastAsia="zh-CN"/>
        </w:rPr>
        <w:t>条款</w:t>
      </w:r>
      <w:r>
        <w:rPr>
          <w:rFonts w:hint="eastAsia" w:asciiTheme="minorEastAsia" w:hAnsiTheme="minorEastAsia" w:eastAsiaTheme="minorEastAsia" w:cstheme="minorEastAsia"/>
          <w:bCs/>
          <w:szCs w:val="21"/>
        </w:rPr>
        <w:t>相符的填“无偏离”，高于服务要求的填“正偏离”，没有达到服务要求的填“负偏离”，有其他事项请在“说明”栏中补充。</w:t>
      </w:r>
    </w:p>
    <w:p>
      <w:pPr>
        <w:adjustRightInd w:val="0"/>
        <w:snapToGrid w:val="0"/>
        <w:spacing w:line="360" w:lineRule="auto"/>
        <w:ind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 w:val="0"/>
          <w:bCs/>
          <w:szCs w:val="21"/>
          <w:lang w:val="en-US" w:eastAsia="zh-CN"/>
        </w:rPr>
        <w:t>若</w:t>
      </w:r>
      <w:r>
        <w:rPr>
          <w:rFonts w:hint="eastAsia" w:asciiTheme="minorEastAsia" w:hAnsiTheme="minorEastAsia" w:eastAsiaTheme="minorEastAsia" w:cstheme="minorEastAsia"/>
          <w:bCs/>
          <w:sz w:val="21"/>
          <w:szCs w:val="21"/>
        </w:rPr>
        <w:t>要求提供证明资料，在“说明”一栏中列明证明资料的位置，以便评审；未要求提供证明材料的，投标人可以不提供。</w:t>
      </w:r>
    </w:p>
    <w:p>
      <w:pPr>
        <w:adjustRightInd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投标人（公章）：</w:t>
      </w:r>
    </w:p>
    <w:p>
      <w:pPr>
        <w:adjustRightInd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法定代表人或其授权代表签名：</w:t>
      </w:r>
    </w:p>
    <w:p>
      <w:pPr>
        <w:adjustRightInd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年    月    日</w:t>
      </w:r>
    </w:p>
    <w:p>
      <w:pPr>
        <w:sectPr>
          <w:pgSz w:w="16838" w:h="11906" w:orient="landscape"/>
          <w:pgMar w:top="1304" w:right="2098" w:bottom="1474" w:left="1984" w:header="851" w:footer="1417" w:gutter="0"/>
          <w:pgNumType w:fmt="numberInDash"/>
          <w:cols w:space="0" w:num="1"/>
          <w:docGrid w:type="lines" w:linePitch="327" w:charSpace="0"/>
        </w:sectPr>
      </w:pPr>
    </w:p>
    <w:p>
      <w:pPr>
        <w:widowControl/>
        <w:ind w:firstLine="4859" w:firstLineChars="1100"/>
        <w:jc w:val="both"/>
        <w:textAlignment w:val="center"/>
        <w:rPr>
          <w:rFonts w:ascii="仿宋" w:hAnsi="仿宋" w:eastAsia="仿宋" w:cs="仿宋"/>
          <w:b/>
          <w:color w:val="000000"/>
          <w:kern w:val="0"/>
          <w:sz w:val="44"/>
          <w:szCs w:val="44"/>
        </w:rPr>
      </w:pPr>
      <w:r>
        <w:rPr>
          <w:rFonts w:hint="eastAsia" w:ascii="仿宋" w:hAnsi="仿宋" w:eastAsia="仿宋" w:cs="仿宋"/>
          <w:b/>
          <w:color w:val="000000"/>
          <w:kern w:val="0"/>
          <w:sz w:val="44"/>
          <w:szCs w:val="44"/>
          <w:lang w:val="en-US" w:eastAsia="zh-CN"/>
        </w:rPr>
        <w:t>商务</w:t>
      </w:r>
      <w:r>
        <w:rPr>
          <w:rFonts w:hint="eastAsia" w:ascii="仿宋" w:hAnsi="仿宋" w:eastAsia="仿宋" w:cs="仿宋"/>
          <w:b/>
          <w:color w:val="000000"/>
          <w:kern w:val="0"/>
          <w:sz w:val="44"/>
          <w:szCs w:val="44"/>
        </w:rPr>
        <w:t>条款偏离表</w:t>
      </w:r>
    </w:p>
    <w:tbl>
      <w:tblPr>
        <w:tblStyle w:val="14"/>
        <w:tblW w:w="5102" w:type="pct"/>
        <w:jc w:val="center"/>
        <w:tblLayout w:type="autofit"/>
        <w:tblCellMar>
          <w:top w:w="0" w:type="dxa"/>
          <w:left w:w="108" w:type="dxa"/>
          <w:bottom w:w="0" w:type="dxa"/>
          <w:right w:w="108" w:type="dxa"/>
        </w:tblCellMar>
      </w:tblPr>
      <w:tblGrid>
        <w:gridCol w:w="911"/>
        <w:gridCol w:w="5056"/>
        <w:gridCol w:w="3914"/>
        <w:gridCol w:w="1867"/>
        <w:gridCol w:w="1489"/>
      </w:tblGrid>
      <w:tr>
        <w:tblPrEx>
          <w:tblCellMar>
            <w:top w:w="0" w:type="dxa"/>
            <w:left w:w="108" w:type="dxa"/>
            <w:bottom w:w="0" w:type="dxa"/>
            <w:right w:w="108" w:type="dxa"/>
          </w:tblCellMar>
        </w:tblPrEx>
        <w:trPr>
          <w:trHeight w:val="510"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jc w:val="center"/>
              <w:rPr>
                <w:rFonts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序号</w:t>
            </w:r>
          </w:p>
        </w:tc>
        <w:tc>
          <w:tcPr>
            <w:tcW w:w="1909"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ind w:firstLine="442" w:firstLineChars="200"/>
              <w:jc w:val="center"/>
              <w:rPr>
                <w:rFonts w:asciiTheme="minorEastAsia" w:hAnsiTheme="minorEastAsia" w:eastAsiaTheme="minorEastAsia" w:cstheme="minorEastAsia"/>
                <w:b/>
                <w:bCs/>
                <w:kern w:val="0"/>
                <w:sz w:val="22"/>
              </w:rPr>
            </w:pPr>
            <w:r>
              <w:rPr>
                <w:rFonts w:hint="eastAsia" w:ascii="宋体" w:hAnsi="宋体"/>
                <w:b/>
                <w:bCs/>
                <w:sz w:val="22"/>
                <w:szCs w:val="22"/>
              </w:rPr>
              <w:t>招标文件商务要求</w:t>
            </w:r>
          </w:p>
        </w:tc>
        <w:tc>
          <w:tcPr>
            <w:tcW w:w="147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ind w:firstLine="442" w:firstLineChars="200"/>
              <w:jc w:val="center"/>
              <w:rPr>
                <w:rFonts w:asciiTheme="minorEastAsia" w:hAnsiTheme="minorEastAsia" w:eastAsiaTheme="minorEastAsia" w:cstheme="minorEastAsia"/>
                <w:b/>
                <w:szCs w:val="21"/>
              </w:rPr>
            </w:pPr>
            <w:r>
              <w:rPr>
                <w:rFonts w:hint="eastAsia" w:ascii="宋体" w:hAnsi="宋体"/>
                <w:b/>
                <w:bCs/>
                <w:sz w:val="22"/>
                <w:szCs w:val="22"/>
              </w:rPr>
              <w:t>投标文件商务响应</w:t>
            </w:r>
          </w:p>
        </w:tc>
        <w:tc>
          <w:tcPr>
            <w:tcW w:w="705"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ind w:firstLine="422" w:firstLineChars="20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62"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说明或佐证材料页码</w:t>
            </w:r>
          </w:p>
        </w:tc>
      </w:tr>
      <w:tr>
        <w:tblPrEx>
          <w:tblCellMar>
            <w:top w:w="0" w:type="dxa"/>
            <w:left w:w="108" w:type="dxa"/>
            <w:bottom w:w="0" w:type="dxa"/>
            <w:right w:w="108" w:type="dxa"/>
          </w:tblCellMar>
        </w:tblPrEx>
        <w:trPr>
          <w:trHeight w:val="397"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仿宋" w:hAnsi="仿宋" w:eastAsia="仿宋" w:cs="仿宋"/>
                <w:sz w:val="24"/>
              </w:rPr>
            </w:pPr>
            <w:r>
              <w:rPr>
                <w:rFonts w:hint="eastAsia" w:ascii="仿宋" w:hAnsi="仿宋" w:eastAsia="仿宋" w:cs="仿宋"/>
                <w:sz w:val="24"/>
              </w:rPr>
              <w:t>1</w:t>
            </w:r>
          </w:p>
        </w:tc>
        <w:tc>
          <w:tcPr>
            <w:tcW w:w="1909" w:type="pct"/>
            <w:tcBorders>
              <w:top w:val="single" w:color="auto" w:sz="8" w:space="0"/>
              <w:left w:val="nil"/>
              <w:bottom w:val="single" w:color="auto" w:sz="8" w:space="0"/>
              <w:right w:val="single" w:color="auto" w:sz="8" w:space="0"/>
            </w:tcBorders>
            <w:vAlign w:val="center"/>
          </w:tcPr>
          <w:p>
            <w:pPr>
              <w:pStyle w:val="20"/>
              <w:ind w:firstLine="0" w:firstLineChars="0"/>
              <w:rPr>
                <w:rFonts w:hint="default" w:eastAsia="仿宋"/>
                <w:lang w:val="en-US" w:eastAsia="zh-CN"/>
              </w:rPr>
            </w:pPr>
          </w:p>
        </w:tc>
        <w:tc>
          <w:tcPr>
            <w:tcW w:w="1478" w:type="pct"/>
            <w:tcBorders>
              <w:top w:val="single" w:color="auto" w:sz="8" w:space="0"/>
              <w:left w:val="nil"/>
              <w:bottom w:val="single" w:color="auto" w:sz="8" w:space="0"/>
              <w:right w:val="single" w:color="auto" w:sz="8" w:space="0"/>
            </w:tcBorders>
            <w:vAlign w:val="center"/>
          </w:tcPr>
          <w:p>
            <w:pPr>
              <w:spacing w:line="500" w:lineRule="exact"/>
              <w:jc w:val="center"/>
              <w:rPr>
                <w:rFonts w:ascii="仿宋" w:hAnsi="仿宋" w:eastAsia="仿宋" w:cs="仿宋"/>
                <w:sz w:val="24"/>
              </w:rPr>
            </w:pPr>
          </w:p>
        </w:tc>
        <w:tc>
          <w:tcPr>
            <w:tcW w:w="705" w:type="pct"/>
            <w:tcBorders>
              <w:top w:val="single" w:color="auto" w:sz="8" w:space="0"/>
              <w:left w:val="nil"/>
              <w:bottom w:val="single" w:color="auto" w:sz="8" w:space="0"/>
              <w:right w:val="single" w:color="auto" w:sz="8" w:space="0"/>
            </w:tcBorders>
            <w:vAlign w:val="center"/>
          </w:tcPr>
          <w:p>
            <w:pPr>
              <w:spacing w:line="500" w:lineRule="exact"/>
              <w:jc w:val="center"/>
              <w:rPr>
                <w:rFonts w:ascii="仿宋" w:hAnsi="仿宋" w:eastAsia="仿宋" w:cs="仿宋"/>
                <w:sz w:val="24"/>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909" w:type="pct"/>
            <w:tcBorders>
              <w:top w:val="single" w:color="auto" w:sz="8" w:space="0"/>
              <w:left w:val="nil"/>
              <w:bottom w:val="single" w:color="auto" w:sz="8" w:space="0"/>
              <w:right w:val="single" w:color="auto" w:sz="8" w:space="0"/>
            </w:tcBorders>
            <w:vAlign w:val="center"/>
          </w:tcPr>
          <w:p>
            <w:pPr>
              <w:pStyle w:val="20"/>
              <w:ind w:firstLine="0" w:firstLineChars="0"/>
              <w:rPr>
                <w:rFonts w:hint="eastAsia" w:ascii="仿宋" w:hAnsi="仿宋" w:eastAsia="仿宋" w:cs="仿宋"/>
                <w:color w:val="auto"/>
                <w:sz w:val="24"/>
                <w:szCs w:val="24"/>
              </w:rPr>
            </w:pPr>
          </w:p>
        </w:tc>
        <w:tc>
          <w:tcPr>
            <w:tcW w:w="1478" w:type="pct"/>
            <w:tcBorders>
              <w:top w:val="single" w:color="auto" w:sz="8" w:space="0"/>
              <w:left w:val="nil"/>
              <w:bottom w:val="single" w:color="auto" w:sz="8" w:space="0"/>
              <w:right w:val="single" w:color="auto" w:sz="8" w:space="0"/>
            </w:tcBorders>
            <w:vAlign w:val="center"/>
          </w:tcPr>
          <w:p>
            <w:pPr>
              <w:spacing w:line="500" w:lineRule="exact"/>
              <w:jc w:val="center"/>
              <w:rPr>
                <w:rFonts w:hint="eastAsia" w:ascii="仿宋" w:hAnsi="仿宋" w:eastAsia="仿宋" w:cs="仿宋"/>
                <w:sz w:val="24"/>
                <w:lang w:val="en-US" w:eastAsia="zh-CN"/>
              </w:rPr>
            </w:pPr>
          </w:p>
        </w:tc>
        <w:tc>
          <w:tcPr>
            <w:tcW w:w="705" w:type="pct"/>
            <w:tcBorders>
              <w:top w:val="single" w:color="auto" w:sz="8" w:space="0"/>
              <w:left w:val="nil"/>
              <w:bottom w:val="single" w:color="auto" w:sz="8" w:space="0"/>
              <w:right w:val="single" w:color="auto" w:sz="8" w:space="0"/>
            </w:tcBorders>
            <w:vAlign w:val="center"/>
          </w:tcPr>
          <w:p>
            <w:pPr>
              <w:spacing w:line="500" w:lineRule="exact"/>
              <w:jc w:val="center"/>
              <w:rPr>
                <w:rFonts w:hint="eastAsia" w:ascii="仿宋" w:hAnsi="仿宋" w:eastAsia="仿宋" w:cs="仿宋"/>
                <w:sz w:val="24"/>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909" w:type="pct"/>
            <w:tcBorders>
              <w:top w:val="single" w:color="auto" w:sz="8" w:space="0"/>
              <w:left w:val="nil"/>
              <w:bottom w:val="single" w:color="auto" w:sz="8" w:space="0"/>
              <w:right w:val="single" w:color="auto" w:sz="8" w:space="0"/>
            </w:tcBorders>
            <w:vAlign w:val="center"/>
          </w:tcPr>
          <w:p>
            <w:pPr>
              <w:pStyle w:val="20"/>
              <w:ind w:firstLine="0" w:firstLineChars="0"/>
              <w:rPr>
                <w:rFonts w:hint="eastAsia" w:ascii="仿宋" w:hAnsi="仿宋" w:eastAsia="仿宋" w:cs="仿宋"/>
                <w:color w:val="auto"/>
                <w:sz w:val="24"/>
                <w:szCs w:val="24"/>
              </w:rPr>
            </w:pPr>
          </w:p>
        </w:tc>
        <w:tc>
          <w:tcPr>
            <w:tcW w:w="1478" w:type="pct"/>
            <w:tcBorders>
              <w:top w:val="single" w:color="auto" w:sz="8" w:space="0"/>
              <w:left w:val="nil"/>
              <w:bottom w:val="single" w:color="auto" w:sz="8" w:space="0"/>
              <w:right w:val="single" w:color="auto" w:sz="8" w:space="0"/>
            </w:tcBorders>
            <w:vAlign w:val="center"/>
          </w:tcPr>
          <w:p>
            <w:pPr>
              <w:spacing w:line="500" w:lineRule="exact"/>
              <w:jc w:val="center"/>
              <w:rPr>
                <w:rFonts w:hint="eastAsia" w:ascii="仿宋" w:hAnsi="仿宋" w:eastAsia="仿宋" w:cs="仿宋"/>
                <w:sz w:val="24"/>
                <w:lang w:val="en-US" w:eastAsia="zh-CN"/>
              </w:rPr>
            </w:pPr>
          </w:p>
        </w:tc>
        <w:tc>
          <w:tcPr>
            <w:tcW w:w="705" w:type="pct"/>
            <w:tcBorders>
              <w:top w:val="single" w:color="auto" w:sz="8" w:space="0"/>
              <w:left w:val="nil"/>
              <w:bottom w:val="single" w:color="auto" w:sz="8" w:space="0"/>
              <w:right w:val="single" w:color="auto" w:sz="8" w:space="0"/>
            </w:tcBorders>
            <w:vAlign w:val="center"/>
          </w:tcPr>
          <w:p>
            <w:pPr>
              <w:spacing w:line="500" w:lineRule="exact"/>
              <w:jc w:val="center"/>
              <w:rPr>
                <w:rFonts w:hint="eastAsia" w:ascii="仿宋" w:hAnsi="仿宋" w:eastAsia="仿宋" w:cs="仿宋"/>
                <w:sz w:val="24"/>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ascii="仿宋" w:hAnsi="仿宋" w:eastAsia="仿宋" w:cs="仿宋"/>
                <w:sz w:val="24"/>
              </w:rPr>
            </w:pPr>
          </w:p>
        </w:tc>
      </w:tr>
    </w:tbl>
    <w:p>
      <w:pPr>
        <w:adjustRightInd w:val="0"/>
        <w:snapToGrid w:val="0"/>
        <w:spacing w:line="360" w:lineRule="auto"/>
        <w:ind w:firstLine="422" w:firstLineChars="200"/>
        <w:jc w:val="left"/>
        <w:rPr>
          <w:rFonts w:asciiTheme="minorEastAsia" w:hAnsiTheme="minorEastAsia" w:eastAsiaTheme="minorEastAsia" w:cstheme="minorEastAsia"/>
          <w:b/>
          <w:szCs w:val="21"/>
        </w:rPr>
      </w:pPr>
    </w:p>
    <w:p>
      <w:pPr>
        <w:adjustRightInd w:val="0"/>
        <w:snapToGrid w:val="0"/>
        <w:spacing w:line="360" w:lineRule="auto"/>
        <w:ind w:firstLine="422"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注：</w:t>
      </w:r>
      <w:r>
        <w:rPr>
          <w:rFonts w:hint="eastAsia" w:asciiTheme="minorEastAsia" w:hAnsiTheme="minorEastAsia" w:eastAsiaTheme="minorEastAsia" w:cstheme="minorEastAsia"/>
          <w:bCs/>
          <w:szCs w:val="21"/>
        </w:rPr>
        <w:t>1、投标人须根据招标文件第二章院内公开采购项目需求</w:t>
      </w:r>
      <w:r>
        <w:rPr>
          <w:rFonts w:hint="eastAsia" w:asciiTheme="minorEastAsia" w:hAnsiTheme="minorEastAsia" w:eastAsiaTheme="minorEastAsia" w:cstheme="minorEastAsia"/>
          <w:bCs/>
          <w:sz w:val="21"/>
          <w:szCs w:val="21"/>
        </w:rPr>
        <w:t>中</w:t>
      </w:r>
      <w:r>
        <w:rPr>
          <w:rFonts w:hint="eastAsia" w:asciiTheme="minorEastAsia" w:hAnsiTheme="minorEastAsia" w:eastAsiaTheme="minorEastAsia" w:cstheme="minorEastAsia"/>
          <w:bCs/>
          <w:sz w:val="21"/>
          <w:szCs w:val="21"/>
          <w:lang w:val="en-US" w:eastAsia="zh-CN"/>
        </w:rPr>
        <w:t>第七至第十三点条款内容</w:t>
      </w:r>
      <w:r>
        <w:rPr>
          <w:rFonts w:hint="eastAsia" w:asciiTheme="minorEastAsia" w:hAnsiTheme="minorEastAsia" w:eastAsiaTheme="minorEastAsia" w:cstheme="minorEastAsia"/>
          <w:bCs/>
          <w:szCs w:val="21"/>
        </w:rPr>
        <w:t>要求填写此表，作为投标文件重要的组成部分。</w:t>
      </w:r>
    </w:p>
    <w:p>
      <w:pPr>
        <w:adjustRightInd w:val="0"/>
        <w:snapToGrid w:val="0"/>
        <w:spacing w:line="360" w:lineRule="auto"/>
        <w:ind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2.投标人递交的投标文件中对招标文件第二章院内公开采购项目需求中</w:t>
      </w:r>
      <w:r>
        <w:rPr>
          <w:rFonts w:hint="eastAsia" w:asciiTheme="minorEastAsia" w:hAnsiTheme="minorEastAsia" w:eastAsiaTheme="minorEastAsia" w:cstheme="minorEastAsia"/>
          <w:bCs/>
          <w:sz w:val="21"/>
          <w:szCs w:val="21"/>
          <w:lang w:val="en-US" w:eastAsia="zh-CN"/>
        </w:rPr>
        <w:t>第七至第十三点条款内容</w:t>
      </w:r>
      <w:r>
        <w:rPr>
          <w:rFonts w:hint="eastAsia" w:asciiTheme="minorEastAsia" w:hAnsiTheme="minorEastAsia" w:eastAsiaTheme="minorEastAsia" w:cstheme="minorEastAsia"/>
          <w:bCs/>
          <w:szCs w:val="21"/>
          <w:lang w:val="en-US" w:eastAsia="zh-CN"/>
        </w:rPr>
        <w:t>要求进行逐条响应</w:t>
      </w:r>
      <w:r>
        <w:rPr>
          <w:rFonts w:hint="eastAsia" w:asciiTheme="minorEastAsia" w:hAnsiTheme="minorEastAsia" w:eastAsiaTheme="minorEastAsia" w:cstheme="minorEastAsia"/>
          <w:bCs/>
          <w:szCs w:val="21"/>
        </w:rPr>
        <w:t>，完全与服务要求</w:t>
      </w:r>
      <w:r>
        <w:rPr>
          <w:rFonts w:hint="eastAsia" w:asciiTheme="minorEastAsia" w:hAnsiTheme="minorEastAsia" w:eastAsiaTheme="minorEastAsia" w:cstheme="minorEastAsia"/>
          <w:bCs/>
          <w:szCs w:val="21"/>
          <w:lang w:val="en-US" w:eastAsia="zh-CN"/>
        </w:rPr>
        <w:t>条款</w:t>
      </w:r>
      <w:r>
        <w:rPr>
          <w:rFonts w:hint="eastAsia" w:asciiTheme="minorEastAsia" w:hAnsiTheme="minorEastAsia" w:eastAsiaTheme="minorEastAsia" w:cstheme="minorEastAsia"/>
          <w:bCs/>
          <w:szCs w:val="21"/>
        </w:rPr>
        <w:t>相符的填“无偏离”，高于服务要求的填“正偏离”，没有达到服务要求的填“负偏离”，有其他事项请在“说明”栏中补充。</w:t>
      </w:r>
    </w:p>
    <w:p>
      <w:pPr>
        <w:adjustRightInd w:val="0"/>
        <w:snapToGrid w:val="0"/>
        <w:spacing w:line="360" w:lineRule="auto"/>
        <w:ind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 w:val="0"/>
          <w:bCs/>
          <w:szCs w:val="21"/>
          <w:lang w:val="en-US" w:eastAsia="zh-CN"/>
        </w:rPr>
        <w:t>若</w:t>
      </w:r>
      <w:r>
        <w:rPr>
          <w:rFonts w:hint="eastAsia" w:asciiTheme="minorEastAsia" w:hAnsiTheme="minorEastAsia" w:eastAsiaTheme="minorEastAsia" w:cstheme="minorEastAsia"/>
          <w:bCs/>
          <w:sz w:val="21"/>
          <w:szCs w:val="21"/>
        </w:rPr>
        <w:t>要求提供证明资料，在“说明”一栏中列明证明资料的位置，以便评审；未要求提供证明材料的，投标人可以不提供。</w:t>
      </w:r>
    </w:p>
    <w:p>
      <w:pPr>
        <w:adjustRightInd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投标人（公章）：</w:t>
      </w:r>
    </w:p>
    <w:p>
      <w:pPr>
        <w:adjustRightInd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法定代表人或其授权代表签名：</w:t>
      </w:r>
    </w:p>
    <w:p>
      <w:pPr>
        <w:adjustRightInd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年    月    日</w:t>
      </w:r>
    </w:p>
    <w:p>
      <w:pPr>
        <w:sectPr>
          <w:pgSz w:w="16838" w:h="11906" w:orient="landscape"/>
          <w:pgMar w:top="1304" w:right="2098" w:bottom="1474" w:left="1984" w:header="851" w:footer="1417" w:gutter="0"/>
          <w:pgNumType w:fmt="numberInDash"/>
          <w:cols w:space="0" w:num="1"/>
          <w:docGrid w:type="lines" w:linePitch="327" w:charSpace="0"/>
        </w:sectPr>
      </w:pPr>
    </w:p>
    <w:p>
      <w:pPr>
        <w:tabs>
          <w:tab w:val="left" w:pos="0"/>
        </w:tabs>
        <w:snapToGrid w:val="0"/>
        <w:spacing w:line="48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rPr>
        <w:t>服务类合同模板（</w:t>
      </w:r>
      <w:r>
        <w:rPr>
          <w:rFonts w:hint="eastAsia" w:ascii="仿宋" w:hAnsi="仿宋" w:eastAsia="仿宋" w:cs="仿宋"/>
          <w:b/>
          <w:color w:val="000000"/>
          <w:kern w:val="0"/>
          <w:sz w:val="28"/>
          <w:szCs w:val="28"/>
        </w:rPr>
        <w:t>合同模板仅供参考，中标人根据招投标文件拟定）</w:t>
      </w:r>
    </w:p>
    <w:p>
      <w:pPr>
        <w:jc w:val="center"/>
        <w:rPr>
          <w:rFonts w:ascii="仿宋" w:hAnsi="仿宋" w:eastAsia="仿宋"/>
          <w:b/>
          <w:sz w:val="44"/>
          <w:szCs w:val="44"/>
        </w:rPr>
      </w:pPr>
    </w:p>
    <w:p>
      <w:pPr>
        <w:jc w:val="center"/>
        <w:rPr>
          <w:rFonts w:ascii="仿宋" w:hAnsi="仿宋" w:eastAsia="仿宋"/>
          <w:b/>
          <w:sz w:val="44"/>
          <w:szCs w:val="44"/>
        </w:rPr>
      </w:pPr>
      <w:r>
        <w:rPr>
          <w:rFonts w:hint="eastAsia" w:ascii="仿宋" w:hAnsi="仿宋" w:eastAsia="仿宋"/>
          <w:b/>
          <w:sz w:val="44"/>
          <w:szCs w:val="44"/>
        </w:rPr>
        <w:t>《龙岗区第七人民医院采购合同》</w:t>
      </w:r>
    </w:p>
    <w:p>
      <w:pPr>
        <w:spacing w:line="440" w:lineRule="exact"/>
        <w:ind w:firstLine="560" w:firstLineChars="200"/>
        <w:rPr>
          <w:rFonts w:ascii="仿宋" w:hAnsi="仿宋" w:eastAsia="仿宋"/>
          <w:sz w:val="28"/>
          <w:szCs w:val="28"/>
        </w:rPr>
      </w:pP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宋体"/>
          <w:sz w:val="28"/>
          <w:szCs w:val="28"/>
          <w:u w:val="single"/>
        </w:rPr>
        <w:t xml:space="preserve">                     </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方正仿宋_GB2312"/>
          <w:sz w:val="28"/>
          <w:szCs w:val="28"/>
          <w:u w:val="single"/>
        </w:rPr>
        <w:t xml:space="preserve">                     </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sz w:val="28"/>
          <w:szCs w:val="28"/>
          <w:u w:val="single"/>
        </w:rPr>
        <w:t>服务类</w:t>
      </w:r>
      <w:r>
        <w:rPr>
          <w:rFonts w:hint="eastAsia" w:ascii="仿宋" w:hAnsi="仿宋" w:eastAsia="仿宋" w:cs="仿宋"/>
          <w:sz w:val="28"/>
          <w:szCs w:val="28"/>
          <w:u w:val="single"/>
        </w:rPr>
        <w:t>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r>
        <w:rPr>
          <w:rFonts w:hint="eastAsia" w:ascii="仿宋" w:hAnsi="仿宋" w:eastAsia="仿宋" w:cs="宋体"/>
          <w:kern w:val="0"/>
          <w:sz w:val="28"/>
          <w:szCs w:val="28"/>
          <w:u w:val="single"/>
        </w:rPr>
        <w:t xml:space="preserve">                        </w:t>
      </w:r>
    </w:p>
    <w:p>
      <w:pPr>
        <w:spacing w:line="480" w:lineRule="exact"/>
        <w:ind w:firstLine="560" w:firstLineChars="200"/>
        <w:rPr>
          <w:rFonts w:ascii="仿宋" w:hAnsi="仿宋" w:eastAsia="仿宋" w:cs="方正仿宋_GB2312"/>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 xml:space="preserve">                  </w:t>
      </w:r>
      <w:r>
        <w:rPr>
          <w:rFonts w:hint="eastAsia" w:ascii="仿宋" w:hAnsi="仿宋" w:eastAsia="仿宋" w:cs="仿宋"/>
          <w:sz w:val="28"/>
          <w:szCs w:val="28"/>
        </w:rPr>
        <w:t>招标结果并经双方协商签订本合同。</w:t>
      </w:r>
    </w:p>
    <w:p>
      <w:pPr>
        <w:spacing w:line="480" w:lineRule="exact"/>
        <w:ind w:firstLine="562" w:firstLineChars="200"/>
        <w:rPr>
          <w:rFonts w:ascii="仿宋" w:hAnsi="仿宋" w:eastAsia="仿宋" w:cs="方正仿宋_GB2312"/>
          <w:b/>
          <w:bCs/>
          <w:sz w:val="28"/>
          <w:szCs w:val="28"/>
        </w:rPr>
      </w:pPr>
      <w:r>
        <w:rPr>
          <w:rFonts w:hint="eastAsia" w:ascii="仿宋" w:hAnsi="仿宋" w:eastAsia="仿宋" w:cs="方正仿宋_GB2312"/>
          <w:b/>
          <w:bCs/>
          <w:sz w:val="28"/>
          <w:szCs w:val="28"/>
        </w:rPr>
        <w:t>第一条  合同标的</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项目内容：</w:t>
      </w:r>
      <w:r>
        <w:rPr>
          <w:rFonts w:hint="eastAsia" w:ascii="仿宋" w:hAnsi="仿宋" w:eastAsia="仿宋" w:cs="方正仿宋_GB2312"/>
          <w:sz w:val="28"/>
          <w:szCs w:val="28"/>
          <w:u w:val="single"/>
        </w:rPr>
        <w:t xml:space="preserve">                        </w:t>
      </w:r>
    </w:p>
    <w:p>
      <w:pPr>
        <w:spacing w:line="480" w:lineRule="exact"/>
        <w:ind w:firstLine="560" w:firstLineChars="200"/>
        <w:rPr>
          <w:rFonts w:ascii="仿宋" w:hAnsi="仿宋" w:eastAsia="仿宋" w:cs="方正仿宋_GB2312"/>
          <w:sz w:val="28"/>
          <w:szCs w:val="28"/>
          <w:u w:val="single"/>
        </w:rPr>
      </w:pPr>
      <w:r>
        <w:rPr>
          <w:rFonts w:hint="eastAsia" w:ascii="仿宋" w:hAnsi="仿宋" w:eastAsia="仿宋" w:cs="方正仿宋_GB2312"/>
          <w:sz w:val="28"/>
          <w:szCs w:val="28"/>
        </w:rPr>
        <w:t>合同期限为1年，合同有效期自</w:t>
      </w:r>
      <w:r>
        <w:rPr>
          <w:rFonts w:hint="eastAsia" w:ascii="仿宋" w:hAnsi="仿宋" w:eastAsia="仿宋" w:cs="方正仿宋_GB2312"/>
          <w:sz w:val="28"/>
          <w:szCs w:val="28"/>
          <w:u w:val="single"/>
        </w:rPr>
        <w:t xml:space="preserve">  </w:t>
      </w:r>
      <w:r>
        <w:rPr>
          <w:rFonts w:hint="eastAsia" w:ascii="仿宋" w:hAnsi="仿宋" w:eastAsia="仿宋" w:cs="方正仿宋_GB2312"/>
          <w:sz w:val="28"/>
          <w:szCs w:val="28"/>
        </w:rPr>
        <w:t>年</w:t>
      </w:r>
      <w:r>
        <w:rPr>
          <w:rFonts w:hint="eastAsia" w:ascii="仿宋" w:hAnsi="仿宋" w:eastAsia="仿宋" w:cs="方正仿宋_GB2312"/>
          <w:sz w:val="28"/>
          <w:szCs w:val="28"/>
          <w:u w:val="single"/>
        </w:rPr>
        <w:t xml:space="preserve">  </w:t>
      </w:r>
      <w:r>
        <w:rPr>
          <w:rFonts w:hint="eastAsia" w:ascii="仿宋" w:hAnsi="仿宋" w:eastAsia="仿宋" w:cs="方正仿宋_GB2312"/>
          <w:sz w:val="28"/>
          <w:szCs w:val="28"/>
        </w:rPr>
        <w:t>月</w:t>
      </w:r>
      <w:r>
        <w:rPr>
          <w:rFonts w:hint="eastAsia" w:ascii="仿宋" w:hAnsi="仿宋" w:eastAsia="仿宋" w:cs="方正仿宋_GB2312"/>
          <w:sz w:val="28"/>
          <w:szCs w:val="28"/>
          <w:u w:val="single"/>
        </w:rPr>
        <w:t xml:space="preserve">  </w:t>
      </w:r>
      <w:r>
        <w:rPr>
          <w:rFonts w:hint="eastAsia" w:ascii="仿宋" w:hAnsi="仿宋" w:eastAsia="仿宋" w:cs="方正仿宋_GB2312"/>
          <w:sz w:val="28"/>
          <w:szCs w:val="28"/>
        </w:rPr>
        <w:t>日至</w:t>
      </w:r>
      <w:r>
        <w:rPr>
          <w:rFonts w:hint="eastAsia" w:ascii="仿宋" w:hAnsi="仿宋" w:eastAsia="仿宋" w:cs="方正仿宋_GB2312"/>
          <w:sz w:val="28"/>
          <w:szCs w:val="28"/>
          <w:u w:val="single"/>
        </w:rPr>
        <w:t xml:space="preserve">  </w:t>
      </w:r>
      <w:r>
        <w:rPr>
          <w:rFonts w:hint="eastAsia" w:ascii="仿宋" w:hAnsi="仿宋" w:eastAsia="仿宋" w:cs="方正仿宋_GB2312"/>
          <w:sz w:val="28"/>
          <w:szCs w:val="28"/>
        </w:rPr>
        <w:t>年</w:t>
      </w:r>
      <w:r>
        <w:rPr>
          <w:rFonts w:hint="eastAsia" w:ascii="仿宋" w:hAnsi="仿宋" w:eastAsia="仿宋" w:cs="方正仿宋_GB2312"/>
          <w:sz w:val="28"/>
          <w:szCs w:val="28"/>
          <w:u w:val="single"/>
        </w:rPr>
        <w:t xml:space="preserve">  </w:t>
      </w:r>
      <w:r>
        <w:rPr>
          <w:rFonts w:hint="eastAsia" w:ascii="仿宋" w:hAnsi="仿宋" w:eastAsia="仿宋" w:cs="方正仿宋_GB2312"/>
          <w:sz w:val="28"/>
          <w:szCs w:val="28"/>
        </w:rPr>
        <w:t>月</w:t>
      </w:r>
      <w:r>
        <w:rPr>
          <w:rFonts w:hint="eastAsia" w:ascii="仿宋" w:hAnsi="仿宋" w:eastAsia="仿宋" w:cs="方正仿宋_GB2312"/>
          <w:sz w:val="28"/>
          <w:szCs w:val="28"/>
          <w:u w:val="single"/>
        </w:rPr>
        <w:t xml:space="preserve">  </w:t>
      </w:r>
      <w:r>
        <w:rPr>
          <w:rFonts w:hint="eastAsia" w:ascii="仿宋" w:hAnsi="仿宋" w:eastAsia="仿宋" w:cs="方正仿宋_GB2312"/>
          <w:sz w:val="28"/>
          <w:szCs w:val="28"/>
        </w:rPr>
        <w:t>日。</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一年合同期满后，经履约考核为优或良好的可按原合同条款续签下一年度合同，每次续签期限为1年，最多可续签2次。（是否续约应以公开招标文件或中标通知书中有明确约定的可在合同内约定续签事项）。</w:t>
      </w:r>
    </w:p>
    <w:p>
      <w:pPr>
        <w:spacing w:line="480" w:lineRule="exact"/>
        <w:ind w:firstLine="562" w:firstLineChars="200"/>
        <w:rPr>
          <w:rFonts w:ascii="仿宋" w:hAnsi="仿宋" w:eastAsia="仿宋" w:cs="方正仿宋_GB2312"/>
          <w:b/>
          <w:bCs/>
          <w:sz w:val="28"/>
          <w:szCs w:val="28"/>
        </w:rPr>
      </w:pPr>
      <w:r>
        <w:rPr>
          <w:rFonts w:hint="eastAsia" w:ascii="仿宋" w:hAnsi="仿宋" w:eastAsia="仿宋" w:cs="方正仿宋_GB2312"/>
          <w:b/>
          <w:bCs/>
          <w:sz w:val="28"/>
          <w:szCs w:val="28"/>
        </w:rPr>
        <w:t>第二条  服务费用</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本合同价款：合同总价为人民币</w:t>
      </w:r>
      <w:r>
        <w:rPr>
          <w:rFonts w:hint="eastAsia" w:ascii="仿宋" w:hAnsi="仿宋" w:eastAsia="仿宋" w:cs="方正仿宋_GB2312"/>
          <w:sz w:val="28"/>
          <w:szCs w:val="28"/>
          <w:u w:val="single"/>
        </w:rPr>
        <w:t xml:space="preserve">         </w:t>
      </w:r>
      <w:r>
        <w:rPr>
          <w:rFonts w:hint="eastAsia" w:ascii="仿宋" w:hAnsi="仿宋" w:eastAsia="仿宋" w:cs="方正仿宋_GB2312"/>
          <w:sz w:val="28"/>
          <w:szCs w:val="28"/>
        </w:rPr>
        <w:t>元</w:t>
      </w:r>
      <w:r>
        <w:rPr>
          <w:rFonts w:hint="eastAsia" w:ascii="仿宋" w:hAnsi="仿宋" w:eastAsia="仿宋" w:cs="仿宋"/>
          <w:sz w:val="28"/>
          <w:szCs w:val="28"/>
        </w:rPr>
        <w:t>（￥</w:t>
      </w:r>
      <w:r>
        <w:rPr>
          <w:rFonts w:hint="eastAsia" w:ascii="仿宋" w:hAnsi="仿宋" w:eastAsia="仿宋" w:cs="宋体"/>
          <w:b/>
          <w:sz w:val="28"/>
          <w:szCs w:val="28"/>
          <w:u w:val="single"/>
        </w:rPr>
        <w:t xml:space="preserve">     </w:t>
      </w:r>
      <w:r>
        <w:rPr>
          <w:rFonts w:hint="eastAsia" w:ascii="仿宋" w:hAnsi="仿宋" w:eastAsia="仿宋" w:cs="仿宋"/>
          <w:sz w:val="28"/>
          <w:szCs w:val="28"/>
        </w:rPr>
        <w:t>）</w:t>
      </w:r>
      <w:r>
        <w:rPr>
          <w:rFonts w:hint="eastAsia" w:ascii="仿宋" w:hAnsi="仿宋" w:eastAsia="仿宋" w:cs="方正仿宋_GB2312"/>
          <w:sz w:val="28"/>
          <w:szCs w:val="28"/>
        </w:rPr>
        <w:t>。</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人民币报价，</w:t>
      </w:r>
      <w:r>
        <w:rPr>
          <w:rFonts w:hint="eastAsia" w:ascii="仿宋" w:hAnsi="仿宋" w:eastAsia="仿宋" w:cs="仿宋"/>
          <w:sz w:val="28"/>
          <w:szCs w:val="28"/>
        </w:rPr>
        <w:t>总承包报价。报价</w:t>
      </w:r>
      <w:r>
        <w:rPr>
          <w:rFonts w:hint="eastAsia" w:ascii="仿宋" w:hAnsi="仿宋" w:eastAsia="仿宋" w:cs="方正仿宋_GB2312"/>
          <w:sz w:val="28"/>
          <w:szCs w:val="28"/>
        </w:rPr>
        <w:t>包含税费、人工费、材料费、培训费、维保费等所有费用。</w:t>
      </w:r>
    </w:p>
    <w:p>
      <w:pPr>
        <w:spacing w:line="480" w:lineRule="exact"/>
        <w:ind w:firstLine="562" w:firstLineChars="200"/>
        <w:rPr>
          <w:rFonts w:ascii="仿宋" w:hAnsi="仿宋" w:eastAsia="仿宋" w:cs="方正仿宋_GB2312"/>
          <w:b/>
          <w:bCs/>
          <w:sz w:val="28"/>
          <w:szCs w:val="28"/>
        </w:rPr>
      </w:pPr>
      <w:r>
        <w:rPr>
          <w:rFonts w:hint="eastAsia" w:ascii="仿宋" w:hAnsi="仿宋" w:eastAsia="仿宋" w:cs="方正仿宋_GB2312"/>
          <w:b/>
          <w:bCs/>
          <w:sz w:val="28"/>
          <w:szCs w:val="28"/>
        </w:rPr>
        <w:t>第三条  付款方式</w:t>
      </w:r>
    </w:p>
    <w:p>
      <w:pPr>
        <w:pStyle w:val="6"/>
        <w:spacing w:line="480" w:lineRule="exact"/>
        <w:rPr>
          <w:rFonts w:ascii="仿宋" w:hAnsi="仿宋" w:eastAsia="仿宋" w:cs="方正仿宋_GB2312"/>
          <w:sz w:val="28"/>
          <w:szCs w:val="28"/>
        </w:rPr>
      </w:pPr>
      <w:r>
        <w:rPr>
          <w:rFonts w:hint="eastAsia" w:ascii="仿宋" w:hAnsi="仿宋" w:eastAsia="仿宋" w:cs="方正仿宋_GB2312"/>
          <w:sz w:val="28"/>
          <w:szCs w:val="28"/>
        </w:rPr>
        <w:t>1.详细约定参照招标文件中的约定。</w:t>
      </w:r>
    </w:p>
    <w:p>
      <w:pPr>
        <w:pStyle w:val="6"/>
        <w:spacing w:line="480" w:lineRule="exact"/>
        <w:rPr>
          <w:rFonts w:ascii="仿宋" w:hAnsi="仿宋" w:eastAsia="仿宋" w:cs="方正仿宋_GB2312"/>
          <w:sz w:val="28"/>
          <w:szCs w:val="28"/>
        </w:rPr>
      </w:pPr>
      <w:r>
        <w:rPr>
          <w:rFonts w:hint="eastAsia" w:ascii="仿宋" w:hAnsi="仿宋" w:eastAsia="仿宋" w:cs="方正仿宋_GB2312"/>
          <w:sz w:val="28"/>
          <w:szCs w:val="28"/>
        </w:rPr>
        <w:t>2.甲乙双方所有款项往来均通过银行转账方式进行，双方指定的收款银行账户信息详见本合同落款处。</w:t>
      </w:r>
    </w:p>
    <w:p>
      <w:pPr>
        <w:pStyle w:val="6"/>
        <w:spacing w:line="480" w:lineRule="exact"/>
        <w:rPr>
          <w:rFonts w:ascii="仿宋" w:hAnsi="仿宋" w:eastAsia="仿宋" w:cs="方正仿宋_GB2312"/>
          <w:sz w:val="28"/>
          <w:szCs w:val="28"/>
        </w:rPr>
      </w:pPr>
      <w:r>
        <w:rPr>
          <w:rFonts w:hint="eastAsia" w:ascii="仿宋" w:hAnsi="仿宋" w:eastAsia="仿宋" w:cs="方正仿宋_GB2312"/>
          <w:sz w:val="28"/>
          <w:szCs w:val="28"/>
        </w:rPr>
        <w:t>3.乙方应在甲方付款前开具合法有效的发票，甲方收到乙方合法的增值税发票后，根据双方约定时间支付款项。若由于乙方逾期未提供合法有效的增值税发票或者提供发票不齐全，甲方有权拒绝付款，直至票据齐全、合法，且不视为甲方违约。</w:t>
      </w:r>
    </w:p>
    <w:p>
      <w:pPr>
        <w:pStyle w:val="6"/>
        <w:spacing w:line="480" w:lineRule="exact"/>
        <w:rPr>
          <w:rFonts w:ascii="仿宋" w:hAnsi="仿宋" w:eastAsia="仿宋" w:cs="方正仿宋_GB2312"/>
          <w:sz w:val="28"/>
          <w:szCs w:val="28"/>
        </w:rPr>
      </w:pPr>
      <w:r>
        <w:rPr>
          <w:rFonts w:hint="eastAsia" w:ascii="仿宋" w:hAnsi="仿宋" w:eastAsia="仿宋" w:cs="方正仿宋_GB2312"/>
          <w:sz w:val="28"/>
          <w:szCs w:val="28"/>
        </w:rPr>
        <w:t>4.乙方应向甲方提供真实有效的银行账户，银行账户如有变更，应立即书面通知甲方，如乙方银行账户变更未书面通知甲方，甲方向本合同约定的收款账户付款造成乙方实际未收到款的，该责任由乙方自行承担。未经甲方书面认可，乙方不得将应收款项转让给任何第三方或让任何第三方代收，否则甲方有权拒绝付款。</w:t>
      </w:r>
    </w:p>
    <w:p>
      <w:pPr>
        <w:spacing w:line="480" w:lineRule="exact"/>
        <w:ind w:firstLine="560" w:firstLineChars="200"/>
        <w:rPr>
          <w:rFonts w:ascii="仿宋" w:hAnsi="仿宋" w:eastAsia="仿宋" w:cs="方正仿宋_GB2312"/>
          <w:b/>
          <w:bCs/>
          <w:sz w:val="28"/>
          <w:szCs w:val="28"/>
        </w:rPr>
      </w:pPr>
      <w:r>
        <w:rPr>
          <w:rFonts w:hint="eastAsia" w:ascii="仿宋" w:hAnsi="仿宋" w:eastAsia="仿宋" w:cs="方正仿宋_GB2312"/>
          <w:sz w:val="28"/>
          <w:szCs w:val="28"/>
        </w:rPr>
        <w:t>5.若本合同付款涉及甲方内部或财政审批迟延的特殊情况，甲方未能按约付款的，乙方对此表示理解，甲方应向乙方进行说明并明确新的付款期限。</w:t>
      </w:r>
    </w:p>
    <w:p>
      <w:pPr>
        <w:spacing w:line="480" w:lineRule="exact"/>
        <w:ind w:firstLine="562" w:firstLineChars="200"/>
        <w:rPr>
          <w:rFonts w:ascii="仿宋" w:hAnsi="仿宋" w:eastAsia="仿宋" w:cs="方正仿宋_GB2312"/>
          <w:b/>
          <w:bCs/>
          <w:sz w:val="28"/>
          <w:szCs w:val="28"/>
        </w:rPr>
      </w:pPr>
      <w:r>
        <w:rPr>
          <w:rFonts w:hint="eastAsia" w:ascii="仿宋" w:hAnsi="仿宋" w:eastAsia="仿宋" w:cs="方正仿宋_GB2312"/>
          <w:b/>
          <w:bCs/>
          <w:sz w:val="28"/>
          <w:szCs w:val="28"/>
        </w:rPr>
        <w:t>第四条  项目概况</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1.</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2.</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w:t>
      </w:r>
    </w:p>
    <w:p>
      <w:pPr>
        <w:spacing w:line="480" w:lineRule="exact"/>
        <w:ind w:firstLine="562" w:firstLineChars="200"/>
        <w:rPr>
          <w:rFonts w:ascii="仿宋" w:hAnsi="仿宋" w:eastAsia="仿宋" w:cs="方正仿宋_GB2312"/>
          <w:b/>
          <w:bCs/>
          <w:sz w:val="28"/>
          <w:szCs w:val="28"/>
        </w:rPr>
      </w:pPr>
      <w:r>
        <w:rPr>
          <w:rFonts w:hint="eastAsia" w:ascii="仿宋" w:hAnsi="仿宋" w:eastAsia="仿宋" w:cs="方正仿宋_GB2312"/>
          <w:b/>
          <w:bCs/>
          <w:sz w:val="28"/>
          <w:szCs w:val="28"/>
        </w:rPr>
        <w:t>第五条  服务内容及要求</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1.合同签订日起</w:t>
      </w:r>
      <w:r>
        <w:rPr>
          <w:rFonts w:hint="eastAsia" w:ascii="仿宋" w:hAnsi="仿宋" w:eastAsia="仿宋" w:cs="方正仿宋_GB2312"/>
          <w:sz w:val="28"/>
          <w:szCs w:val="28"/>
          <w:u w:val="single"/>
        </w:rPr>
        <w:t xml:space="preserve">   </w:t>
      </w:r>
      <w:r>
        <w:rPr>
          <w:rFonts w:hint="eastAsia" w:ascii="仿宋" w:hAnsi="仿宋" w:eastAsia="仿宋" w:cs="方正仿宋_GB2312"/>
          <w:sz w:val="28"/>
          <w:szCs w:val="28"/>
        </w:rPr>
        <w:t>天内完成项目实施的准备工作，包括服务内容的大纲及服务团队的组建；</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 xml:space="preserve">2. </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w:t>
      </w:r>
    </w:p>
    <w:p>
      <w:pPr>
        <w:spacing w:line="480" w:lineRule="exact"/>
        <w:ind w:firstLine="562" w:firstLineChars="200"/>
        <w:rPr>
          <w:rFonts w:ascii="仿宋" w:hAnsi="仿宋" w:eastAsia="仿宋" w:cs="方正仿宋_GB2312"/>
          <w:b/>
          <w:bCs/>
          <w:sz w:val="28"/>
          <w:szCs w:val="28"/>
        </w:rPr>
      </w:pPr>
      <w:r>
        <w:rPr>
          <w:rFonts w:hint="eastAsia" w:ascii="仿宋" w:hAnsi="仿宋" w:eastAsia="仿宋" w:cs="方正仿宋_GB2312"/>
          <w:b/>
          <w:bCs/>
          <w:sz w:val="28"/>
          <w:szCs w:val="28"/>
        </w:rPr>
        <w:t>第六条  服务团队</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1.乙方指派</w:t>
      </w:r>
      <w:r>
        <w:rPr>
          <w:rFonts w:hint="eastAsia" w:ascii="仿宋" w:hAnsi="仿宋" w:eastAsia="仿宋" w:cs="方正仿宋_GB2312"/>
          <w:sz w:val="28"/>
          <w:szCs w:val="28"/>
          <w:u w:val="single"/>
        </w:rPr>
        <w:t xml:space="preserve">   </w:t>
      </w:r>
      <w:r>
        <w:rPr>
          <w:rFonts w:hint="eastAsia" w:ascii="仿宋" w:hAnsi="仿宋" w:eastAsia="仿宋" w:cs="方正仿宋_GB2312"/>
          <w:sz w:val="28"/>
          <w:szCs w:val="28"/>
        </w:rPr>
        <w:t>为负责人（联系方式：</w:t>
      </w:r>
      <w:r>
        <w:rPr>
          <w:rFonts w:hint="eastAsia" w:ascii="仿宋" w:hAnsi="仿宋" w:eastAsia="仿宋" w:cs="方正仿宋_GB2312"/>
          <w:sz w:val="28"/>
          <w:szCs w:val="28"/>
          <w:u w:val="single"/>
        </w:rPr>
        <w:t xml:space="preserve">      </w:t>
      </w:r>
      <w:r>
        <w:rPr>
          <w:rFonts w:hint="eastAsia" w:ascii="仿宋" w:hAnsi="仿宋" w:eastAsia="仿宋" w:cs="方正仿宋_GB2312"/>
          <w:sz w:val="28"/>
          <w:szCs w:val="28"/>
        </w:rPr>
        <w:t>）的工作团队为甲方提供服务。未经甲方书面同意，乙方不得随意更换团队成员。</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2.必须使用公司直属人员参与本项目服务，不得使用挂靠队伍。</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3.乙方指派的团队成员资质和能力必须与投标文件中的服务承诺书和服务组织实施方案一致。如甲方对团队成员有异议或要求，乙方保证无条件配合甲方更换团队成员，且更换后人员的资质和能力符合甲方的要求。</w:t>
      </w:r>
    </w:p>
    <w:p>
      <w:pPr>
        <w:spacing w:line="480" w:lineRule="exact"/>
        <w:ind w:firstLine="560" w:firstLineChars="200"/>
        <w:rPr>
          <w:rFonts w:ascii="仿宋" w:hAnsi="仿宋" w:eastAsia="仿宋" w:cs="方正仿宋_GB2312"/>
          <w:b/>
          <w:bCs/>
          <w:sz w:val="28"/>
          <w:szCs w:val="28"/>
        </w:rPr>
      </w:pPr>
      <w:r>
        <w:rPr>
          <w:rFonts w:hint="eastAsia" w:ascii="仿宋" w:hAnsi="仿宋" w:eastAsia="仿宋" w:cs="方正仿宋_GB2312"/>
          <w:sz w:val="28"/>
          <w:szCs w:val="28"/>
        </w:rPr>
        <w:t>4.自乙方向甲方提供服务之日起，甲乙双方</w:t>
      </w:r>
      <w:r>
        <w:rPr>
          <w:rFonts w:hint="eastAsia" w:ascii="仿宋" w:hAnsi="仿宋" w:eastAsia="仿宋" w:cs="方正仿宋_GB2312"/>
          <w:sz w:val="28"/>
          <w:szCs w:val="28"/>
          <w:u w:val="single"/>
        </w:rPr>
        <w:t xml:space="preserve">   </w:t>
      </w:r>
      <w:r>
        <w:rPr>
          <w:rFonts w:hint="eastAsia" w:ascii="仿宋" w:hAnsi="仿宋" w:eastAsia="仿宋" w:cs="方正仿宋_GB2312"/>
          <w:sz w:val="28"/>
          <w:szCs w:val="28"/>
        </w:rPr>
        <w:t>举行一次工作例会，由乙方团队主要成员向甲方汇报工作进展和需求，并就服务工作进行沟通和交流。</w:t>
      </w:r>
    </w:p>
    <w:p>
      <w:pPr>
        <w:spacing w:line="480" w:lineRule="exact"/>
        <w:ind w:firstLine="562" w:firstLineChars="200"/>
        <w:rPr>
          <w:rFonts w:ascii="仿宋" w:hAnsi="仿宋" w:eastAsia="仿宋" w:cs="方正仿宋_GB2312"/>
          <w:b/>
          <w:bCs/>
          <w:sz w:val="28"/>
          <w:szCs w:val="28"/>
        </w:rPr>
      </w:pPr>
      <w:r>
        <w:rPr>
          <w:rFonts w:hint="eastAsia" w:ascii="仿宋" w:hAnsi="仿宋" w:eastAsia="仿宋" w:cs="方正仿宋_GB2312"/>
          <w:b/>
          <w:bCs/>
          <w:sz w:val="28"/>
          <w:szCs w:val="28"/>
        </w:rPr>
        <w:t>第七条  服务资料归属</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1.所有提交给甲方的服务文件及相关的资料的最后文本，包括为履行服务范围所编制的图纸、计划和证明资料等，都属于甲方的财产，乙方在提交给甲方之前应将上述资料进行整理归类和编制索引。</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2.乙方未经甲方的书面同意，不得将上述资料用于本咨询服务项目之外的任何项目。</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3.合同履行完毕，未经甲方的书面同意，乙方不得保存在履行合同过程中所获得或接触的任何内部数据资料。</w:t>
      </w:r>
    </w:p>
    <w:p>
      <w:pPr>
        <w:spacing w:line="480" w:lineRule="exact"/>
        <w:ind w:firstLine="562" w:firstLineChars="200"/>
        <w:rPr>
          <w:rFonts w:ascii="仿宋" w:hAnsi="仿宋" w:eastAsia="仿宋" w:cs="方正仿宋_GB2312"/>
          <w:b/>
          <w:bCs/>
          <w:sz w:val="28"/>
          <w:szCs w:val="28"/>
        </w:rPr>
      </w:pPr>
      <w:r>
        <w:rPr>
          <w:rFonts w:hint="eastAsia" w:ascii="仿宋" w:hAnsi="仿宋" w:eastAsia="仿宋" w:cs="方正仿宋_GB2312"/>
          <w:b/>
          <w:bCs/>
          <w:sz w:val="28"/>
          <w:szCs w:val="28"/>
        </w:rPr>
        <w:t>第八条  甲方的权利与义务</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1.甲方有权对乙方的工作进行监督和检查、有权对乙方提出修改意见和建议。</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2.甲方有权对乙方提交的服务成果进行验收，验收不合格的有权要求乙方修改，直至甲方验收合格。</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3.对于验收合格后的服务成果，甲方应向乙方支付服务费用。</w:t>
      </w:r>
    </w:p>
    <w:p>
      <w:pPr>
        <w:spacing w:line="480" w:lineRule="exact"/>
        <w:ind w:firstLine="562" w:firstLineChars="200"/>
        <w:rPr>
          <w:rFonts w:ascii="仿宋" w:hAnsi="仿宋" w:eastAsia="仿宋" w:cs="方正仿宋_GB2312"/>
          <w:b/>
          <w:bCs/>
          <w:sz w:val="28"/>
          <w:szCs w:val="28"/>
        </w:rPr>
      </w:pPr>
      <w:r>
        <w:rPr>
          <w:rFonts w:hint="eastAsia" w:ascii="仿宋" w:hAnsi="仿宋" w:eastAsia="仿宋" w:cs="方正仿宋_GB2312"/>
          <w:b/>
          <w:bCs/>
          <w:sz w:val="28"/>
          <w:szCs w:val="28"/>
        </w:rPr>
        <w:t>第九条  乙方的权利与义务</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1.乙方有权要求甲方支付服务费用。</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2.对于服务需求不明确的，乙方有权要求甲方明确具体服务需求。</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3.乙方应勤勉尽职地为甲方提供服务，并尽最大努力满足甲方对乙方的专业服务需求。</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4.乙方应在约定时间内按照甲方要求的形式、数量提交服务成果。</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5.未经甲方书面同意，乙方不得将本合同项下的服务内容全部或部分委托给第三方完成。</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6.如乙方为提供本合同项下的服务而保管甲方交付的设备、物品等，保管期间，乙方应谨慎尽职，不论何种原因包括不可抗力因素，乙方均需确保设备、物品的安全，不遭受损害。</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7.乙方应做到合法用工，与工作人员建立合法的劳动/劳务关系，负责工作人员的工资、社会保险及其他保险的购买。乙方与其工作人员发生的一切纠纷均与甲方无关。</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8.乙方应按照国家规定为工作人员提供合理的工作条件与保护设施，乙方工作人员在甲方场地内发生的一切意外、事故等均由乙方承担，与甲方无关。</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9.乙方在甲方院内提供服务的，应保证其工作人员严格遵守甲方各项管理规定，服务过程中如造成甲方场所及设施损坏、工作人员人身伤害或第三方人身伤害、财产损失，乙方应承担全部赔偿责任。</w:t>
      </w:r>
    </w:p>
    <w:p>
      <w:pPr>
        <w:spacing w:line="480" w:lineRule="exact"/>
        <w:ind w:firstLine="562" w:firstLineChars="200"/>
        <w:rPr>
          <w:rFonts w:ascii="仿宋" w:hAnsi="仿宋" w:eastAsia="仿宋" w:cs="方正仿宋_GB2312"/>
          <w:b/>
          <w:bCs/>
          <w:sz w:val="28"/>
          <w:szCs w:val="28"/>
        </w:rPr>
      </w:pPr>
      <w:r>
        <w:rPr>
          <w:rFonts w:hint="eastAsia" w:ascii="仿宋" w:hAnsi="仿宋" w:eastAsia="仿宋" w:cs="方正仿宋_GB2312"/>
          <w:b/>
          <w:bCs/>
          <w:sz w:val="28"/>
          <w:szCs w:val="28"/>
        </w:rPr>
        <w:t>第十条  保证与承诺</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1.乙方保证所提供的产品/服务/成果不侵犯任何第三方的知识产权或其他合法权益。</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2.甲乙双方保证对在本次合作中知悉对方的商业秘密履行保密义务，在与本协议无关的工作中，不泄露、不以任何原因任意使用相关的合同、数据、资料与信息等。</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3.在向甲方提供服务的过程中，如乙方可能从设备上存取、查看和/或下载包括个人数据、用来直接或间接地识别出个人相关信息等计算机文档。个人数据可能包括个人健康信息和非健康信息（如姓名、出生日期、性别等）。乙方对个人数据等相关文档的使用仅限于履行本合同规定的义务所必需的限度内，不得擅自翻阅、复制、传播所接触的用户资料或数据，乙方和相关人员保证不泄密、以任何原因使用或允许他人使用用户设备数据、资料与信息等。乙方对其指派的工作人员的保密义务承担责任。</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4.保密义务应同样适用于甲乙双方的员工、辅助人员和三方合作者。本条款的效力长期有效，不因合同履行完毕、终止而失效。如因司法机关或政府部门要求，甲方上级检查及同级单位学习而对外披露商业秘密的，不视为违反保密义务。</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5.合同履行期间，乙方应主动维护甲方的名誉与利益，不作出任何损害甲方名誉与利益的行为。</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6.未经甲方事先书面同意，乙方不得使用甲方名义等对外进行宣传。</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7.乙方及乙方参加项目的有关人员均需同甲方签订保密协议。</w:t>
      </w:r>
    </w:p>
    <w:p>
      <w:pPr>
        <w:spacing w:line="480" w:lineRule="exact"/>
        <w:ind w:firstLine="562" w:firstLineChars="200"/>
        <w:rPr>
          <w:rFonts w:ascii="仿宋" w:hAnsi="仿宋" w:eastAsia="仿宋" w:cs="方正仿宋_GB2312"/>
          <w:b/>
          <w:bCs/>
          <w:sz w:val="28"/>
          <w:szCs w:val="28"/>
        </w:rPr>
      </w:pPr>
      <w:r>
        <w:rPr>
          <w:rFonts w:hint="eastAsia" w:ascii="仿宋" w:hAnsi="仿宋" w:eastAsia="仿宋" w:cs="方正仿宋_GB2312"/>
          <w:b/>
          <w:bCs/>
          <w:sz w:val="28"/>
          <w:szCs w:val="28"/>
        </w:rPr>
        <w:t>第十一条  免责条款</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若甲、乙双方的任何一方由于不可抗力原因造成不能及时履行或不能履行合同时，应及时向对方通报不能履行或不能及时履行的理由，在取得有关证明后，允许延期履行、部分履行或不履行合同，并根据情况，免除相应责任。</w:t>
      </w:r>
    </w:p>
    <w:p>
      <w:pPr>
        <w:spacing w:line="480" w:lineRule="exact"/>
        <w:ind w:firstLine="562" w:firstLineChars="200"/>
        <w:rPr>
          <w:rFonts w:ascii="仿宋" w:hAnsi="仿宋" w:eastAsia="仿宋" w:cs="方正仿宋_GB2312"/>
          <w:b/>
          <w:bCs/>
          <w:sz w:val="28"/>
          <w:szCs w:val="28"/>
        </w:rPr>
      </w:pPr>
      <w:r>
        <w:rPr>
          <w:rFonts w:hint="eastAsia" w:ascii="仿宋" w:hAnsi="仿宋" w:eastAsia="仿宋" w:cs="方正仿宋_GB2312"/>
          <w:b/>
          <w:bCs/>
          <w:sz w:val="28"/>
          <w:szCs w:val="28"/>
        </w:rPr>
        <w:t>第十二条  违约责任</w:t>
      </w:r>
    </w:p>
    <w:p>
      <w:pPr>
        <w:spacing w:line="480" w:lineRule="exact"/>
        <w:ind w:firstLine="560" w:firstLineChars="200"/>
        <w:rPr>
          <w:rFonts w:ascii="仿宋" w:hAnsi="仿宋" w:eastAsia="仿宋" w:cs="方正仿宋_GB2312"/>
          <w:sz w:val="28"/>
          <w:szCs w:val="28"/>
        </w:rPr>
      </w:pPr>
      <w:bookmarkStart w:id="22" w:name="_Hlk42353112"/>
      <w:r>
        <w:rPr>
          <w:rFonts w:hint="eastAsia" w:ascii="仿宋" w:hAnsi="仿宋" w:eastAsia="仿宋" w:cs="方正仿宋_GB2312"/>
          <w:sz w:val="28"/>
          <w:szCs w:val="28"/>
        </w:rPr>
        <w:t>1.双方均应忠实履行合同约定的各项内容，任何一方违反本合同，均应承担违约责任。双方约定如一方违反合同约定，则违约方应向守约方支付违约金，违约金的金额为合同总价款的（）%，因一方违约给另一方造成经济损失的，违约方除应支付违约金外，还应另行根据守约方遭受损失的实际情况进行赔偿，赔偿范围包括直接损失、间接损失、守约方因维权而产生的律师费、鉴定费、差旅费、诉讼费、保全费、保全担保费等合理支出。</w:t>
      </w:r>
    </w:p>
    <w:bookmarkEnd w:id="22"/>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2.乙方未按照双方约定的时间提交服务成果的，每延迟一天，应该按照服务费用金额的（）%向甲方支付违约金。</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3.发生以下情形之一，甲方有权单方解除本合同，乙方应向甲方退回已支付的全部款项，且甲方有权要求乙方按照服务费总金额的（）%支付违约金：</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（1）乙方延迟提交服务成果超过</w:t>
      </w:r>
      <w:r>
        <w:rPr>
          <w:rFonts w:hint="eastAsia" w:ascii="仿宋" w:hAnsi="仿宋" w:eastAsia="仿宋" w:cs="方正仿宋_GB2312"/>
          <w:sz w:val="28"/>
          <w:szCs w:val="28"/>
          <w:u w:val="single"/>
        </w:rPr>
        <w:t xml:space="preserve">  </w:t>
      </w:r>
      <w:r>
        <w:rPr>
          <w:rFonts w:hint="eastAsia" w:ascii="仿宋" w:hAnsi="仿宋" w:eastAsia="仿宋" w:cs="方正仿宋_GB2312"/>
          <w:sz w:val="28"/>
          <w:szCs w:val="28"/>
        </w:rPr>
        <w:t>天；</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（2）未经甲方书面同意，乙方将本合同项下部分或全部工作委托给第三方承担的。</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4.如乙方原因导致提供的服务成果存在侵犯第三方知识产权或其他合法权益的情形，乙方除了承担全部赔偿责任之外，还应按照合同总金额（）%向甲方支付违约金。</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5.甲方有权自应支付给乙方的服务费用中直接扣除各种索赔款项，包括但不限于赔偿款、违约金、律师费、诉讼费、鉴定费等。</w:t>
      </w:r>
    </w:p>
    <w:p>
      <w:pPr>
        <w:pStyle w:val="25"/>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6.服务期间，若乙方被甲方用户投诉，经确认为有效投诉的每次扣除人民币</w:t>
      </w:r>
      <w:r>
        <w:rPr>
          <w:rFonts w:hint="eastAsia" w:ascii="仿宋" w:hAnsi="仿宋" w:eastAsia="仿宋" w:cs="方正仿宋_GB2312"/>
          <w:sz w:val="28"/>
          <w:szCs w:val="28"/>
          <w:u w:val="single"/>
        </w:rPr>
        <w:t xml:space="preserve">    </w:t>
      </w:r>
      <w:r>
        <w:rPr>
          <w:rFonts w:hint="eastAsia" w:ascii="仿宋" w:hAnsi="仿宋" w:eastAsia="仿宋" w:cs="方正仿宋_GB2312"/>
          <w:sz w:val="28"/>
          <w:szCs w:val="28"/>
        </w:rPr>
        <w:t>元。</w:t>
      </w:r>
    </w:p>
    <w:p>
      <w:pPr>
        <w:pStyle w:val="25"/>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7.甲方每  个月组织一次履约评价，总分低于</w:t>
      </w:r>
      <w:r>
        <w:rPr>
          <w:rFonts w:hint="eastAsia" w:ascii="仿宋" w:hAnsi="仿宋" w:eastAsia="仿宋" w:cs="方正仿宋_GB2312"/>
          <w:sz w:val="28"/>
          <w:szCs w:val="28"/>
          <w:u w:val="single"/>
        </w:rPr>
        <w:t xml:space="preserve">   </w:t>
      </w:r>
      <w:r>
        <w:rPr>
          <w:rFonts w:hint="eastAsia" w:ascii="仿宋" w:hAnsi="仿宋" w:eastAsia="仿宋" w:cs="方正仿宋_GB2312"/>
          <w:sz w:val="28"/>
          <w:szCs w:val="28"/>
        </w:rPr>
        <w:t>分的根据差额分进行经济处罚。处罚约定根据招标文件中的约定执行。</w:t>
      </w:r>
    </w:p>
    <w:p>
      <w:pPr>
        <w:spacing w:line="480" w:lineRule="exact"/>
        <w:ind w:firstLine="562" w:firstLineChars="200"/>
        <w:rPr>
          <w:rFonts w:ascii="仿宋" w:hAnsi="仿宋" w:eastAsia="仿宋" w:cs="方正仿宋_GB2312"/>
          <w:b/>
          <w:bCs/>
          <w:sz w:val="28"/>
          <w:szCs w:val="28"/>
        </w:rPr>
      </w:pPr>
      <w:r>
        <w:rPr>
          <w:rFonts w:hint="eastAsia" w:ascii="仿宋" w:hAnsi="仿宋" w:eastAsia="仿宋" w:cs="方正仿宋_GB2312"/>
          <w:b/>
          <w:bCs/>
          <w:sz w:val="28"/>
          <w:szCs w:val="28"/>
        </w:rPr>
        <w:t>第十一条  争议解决</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因履行本合同引起的或与本合同有关的争议，甲乙双方应首先通过友好协商解决，如果协商不能解决，则通过向甲方所在地有管辖权的人民法院提起诉讼解决。</w:t>
      </w:r>
    </w:p>
    <w:p>
      <w:pPr>
        <w:spacing w:line="480" w:lineRule="exact"/>
        <w:ind w:firstLine="562" w:firstLineChars="200"/>
        <w:rPr>
          <w:rFonts w:ascii="仿宋" w:hAnsi="仿宋" w:eastAsia="仿宋" w:cs="方正仿宋_GB2312"/>
          <w:b/>
          <w:bCs/>
          <w:sz w:val="28"/>
          <w:szCs w:val="28"/>
        </w:rPr>
      </w:pPr>
      <w:r>
        <w:rPr>
          <w:rFonts w:hint="eastAsia" w:ascii="仿宋" w:hAnsi="仿宋" w:eastAsia="仿宋" w:cs="方正仿宋_GB2312"/>
          <w:b/>
          <w:bCs/>
          <w:sz w:val="28"/>
          <w:szCs w:val="28"/>
        </w:rPr>
        <w:t>第十二条  本合同附件</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以下附件及乙方投标时提供的投标文件和其他相关资料作为本合同的补充内容，具有同等法律效力。</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附件1：服务项目清单（加盖公章）；</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附件2：深圳市龙岗区第七人民医院廉洁购销合同；</w:t>
      </w:r>
    </w:p>
    <w:p>
      <w:pPr>
        <w:spacing w:line="480" w:lineRule="exact"/>
        <w:ind w:firstLine="560" w:firstLineChars="200"/>
        <w:rPr>
          <w:rFonts w:ascii="仿宋" w:hAnsi="仿宋" w:eastAsia="仿宋" w:cs="方正仿宋_GB2312"/>
          <w:sz w:val="28"/>
          <w:szCs w:val="28"/>
        </w:rPr>
      </w:pPr>
      <w:r>
        <w:rPr>
          <w:rFonts w:hint="eastAsia" w:ascii="仿宋" w:hAnsi="仿宋" w:eastAsia="仿宋" w:cs="方正仿宋_GB2312"/>
          <w:sz w:val="28"/>
          <w:szCs w:val="28"/>
        </w:rPr>
        <w:t>附件3：龙岗区进一步规范政商交往行为告知书；</w:t>
      </w:r>
    </w:p>
    <w:p>
      <w:pPr>
        <w:pStyle w:val="2"/>
        <w:ind w:firstLine="560" w:firstLineChars="200"/>
        <w:rPr>
          <w:rFonts w:ascii="仿宋" w:hAnsi="仿宋" w:eastAsia="仿宋" w:cs="方正仿宋_GB2312"/>
          <w:kern w:val="2"/>
          <w:sz w:val="28"/>
          <w:szCs w:val="28"/>
        </w:rPr>
      </w:pPr>
      <w:r>
        <w:rPr>
          <w:rFonts w:hint="eastAsia" w:ascii="仿宋" w:hAnsi="仿宋" w:eastAsia="仿宋" w:cs="方正仿宋_GB2312"/>
          <w:kern w:val="2"/>
          <w:sz w:val="28"/>
          <w:szCs w:val="28"/>
        </w:rPr>
        <w:t>附件4：……。</w:t>
      </w:r>
    </w:p>
    <w:p>
      <w:pPr>
        <w:spacing w:line="480" w:lineRule="exact"/>
        <w:ind w:firstLine="562" w:firstLineChars="200"/>
        <w:rPr>
          <w:rFonts w:ascii="仿宋" w:hAnsi="仿宋" w:eastAsia="仿宋" w:cs="方正仿宋_GB2312"/>
          <w:b/>
          <w:bCs/>
          <w:sz w:val="28"/>
          <w:szCs w:val="28"/>
        </w:rPr>
      </w:pPr>
      <w:r>
        <w:rPr>
          <w:rFonts w:hint="eastAsia" w:ascii="仿宋" w:hAnsi="仿宋" w:eastAsia="仿宋" w:cs="方正仿宋_GB2312"/>
          <w:b/>
          <w:bCs/>
          <w:sz w:val="28"/>
          <w:szCs w:val="28"/>
        </w:rPr>
        <w:t>第十三条  合同生效及其它</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1.合同经双方法定代表人或授权委托代表人签字并加盖单位公章或合同专用章后生效。</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r>
        <w:rPr>
          <w:rFonts w:hint="eastAsia" w:ascii="仿宋" w:hAnsi="仿宋" w:eastAsia="仿宋" w:cs="仿宋"/>
          <w:sz w:val="28"/>
          <w:szCs w:val="28"/>
          <w:u w:val="single"/>
        </w:rPr>
        <w:t xml:space="preserve">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spacing w:line="440" w:lineRule="exact"/>
        <w:ind w:firstLine="560" w:firstLineChars="200"/>
        <w:rPr>
          <w:rFonts w:ascii="仿宋" w:hAnsi="仿宋" w:eastAsia="仿宋"/>
          <w:sz w:val="28"/>
          <w:szCs w:val="28"/>
        </w:rPr>
      </w:pPr>
      <w:r>
        <w:rPr>
          <w:rFonts w:hint="eastAsia" w:ascii="仿宋" w:hAnsi="仿宋" w:eastAsia="仿宋" w:cs="仿宋"/>
          <w:sz w:val="28"/>
          <w:szCs w:val="28"/>
        </w:rPr>
        <w:t>4.本合同正本一式</w:t>
      </w:r>
      <w:r>
        <w:rPr>
          <w:rFonts w:hint="eastAsia" w:ascii="仿宋" w:hAnsi="仿宋" w:eastAsia="仿宋" w:cs="仿宋"/>
          <w:sz w:val="28"/>
          <w:szCs w:val="28"/>
          <w:u w:val="single"/>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p>
      <w:pPr>
        <w:pStyle w:val="6"/>
        <w:spacing w:line="440" w:lineRule="exact"/>
      </w:pPr>
    </w:p>
    <w:tbl>
      <w:tblPr>
        <w:tblStyle w:val="14"/>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rPr>
              <w:t>纳税人识别号：12440307G34813567P</w:t>
            </w:r>
          </w:p>
        </w:tc>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11" w:type="dxa"/>
            <w:noWrap/>
          </w:tcPr>
          <w:p>
            <w:pPr>
              <w:spacing w:line="360" w:lineRule="auto"/>
            </w:pPr>
            <w:r>
              <w:rPr>
                <w:rFonts w:hint="eastAsia" w:ascii="仿宋" w:hAnsi="仿宋" w:eastAsia="仿宋" w:cs="仿宋"/>
                <w:b/>
                <w:bCs/>
                <w:kern w:val="0"/>
                <w:sz w:val="24"/>
              </w:rPr>
              <w:t>开户银行：</w:t>
            </w:r>
          </w:p>
        </w:tc>
        <w:tc>
          <w:tcPr>
            <w:tcW w:w="4111" w:type="dxa"/>
            <w:noWrap/>
          </w:tcPr>
          <w:p>
            <w:pPr>
              <w:spacing w:line="360" w:lineRule="auto"/>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rPr>
              <w:t>账    号：</w:t>
            </w:r>
          </w:p>
        </w:tc>
        <w:tc>
          <w:tcPr>
            <w:tcW w:w="4111"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color w:val="000000"/>
                <w:sz w:val="24"/>
              </w:rPr>
              <w:t>电话：</w:t>
            </w:r>
          </w:p>
        </w:tc>
        <w:tc>
          <w:tcPr>
            <w:tcW w:w="4111"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甲方法定代表人或授权人（签字）：</w:t>
            </w:r>
          </w:p>
          <w:p>
            <w:pPr>
              <w:pStyle w:val="6"/>
              <w:ind w:firstLine="0"/>
            </w:pPr>
          </w:p>
          <w:p>
            <w:pPr>
              <w:pStyle w:val="6"/>
              <w:ind w:firstLine="0"/>
            </w:pPr>
          </w:p>
          <w:p>
            <w:pPr>
              <w:spacing w:line="360" w:lineRule="auto"/>
              <w:rPr>
                <w:rFonts w:ascii="仿宋" w:hAnsi="仿宋" w:eastAsia="仿宋" w:cs="仿宋"/>
                <w:b/>
                <w:bCs/>
                <w:kern w:val="0"/>
                <w:sz w:val="24"/>
              </w:rPr>
            </w:pPr>
            <w:r>
              <w:rPr>
                <w:rFonts w:hint="eastAsia" w:ascii="仿宋" w:hAnsi="仿宋" w:eastAsia="仿宋" w:cs="仿宋"/>
                <w:b/>
                <w:bCs/>
                <w:kern w:val="0"/>
                <w:sz w:val="24"/>
              </w:rPr>
              <w:t>分管领导、经办科室负责人（签字）：</w:t>
            </w:r>
          </w:p>
          <w:p>
            <w:pPr>
              <w:pStyle w:val="6"/>
              <w:ind w:firstLine="0"/>
            </w:pPr>
          </w:p>
          <w:p>
            <w:pPr>
              <w:pStyle w:val="6"/>
              <w:ind w:firstLine="0"/>
            </w:pPr>
          </w:p>
        </w:tc>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乙方法定代表人（签字）：</w:t>
            </w:r>
          </w:p>
          <w:p>
            <w:pPr>
              <w:pStyle w:val="6"/>
              <w:ind w:firstLine="0"/>
            </w:pPr>
          </w:p>
          <w:p>
            <w:pPr>
              <w:pStyle w:val="6"/>
              <w:ind w:firstLine="0"/>
            </w:pPr>
          </w:p>
          <w:p>
            <w:pPr>
              <w:spacing w:line="360" w:lineRule="auto"/>
              <w:rPr>
                <w:rFonts w:ascii="仿宋" w:hAnsi="仿宋" w:eastAsia="仿宋" w:cs="仿宋"/>
                <w:b/>
                <w:bCs/>
                <w:kern w:val="0"/>
                <w:sz w:val="24"/>
              </w:rPr>
            </w:pPr>
            <w:r>
              <w:rPr>
                <w:rFonts w:hint="eastAsia" w:ascii="仿宋" w:hAnsi="仿宋" w:eastAsia="仿宋" w:cs="仿宋"/>
                <w:b/>
                <w:bCs/>
                <w:kern w:val="0"/>
                <w:sz w:val="24"/>
              </w:rPr>
              <w:t>或授权人（签字）：</w:t>
            </w:r>
          </w:p>
          <w:p>
            <w:pPr>
              <w:pStyle w:val="6"/>
              <w:ind w:firstLine="0"/>
            </w:pPr>
          </w:p>
          <w:p>
            <w:pPr>
              <w:pStyle w:val="6"/>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222" w:type="dxa"/>
            <w:gridSpan w:val="2"/>
            <w:noWrap/>
            <w:vAlign w:val="center"/>
          </w:tcPr>
          <w:p>
            <w:pPr>
              <w:spacing w:line="480" w:lineRule="exac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签约时间：    年  月  日</w:t>
            </w:r>
          </w:p>
          <w:p>
            <w:pPr>
              <w:spacing w:line="480" w:lineRule="exact"/>
              <w:jc w:val="center"/>
              <w:rPr>
                <w:rFonts w:ascii="宋体" w:hAnsi="宋体" w:eastAsia="仿宋"/>
                <w:kern w:val="0"/>
                <w:sz w:val="24"/>
              </w:rPr>
            </w:pPr>
            <w:r>
              <w:rPr>
                <w:rFonts w:hint="eastAsia" w:ascii="仿宋" w:hAnsi="仿宋" w:eastAsia="仿宋" w:cs="仿宋"/>
                <w:b/>
                <w:bCs/>
                <w:color w:val="000000"/>
                <w:sz w:val="28"/>
                <w:szCs w:val="28"/>
              </w:rPr>
              <w:t>签约地址：深圳市龙岗区第七人民医院</w:t>
            </w:r>
          </w:p>
        </w:tc>
      </w:tr>
    </w:tbl>
    <w:p>
      <w:pPr>
        <w:spacing w:line="500" w:lineRule="exact"/>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tabs>
          <w:tab w:val="left" w:pos="0"/>
        </w:tabs>
        <w:snapToGrid w:val="0"/>
        <w:spacing w:line="480" w:lineRule="exact"/>
        <w:rPr>
          <w:rFonts w:ascii="仿宋" w:hAnsi="仿宋" w:eastAsia="仿宋" w:cs="仿宋"/>
          <w:b/>
          <w:bCs/>
          <w:sz w:val="32"/>
          <w:szCs w:val="32"/>
        </w:rPr>
        <w:sectPr>
          <w:pgSz w:w="11906" w:h="16838"/>
          <w:pgMar w:top="2098" w:right="1474" w:bottom="1984" w:left="1304" w:header="851" w:footer="1417" w:gutter="0"/>
          <w:pgNumType w:fmt="numberInDash"/>
          <w:cols w:space="0" w:num="1"/>
          <w:docGrid w:type="lines" w:linePitch="338" w:charSpace="0"/>
        </w:sectPr>
      </w:pPr>
    </w:p>
    <w:p>
      <w:pPr>
        <w:widowControl/>
        <w:spacing w:line="56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spacing w:line="560" w:lineRule="exact"/>
        <w:rPr>
          <w:rFonts w:ascii="楷体_GB2312" w:hAnsi="黑体" w:eastAsia="楷体_GB2312"/>
          <w:b/>
          <w:sz w:val="32"/>
          <w:szCs w:val="32"/>
        </w:rPr>
      </w:pPr>
    </w:p>
    <w:p>
      <w:pPr>
        <w:spacing w:line="560" w:lineRule="exact"/>
        <w:rPr>
          <w:rFonts w:ascii="方正仿宋_GB2312" w:hAnsi="黑体" w:eastAsia="方正仿宋_GB2312"/>
          <w:sz w:val="28"/>
          <w:szCs w:val="28"/>
        </w:rPr>
      </w:pPr>
      <w:r>
        <w:rPr>
          <w:rFonts w:hint="eastAsia" w:ascii="楷体_GB2312" w:hAnsi="黑体" w:eastAsia="楷体_GB2312"/>
          <w:b/>
          <w:sz w:val="28"/>
          <w:szCs w:val="28"/>
        </w:rPr>
        <w:t>甲方</w:t>
      </w:r>
      <w:r>
        <w:rPr>
          <w:rFonts w:hint="eastAsia" w:ascii="方正仿宋_GB2312" w:hAnsi="黑体" w:eastAsia="方正仿宋_GB2312"/>
          <w:sz w:val="28"/>
          <w:szCs w:val="28"/>
        </w:rPr>
        <w:t>：深圳市龙岗区第七人民医院</w:t>
      </w:r>
    </w:p>
    <w:p>
      <w:pPr>
        <w:spacing w:line="560" w:lineRule="exact"/>
        <w:rPr>
          <w:rFonts w:ascii="楷体_GB2312" w:hAnsi="黑体" w:eastAsia="楷体_GB2312"/>
          <w:b/>
          <w:sz w:val="28"/>
          <w:szCs w:val="28"/>
        </w:rPr>
      </w:pPr>
      <w:r>
        <w:rPr>
          <w:rFonts w:hint="eastAsia" w:ascii="楷体_GB2312" w:hAnsi="黑体" w:eastAsia="楷体_GB2312"/>
          <w:b/>
          <w:sz w:val="28"/>
          <w:szCs w:val="28"/>
        </w:rPr>
        <w:t>乙方</w:t>
      </w:r>
      <w:r>
        <w:rPr>
          <w:rFonts w:hint="eastAsia" w:ascii="方正仿宋_GB2312" w:hAnsi="黑体" w:eastAsia="方正仿宋_GB2312"/>
          <w:sz w:val="28"/>
          <w:szCs w:val="28"/>
        </w:rPr>
        <w:t>：</w:t>
      </w:r>
    </w:p>
    <w:p>
      <w:pPr>
        <w:spacing w:line="560" w:lineRule="exact"/>
        <w:rPr>
          <w:rFonts w:ascii="楷体_GB2312" w:hAnsi="黑体" w:eastAsia="楷体_GB2312"/>
          <w:b/>
          <w:sz w:val="28"/>
          <w:szCs w:val="28"/>
        </w:rPr>
      </w:pPr>
      <w:r>
        <w:rPr>
          <w:rFonts w:hint="eastAsia" w:ascii="楷体_GB2312" w:hAnsi="黑体" w:eastAsia="楷体_GB2312"/>
          <w:b/>
          <w:sz w:val="28"/>
          <w:szCs w:val="28"/>
        </w:rPr>
        <w:t xml:space="preserve">项目名称：            </w:t>
      </w:r>
    </w:p>
    <w:p>
      <w:pPr>
        <w:spacing w:line="560" w:lineRule="exact"/>
        <w:rPr>
          <w:rFonts w:ascii="楷体_GB2312" w:hAnsi="黑体" w:eastAsia="楷体_GB2312"/>
          <w:sz w:val="28"/>
          <w:szCs w:val="28"/>
        </w:rPr>
      </w:pPr>
      <w:r>
        <w:rPr>
          <w:rFonts w:hint="eastAsia" w:ascii="楷体_GB2312" w:hAnsi="黑体" w:eastAsia="楷体_GB2312"/>
          <w:b/>
          <w:sz w:val="28"/>
          <w:szCs w:val="28"/>
        </w:rPr>
        <w:t>合同总价</w:t>
      </w:r>
      <w:r>
        <w:rPr>
          <w:rFonts w:hint="eastAsia" w:ascii="楷体_GB2312" w:hAnsi="黑体" w:eastAsia="楷体_GB2312"/>
          <w:sz w:val="28"/>
          <w:szCs w:val="28"/>
        </w:rPr>
        <w:t>：</w:t>
      </w:r>
    </w:p>
    <w:p>
      <w:pPr>
        <w:spacing w:line="560" w:lineRule="exact"/>
        <w:rPr>
          <w:rFonts w:ascii="楷体_GB2312" w:hAnsi="黑体" w:eastAsia="楷体_GB2312"/>
          <w:b/>
          <w:sz w:val="28"/>
          <w:szCs w:val="28"/>
        </w:rPr>
      </w:pPr>
      <w:r>
        <w:rPr>
          <w:rFonts w:hint="eastAsia" w:ascii="楷体_GB2312" w:hAnsi="黑体" w:eastAsia="楷体_GB2312"/>
          <w:b/>
          <w:sz w:val="28"/>
          <w:szCs w:val="28"/>
        </w:rPr>
        <w:t>主办科室：</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为进一步加强医疗卫生行风建设，规范购销行为，有效防范商业贿赂，营造公平交易、诚实守信的购销环境，经甲、乙双方协商，同意签订本合同，并共同遵守：</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一、甲乙双方按照《中华人民共和国民法典》及产品购销合同约定实施购销行为。</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二、甲方应当严格执行验收、入库制度，对采购产品及发票进行查验，不得违反有关规定进行合同外采购、违规采购或从非规定渠道采购。</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四、严禁甲方工作人员利用任何途径和方式，非法为乙方统计医师个人及临床科室有关医药产品用量信息，或为乙方统方提供便利。</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五、乙方不得以回扣、宴请等方式影响甲方工作人员采购或使用医药产品的选择权，不得在学术活动中提供旅游、超标准支付食宿费用，以及其他任何形式的利益输送。</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六、乙方指定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8"/>
          <w:szCs w:val="28"/>
          <w:shd w:val="clear" w:color="auto" w:fill="FFFFFF"/>
        </w:rPr>
        <w:t>（国卫法制发〔2013〕50号）</w:t>
      </w:r>
      <w:r>
        <w:rPr>
          <w:rFonts w:hint="eastAsia" w:ascii="仿宋_GB2312" w:hAnsi="仿宋_GB2312" w:eastAsia="仿宋_GB2312" w:cs="仿宋_GB2312"/>
          <w:sz w:val="28"/>
          <w:szCs w:val="28"/>
        </w:rPr>
        <w:t>相关规定处理。</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八、本合同作为产品购销合同的组成部分，与购销合同一并执行，具有同等的法律效力。</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九、本合同一式叁份，甲方贰份（一份随购销主合同存档，一份交医院纪检监察部门），乙方壹份，从签订之日起生效。</w:t>
      </w:r>
    </w:p>
    <w:p>
      <w:pPr>
        <w:spacing w:line="560" w:lineRule="exact"/>
        <w:rPr>
          <w:rFonts w:ascii="方正仿宋_GB2312" w:eastAsia="方正仿宋_GB2312"/>
          <w:sz w:val="28"/>
          <w:szCs w:val="28"/>
        </w:rPr>
      </w:pPr>
    </w:p>
    <w:p>
      <w:pPr>
        <w:spacing w:line="560" w:lineRule="exact"/>
        <w:rPr>
          <w:rFonts w:ascii="楷体_GB2312" w:eastAsia="楷体_GB2312"/>
          <w:b/>
          <w:sz w:val="28"/>
          <w:szCs w:val="28"/>
        </w:rPr>
      </w:pPr>
      <w:r>
        <w:rPr>
          <w:rFonts w:hint="eastAsia" w:ascii="楷体_GB2312" w:eastAsia="楷体_GB2312"/>
          <w:b/>
          <w:sz w:val="28"/>
          <w:szCs w:val="28"/>
        </w:rPr>
        <w:t>甲方（盖章）：                  乙方（盖章）：</w:t>
      </w:r>
    </w:p>
    <w:p>
      <w:pPr>
        <w:spacing w:line="560" w:lineRule="exact"/>
        <w:rPr>
          <w:rFonts w:ascii="楷体_GB2312" w:eastAsia="楷体_GB2312"/>
          <w:b/>
          <w:sz w:val="28"/>
          <w:szCs w:val="28"/>
        </w:rPr>
      </w:pPr>
      <w:r>
        <w:rPr>
          <w:rFonts w:hint="eastAsia" w:ascii="楷体_GB2312" w:eastAsia="楷体_GB2312"/>
          <w:b/>
          <w:sz w:val="28"/>
          <w:szCs w:val="28"/>
        </w:rPr>
        <w:t>法定代表人（</w:t>
      </w:r>
      <w:r>
        <w:rPr>
          <w:rFonts w:ascii="楷体_GB2312" w:eastAsia="楷体_GB2312"/>
          <w:b/>
          <w:sz w:val="28"/>
          <w:szCs w:val="28"/>
        </w:rPr>
        <w:t>负责人</w:t>
      </w:r>
      <w:r>
        <w:rPr>
          <w:rFonts w:hint="eastAsia" w:ascii="楷体_GB2312" w:eastAsia="楷体_GB2312"/>
          <w:b/>
          <w:sz w:val="28"/>
          <w:szCs w:val="28"/>
        </w:rPr>
        <w:t>）：          法定代表人（</w:t>
      </w:r>
      <w:r>
        <w:rPr>
          <w:rFonts w:ascii="楷体_GB2312" w:eastAsia="楷体_GB2312"/>
          <w:b/>
          <w:sz w:val="28"/>
          <w:szCs w:val="28"/>
        </w:rPr>
        <w:t>负责人</w:t>
      </w:r>
      <w:r>
        <w:rPr>
          <w:rFonts w:hint="eastAsia" w:ascii="楷体_GB2312" w:eastAsia="楷体_GB2312"/>
          <w:b/>
          <w:sz w:val="28"/>
          <w:szCs w:val="28"/>
        </w:rPr>
        <w:t>）：</w:t>
      </w:r>
    </w:p>
    <w:p>
      <w:pPr>
        <w:spacing w:line="560" w:lineRule="exact"/>
        <w:rPr>
          <w:sz w:val="28"/>
          <w:szCs w:val="28"/>
        </w:rPr>
      </w:pPr>
      <w:r>
        <w:rPr>
          <w:rFonts w:hint="eastAsia" w:ascii="楷体_GB2312" w:eastAsia="楷体_GB2312"/>
          <w:b/>
          <w:sz w:val="28"/>
          <w:szCs w:val="28"/>
        </w:rPr>
        <w:t>授权代表人签名：               经办人签名：</w:t>
      </w:r>
    </w:p>
    <w:p>
      <w:pPr>
        <w:spacing w:line="560" w:lineRule="exact"/>
        <w:ind w:firstLine="560" w:firstLineChars="200"/>
        <w:rPr>
          <w:rFonts w:ascii="宋体" w:hAnsi="宋体" w:cs="宋体"/>
          <w:color w:val="000000"/>
          <w:kern w:val="0"/>
          <w:sz w:val="44"/>
          <w:szCs w:val="44"/>
          <w:lang w:bidi="ar"/>
        </w:rPr>
      </w:pPr>
      <w:r>
        <w:rPr>
          <w:rFonts w:hint="eastAsia" w:ascii="方正仿宋_GB2312" w:eastAsia="方正仿宋_GB2312"/>
          <w:sz w:val="28"/>
          <w:szCs w:val="28"/>
        </w:rPr>
        <w:t>年    月   日                 年    月   日</w:t>
      </w:r>
    </w:p>
    <w:p>
      <w:pPr>
        <w:widowControl/>
        <w:spacing w:line="440" w:lineRule="exact"/>
        <w:jc w:val="center"/>
        <w:textAlignment w:val="center"/>
        <w:rPr>
          <w:rFonts w:ascii="宋体" w:hAnsi="宋体" w:cs="宋体"/>
          <w:color w:val="000000"/>
          <w:kern w:val="0"/>
          <w:sz w:val="44"/>
          <w:szCs w:val="44"/>
          <w:lang w:bidi="ar"/>
        </w:rPr>
        <w:sectPr>
          <w:headerReference r:id="rId6" w:type="default"/>
          <w:footerReference r:id="rId7" w:type="default"/>
          <w:pgSz w:w="11906" w:h="16838"/>
          <w:pgMar w:top="2098" w:right="1474" w:bottom="1984" w:left="1304" w:header="851" w:footer="1417" w:gutter="0"/>
          <w:cols w:space="0" w:num="1"/>
          <w:docGrid w:type="lines" w:linePitch="338" w:charSpace="0"/>
        </w:sect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spacing w:line="440" w:lineRule="exact"/>
        <w:rPr>
          <w:rFonts w:ascii="宋体" w:hAnsi="宋体" w:cs="宋体"/>
          <w:sz w:val="28"/>
          <w:szCs w:val="28"/>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构建亲清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如发现我区公职人员存在违反“十个不准”的问题，请及时通过网络举报平台或者12388举报电话等方式，向纪检监察机关反映举报，我们将一律严格保密、一律优先处置、一律严肃查处。</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本人已知晓上述告知内容，并愿意遵照执行（签名）：</w:t>
      </w:r>
    </w:p>
    <w:p>
      <w:pPr>
        <w:spacing w:line="440" w:lineRule="exact"/>
        <w:ind w:firstLine="5040" w:firstLineChars="18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p>
    <w:p>
      <w:pPr>
        <w:spacing w:line="440" w:lineRule="exact"/>
        <w:ind w:firstLine="3920" w:firstLineChars="1400"/>
        <w:rPr>
          <w:rFonts w:hint="eastAsia" w:ascii="仿宋_GB2312" w:hAnsi="仿宋_GB2312" w:eastAsia="仿宋_GB2312" w:cs="仿宋_GB2312"/>
          <w:sz w:val="28"/>
          <w:szCs w:val="28"/>
        </w:rPr>
      </w:pPr>
    </w:p>
    <w:p>
      <w:pPr>
        <w:pStyle w:val="8"/>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单位名称（盖章）：</w:t>
      </w:r>
    </w:p>
    <w:p>
      <w:pPr>
        <w:pStyle w:val="8"/>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年  月  日</w:t>
      </w:r>
    </w:p>
    <w:p>
      <w:pPr>
        <w:pStyle w:val="2"/>
        <w:rPr>
          <w:rFonts w:ascii="方正仿宋_GB2312" w:hAnsi="方正仿宋_GB2312" w:eastAsia="方正仿宋_GB2312" w:cs="方正仿宋_GB2312"/>
          <w:b/>
          <w:bCs/>
          <w:kern w:val="2"/>
          <w:sz w:val="36"/>
          <w:szCs w:val="36"/>
        </w:rPr>
      </w:pPr>
    </w:p>
    <w:p/>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B5E8A8-C20C-4680-8D10-0E31E87434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0C5EBB2-30A9-4C9A-9A19-9B0B9E9A3C4F}"/>
  </w:font>
  <w:font w:name="方正仿宋_GB2312">
    <w:panose1 w:val="02000000000000000000"/>
    <w:charset w:val="86"/>
    <w:family w:val="auto"/>
    <w:pitch w:val="default"/>
    <w:sig w:usb0="A00002BF" w:usb1="184F6CFA" w:usb2="00000012" w:usb3="00000000" w:csb0="00040001" w:csb1="00000000"/>
    <w:embedRegular r:id="rId3" w:fontKey="{CDFDAD69-60D8-451B-A932-8EADB8CDC768}"/>
  </w:font>
  <w:font w:name="仿宋_GB2312">
    <w:panose1 w:val="02010609030101010101"/>
    <w:charset w:val="86"/>
    <w:family w:val="auto"/>
    <w:pitch w:val="default"/>
    <w:sig w:usb0="00000001" w:usb1="080E0000" w:usb2="00000000" w:usb3="00000000" w:csb0="00040000" w:csb1="00000000"/>
    <w:embedRegular r:id="rId4" w:fontKey="{1425DD0A-313B-40CC-AD39-BC5A1D4D65DE}"/>
  </w:font>
  <w:font w:name="方正仿宋_GB18030">
    <w:panose1 w:val="02000000000000000000"/>
    <w:charset w:val="86"/>
    <w:family w:val="auto"/>
    <w:pitch w:val="default"/>
    <w:sig w:usb0="00000001" w:usb1="08000000" w:usb2="00000000" w:usb3="00000000" w:csb0="00040000" w:csb1="00000000"/>
    <w:embedRegular r:id="rId5" w:fontKey="{F92E4F77-EF28-4C1F-9442-5443B5B450AA}"/>
  </w:font>
  <w:font w:name="仿宋">
    <w:panose1 w:val="02010609060101010101"/>
    <w:charset w:val="86"/>
    <w:family w:val="modern"/>
    <w:pitch w:val="default"/>
    <w:sig w:usb0="800002BF" w:usb1="38CF7CFA" w:usb2="00000016" w:usb3="00000000" w:csb0="00040001" w:csb1="00000000"/>
    <w:embedRegular r:id="rId6" w:fontKey="{56ED4E0A-170A-4831-B463-1D3025A7EA7C}"/>
  </w:font>
  <w:font w:name="楷体">
    <w:panose1 w:val="02010609060101010101"/>
    <w:charset w:val="86"/>
    <w:family w:val="modern"/>
    <w:pitch w:val="default"/>
    <w:sig w:usb0="800002BF" w:usb1="38CF7CFA" w:usb2="00000016" w:usb3="00000000" w:csb0="00040001" w:csb1="00000000"/>
    <w:embedRegular r:id="rId7" w:fontKey="{0582250A-5F85-4BF1-8025-1103C52CE825}"/>
  </w:font>
  <w:font w:name="楷体_GB2312">
    <w:panose1 w:val="02010609030101010101"/>
    <w:charset w:val="86"/>
    <w:family w:val="modern"/>
    <w:pitch w:val="default"/>
    <w:sig w:usb0="00000001" w:usb1="080E0000" w:usb2="00000000" w:usb3="00000000" w:csb0="00040000" w:csb1="00000000"/>
    <w:embedRegular r:id="rId8" w:fontKey="{954B21DC-2B2E-4892-82AC-5BBB8DE2C52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9"/>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- 30 -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9"/>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- 30 -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posOffset>9525</wp:posOffset>
              </wp:positionH>
              <wp:positionV relativeFrom="paragraph">
                <wp:posOffset>9525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85</w:t>
                          </w:r>
                          <w:r>
                            <w:rPr>
                              <w:rFonts w:hint="eastAsia" w:asciiTheme="majorEastAsia" w:hAnsiTheme="majorEastAsia" w:eastAsiaTheme="majorEastAsia" w:cstheme="major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0.75pt;margin-top:0.75pt;height:144pt;width:144pt;mso-position-horizontal-relative:margin;mso-wrap-style:none;z-index:251660288;mso-width-relative:page;mso-height-relative:page;" filled="f" stroked="f" coordsize="21600,21600" o:gfxdata="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W30os8AAAAH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85</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890248"/>
    <w:multiLevelType w:val="singleLevel"/>
    <w:tmpl w:val="EE890248"/>
    <w:lvl w:ilvl="0" w:tentative="0">
      <w:start w:val="2"/>
      <w:numFmt w:val="chineseCounting"/>
      <w:suff w:val="space"/>
      <w:lvlText w:val="第%1章"/>
      <w:lvlJc w:val="left"/>
      <w:rPr>
        <w:rFonts w:hint="eastAsia"/>
      </w:rPr>
    </w:lvl>
  </w:abstractNum>
  <w:abstractNum w:abstractNumId="1">
    <w:nsid w:val="22B7BE7E"/>
    <w:multiLevelType w:val="singleLevel"/>
    <w:tmpl w:val="22B7BE7E"/>
    <w:lvl w:ilvl="0" w:tentative="0">
      <w:start w:val="3"/>
      <w:numFmt w:val="chineseCounting"/>
      <w:suff w:val="nothing"/>
      <w:lvlText w:val="（%1）"/>
      <w:lvlJc w:val="left"/>
      <w:rPr>
        <w:rFonts w:hint="eastAsia"/>
      </w:rPr>
    </w:lvl>
  </w:abstractNum>
  <w:abstractNum w:abstractNumId="2">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168208F9"/>
    <w:rsid w:val="00EA12AA"/>
    <w:rsid w:val="031860A3"/>
    <w:rsid w:val="04D04473"/>
    <w:rsid w:val="055F449F"/>
    <w:rsid w:val="0560538B"/>
    <w:rsid w:val="066B1D62"/>
    <w:rsid w:val="069C5F0B"/>
    <w:rsid w:val="06F20417"/>
    <w:rsid w:val="07161D78"/>
    <w:rsid w:val="07FF20AC"/>
    <w:rsid w:val="08AC58D5"/>
    <w:rsid w:val="08D25775"/>
    <w:rsid w:val="090E6DE2"/>
    <w:rsid w:val="09DF6B5D"/>
    <w:rsid w:val="0AF12517"/>
    <w:rsid w:val="0CC510C7"/>
    <w:rsid w:val="0CF13E32"/>
    <w:rsid w:val="0DB63A7B"/>
    <w:rsid w:val="0E903DF5"/>
    <w:rsid w:val="10393BAA"/>
    <w:rsid w:val="12623DA9"/>
    <w:rsid w:val="12B72AC8"/>
    <w:rsid w:val="154D2942"/>
    <w:rsid w:val="168208F9"/>
    <w:rsid w:val="1713788E"/>
    <w:rsid w:val="17AB1DAC"/>
    <w:rsid w:val="181300B0"/>
    <w:rsid w:val="18EE5A46"/>
    <w:rsid w:val="1BC80ADD"/>
    <w:rsid w:val="1CDA3F68"/>
    <w:rsid w:val="1E49479E"/>
    <w:rsid w:val="1E9C3821"/>
    <w:rsid w:val="1EA164D8"/>
    <w:rsid w:val="1F62533A"/>
    <w:rsid w:val="21692A82"/>
    <w:rsid w:val="230C07D2"/>
    <w:rsid w:val="23411E36"/>
    <w:rsid w:val="243D1432"/>
    <w:rsid w:val="24A061E7"/>
    <w:rsid w:val="25026746"/>
    <w:rsid w:val="27C82E0F"/>
    <w:rsid w:val="286B089C"/>
    <w:rsid w:val="28B07116"/>
    <w:rsid w:val="28D602DE"/>
    <w:rsid w:val="29190C0E"/>
    <w:rsid w:val="298B7A67"/>
    <w:rsid w:val="2B015B2B"/>
    <w:rsid w:val="2DF12770"/>
    <w:rsid w:val="2E6C3ADF"/>
    <w:rsid w:val="2ED04C56"/>
    <w:rsid w:val="2F150B68"/>
    <w:rsid w:val="303035E0"/>
    <w:rsid w:val="308B3A52"/>
    <w:rsid w:val="30C16364"/>
    <w:rsid w:val="30CC26A4"/>
    <w:rsid w:val="314E0AC9"/>
    <w:rsid w:val="31A17F44"/>
    <w:rsid w:val="31BB2DB3"/>
    <w:rsid w:val="32CB6763"/>
    <w:rsid w:val="33995376"/>
    <w:rsid w:val="35F920FC"/>
    <w:rsid w:val="37004BE6"/>
    <w:rsid w:val="38926730"/>
    <w:rsid w:val="39C037CE"/>
    <w:rsid w:val="3CB43221"/>
    <w:rsid w:val="3D233F03"/>
    <w:rsid w:val="3EC3599D"/>
    <w:rsid w:val="3F665204"/>
    <w:rsid w:val="3FD2586C"/>
    <w:rsid w:val="3FE74F8D"/>
    <w:rsid w:val="402056CB"/>
    <w:rsid w:val="41792CFB"/>
    <w:rsid w:val="433C6AD9"/>
    <w:rsid w:val="437724BA"/>
    <w:rsid w:val="4395506D"/>
    <w:rsid w:val="43E90299"/>
    <w:rsid w:val="464734DC"/>
    <w:rsid w:val="487A270E"/>
    <w:rsid w:val="4B933B70"/>
    <w:rsid w:val="4D4373BE"/>
    <w:rsid w:val="4D9D30FD"/>
    <w:rsid w:val="4E1C27F4"/>
    <w:rsid w:val="4ED24E27"/>
    <w:rsid w:val="4F3556E9"/>
    <w:rsid w:val="502874FF"/>
    <w:rsid w:val="50893A33"/>
    <w:rsid w:val="50D76D12"/>
    <w:rsid w:val="51110215"/>
    <w:rsid w:val="56344356"/>
    <w:rsid w:val="56A22F61"/>
    <w:rsid w:val="56E83D9B"/>
    <w:rsid w:val="56F664B8"/>
    <w:rsid w:val="58F33251"/>
    <w:rsid w:val="5ADC6315"/>
    <w:rsid w:val="5E2849A3"/>
    <w:rsid w:val="5E48773B"/>
    <w:rsid w:val="5E981A40"/>
    <w:rsid w:val="5ED837EB"/>
    <w:rsid w:val="620556FD"/>
    <w:rsid w:val="633839B4"/>
    <w:rsid w:val="635E1B5A"/>
    <w:rsid w:val="64241829"/>
    <w:rsid w:val="65CB7FAB"/>
    <w:rsid w:val="66B14330"/>
    <w:rsid w:val="66EC51A7"/>
    <w:rsid w:val="68614C5B"/>
    <w:rsid w:val="68DE6E9B"/>
    <w:rsid w:val="68E24AEE"/>
    <w:rsid w:val="68F830D9"/>
    <w:rsid w:val="6A60334E"/>
    <w:rsid w:val="6B476E57"/>
    <w:rsid w:val="6C022DB1"/>
    <w:rsid w:val="6C3E0983"/>
    <w:rsid w:val="6CF44041"/>
    <w:rsid w:val="6EB14902"/>
    <w:rsid w:val="6EE16846"/>
    <w:rsid w:val="6F6325CC"/>
    <w:rsid w:val="6FF66287"/>
    <w:rsid w:val="71015D2D"/>
    <w:rsid w:val="71877035"/>
    <w:rsid w:val="7324490A"/>
    <w:rsid w:val="73FB40F4"/>
    <w:rsid w:val="745037F6"/>
    <w:rsid w:val="74572A6E"/>
    <w:rsid w:val="74936AEF"/>
    <w:rsid w:val="780C3651"/>
    <w:rsid w:val="7AB875B7"/>
    <w:rsid w:val="7B410E48"/>
    <w:rsid w:val="7B806764"/>
    <w:rsid w:val="7BB06386"/>
    <w:rsid w:val="7C631EB1"/>
    <w:rsid w:val="7D1127F4"/>
    <w:rsid w:val="7D6A489F"/>
    <w:rsid w:val="7D825936"/>
    <w:rsid w:val="7EDD4DC1"/>
    <w:rsid w:val="7F5B2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黑体"/>
      <w:kern w:val="2"/>
      <w:sz w:val="21"/>
      <w:szCs w:val="24"/>
      <w:lang w:val="en-US" w:eastAsia="zh-CN" w:bidi="ar-SA"/>
    </w:rPr>
  </w:style>
  <w:style w:type="paragraph" w:styleId="3">
    <w:name w:val="heading 2"/>
    <w:basedOn w:val="1"/>
    <w:next w:val="1"/>
    <w:autoRedefine/>
    <w:semiHidden/>
    <w:unhideWhenUsed/>
    <w:qFormat/>
    <w:uiPriority w:val="0"/>
    <w:pPr>
      <w:outlineLvl w:val="1"/>
    </w:pPr>
    <w:rPr>
      <w:sz w:val="36"/>
      <w:szCs w:val="36"/>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cs="Times New Roman"/>
      <w:kern w:val="0"/>
      <w:sz w:val="27"/>
      <w:szCs w:val="27"/>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autoSpaceDE w:val="0"/>
      <w:autoSpaceDN w:val="0"/>
      <w:jc w:val="left"/>
    </w:pPr>
    <w:rPr>
      <w:rFonts w:ascii="宋体" w:hAnsi="宋体"/>
      <w:kern w:val="0"/>
      <w:sz w:val="32"/>
      <w:szCs w:val="32"/>
    </w:rPr>
  </w:style>
  <w:style w:type="paragraph" w:styleId="5">
    <w:name w:val="index 8"/>
    <w:basedOn w:val="1"/>
    <w:next w:val="1"/>
    <w:autoRedefine/>
    <w:qFormat/>
    <w:uiPriority w:val="0"/>
    <w:pPr>
      <w:ind w:left="2940"/>
    </w:pPr>
  </w:style>
  <w:style w:type="paragraph" w:styleId="6">
    <w:name w:val="Normal Indent"/>
    <w:basedOn w:val="1"/>
    <w:next w:val="2"/>
    <w:autoRedefine/>
    <w:qFormat/>
    <w:uiPriority w:val="0"/>
    <w:pPr>
      <w:ind w:firstLine="420"/>
    </w:pPr>
  </w:style>
  <w:style w:type="paragraph" w:styleId="7">
    <w:name w:val="annotation text"/>
    <w:basedOn w:val="1"/>
    <w:autoRedefine/>
    <w:qFormat/>
    <w:uiPriority w:val="0"/>
    <w:pPr>
      <w:jc w:val="left"/>
    </w:pPr>
  </w:style>
  <w:style w:type="paragraph" w:styleId="8">
    <w:name w:val="Plain Text"/>
    <w:basedOn w:val="1"/>
    <w:autoRedefine/>
    <w:qFormat/>
    <w:uiPriority w:val="0"/>
    <w:rPr>
      <w:rFonts w:hint="eastAsia" w:ascii="宋体" w:hAnsi="Courier New"/>
      <w:kern w:val="0"/>
      <w:sz w:val="20"/>
      <w:szCs w:val="21"/>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7"/>
    <w:autoRedefine/>
    <w:qFormat/>
    <w:uiPriority w:val="0"/>
    <w:pPr>
      <w:spacing w:line="360" w:lineRule="auto"/>
    </w:pPr>
    <w:rPr>
      <w:rFonts w:ascii="Times New Roman" w:hAnsi="Times New Roman"/>
      <w:kern w:val="0"/>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Body Text First Indent"/>
    <w:basedOn w:val="2"/>
    <w:autoRedefine/>
    <w:qFormat/>
    <w:uiPriority w:val="0"/>
    <w:pPr>
      <w:tabs>
        <w:tab w:val="left" w:pos="562"/>
        <w:tab w:val="left" w:pos="3372"/>
        <w:tab w:val="left" w:pos="3653"/>
      </w:tabs>
      <w:spacing w:after="120" w:line="240" w:lineRule="auto"/>
      <w:ind w:firstLine="420" w:firstLineChars="100"/>
    </w:pPr>
    <w:rPr>
      <w:sz w:val="21"/>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0"/>
    <w:rPr>
      <w:b/>
    </w:rPr>
  </w:style>
  <w:style w:type="character" w:styleId="18">
    <w:name w:val="Hyperlink"/>
    <w:basedOn w:val="16"/>
    <w:autoRedefine/>
    <w:qFormat/>
    <w:uiPriority w:val="0"/>
    <w:rPr>
      <w:color w:val="0000FF"/>
      <w:u w:val="single"/>
    </w:rPr>
  </w:style>
  <w:style w:type="character" w:styleId="19">
    <w:name w:val="annotation reference"/>
    <w:basedOn w:val="16"/>
    <w:autoRedefine/>
    <w:qFormat/>
    <w:uiPriority w:val="0"/>
    <w:rPr>
      <w:sz w:val="21"/>
      <w:szCs w:val="21"/>
    </w:rPr>
  </w:style>
  <w:style w:type="paragraph" w:customStyle="1" w:styleId="20">
    <w:name w:val="p0"/>
    <w:basedOn w:val="1"/>
    <w:autoRedefine/>
    <w:qFormat/>
    <w:uiPriority w:val="0"/>
    <w:pPr>
      <w:widowControl/>
      <w:spacing w:line="400" w:lineRule="exact"/>
      <w:ind w:firstLine="560" w:firstLineChars="200"/>
    </w:pPr>
    <w:rPr>
      <w:rFonts w:ascii="方正仿宋_GB2312" w:hAnsi="方正仿宋_GB2312" w:eastAsia="方正仿宋_GB2312" w:cs="方正仿宋_GB2312"/>
      <w:color w:val="000000" w:themeColor="text1"/>
      <w:sz w:val="28"/>
      <w:szCs w:val="28"/>
      <w14:textFill>
        <w14:solidFill>
          <w14:schemeClr w14:val="tx1"/>
        </w14:solidFill>
      </w14:textFill>
    </w:rPr>
  </w:style>
  <w:style w:type="paragraph" w:customStyle="1" w:styleId="21">
    <w:name w:val="列出段落111"/>
    <w:basedOn w:val="1"/>
    <w:autoRedefine/>
    <w:qFormat/>
    <w:uiPriority w:val="0"/>
    <w:pPr>
      <w:ind w:firstLine="420" w:firstLineChars="200"/>
    </w:pPr>
  </w:style>
  <w:style w:type="paragraph" w:customStyle="1" w:styleId="22">
    <w:name w:val="_Style 1"/>
    <w:basedOn w:val="1"/>
    <w:next w:val="1"/>
    <w:autoRedefine/>
    <w:qFormat/>
    <w:uiPriority w:val="99"/>
    <w:pPr>
      <w:ind w:firstLine="420" w:firstLineChars="200"/>
    </w:pPr>
  </w:style>
  <w:style w:type="paragraph" w:customStyle="1" w:styleId="23">
    <w:name w:val="列出段落1"/>
    <w:basedOn w:val="1"/>
    <w:autoRedefine/>
    <w:qFormat/>
    <w:uiPriority w:val="34"/>
    <w:pPr>
      <w:ind w:firstLine="420" w:firstLineChars="200"/>
    </w:pPr>
  </w:style>
  <w:style w:type="paragraph" w:styleId="24">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5">
    <w:name w:val="纯文本1"/>
    <w:basedOn w:val="1"/>
    <w:autoRedefine/>
    <w:qFormat/>
    <w:uiPriority w:val="0"/>
    <w:rPr>
      <w:rFonts w:ascii="宋体" w:hAnsi="Courier New"/>
      <w:szCs w:val="20"/>
    </w:rPr>
  </w:style>
  <w:style w:type="paragraph" w:customStyle="1" w:styleId="26">
    <w:name w:val="列出段落3"/>
    <w:basedOn w:val="1"/>
    <w:autoRedefine/>
    <w:qFormat/>
    <w:uiPriority w:val="34"/>
    <w:pPr>
      <w:ind w:firstLine="420" w:firstLineChars="200"/>
    </w:pPr>
  </w:style>
  <w:style w:type="character" w:customStyle="1" w:styleId="27">
    <w:name w:val="正文文本 2 Char"/>
    <w:link w:val="11"/>
    <w:autoRedefine/>
    <w:qFormat/>
    <w:uiPriority w:val="0"/>
    <w:rPr>
      <w:rFonts w:ascii="Times New Roman" w:hAnsi="Times New Roman"/>
      <w:kern w:val="0"/>
      <w:sz w:val="24"/>
    </w:rPr>
  </w:style>
  <w:style w:type="paragraph" w:customStyle="1" w:styleId="28">
    <w:name w:val="图"/>
    <w:basedOn w:val="1"/>
    <w:autoRedefine/>
    <w:qFormat/>
    <w:uiPriority w:val="0"/>
    <w:pPr>
      <w:keepNext/>
      <w:adjustRightInd w:val="0"/>
      <w:spacing w:before="60" w:after="60" w:line="300" w:lineRule="auto"/>
      <w:jc w:val="center"/>
      <w:textAlignment w:val="center"/>
    </w:pPr>
    <w:rPr>
      <w:snapToGrid w:val="0"/>
      <w:spacing w:val="2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4bb6fc23-2122-4e28-8f8b-3b2b366ab0eb</errorID>
      <errorWord>详实</errorWord>
      <group>L1_Word</group>
      <groupName>字词问题</groupName>
      <ability>L2_Typo</ability>
      <abilityName>字词错误</abilityName>
      <candidateList>
        <item>翔实</item>
      </candidateList>
      <explain/>
      <paraID>28FC46A1</paraID>
      <start>33</start>
      <end>35</end>
      <status>unmodified</status>
      <modifiedWord/>
      <trackRevisions>false</trackRevisions>
    </reviewItem>
    <reviewItem>
      <errorID>eff7206e-9879-49ed-b0ff-fe63f5bb90f8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7C60B398</paraID>
      <start>49</start>
      <end>50</end>
      <status>unmodified</status>
      <modifiedWord/>
      <trackRevisions>false</trackRevisions>
    </reviewItem>
    <reviewItem>
      <errorID>4df60897-1d97-48a0-8305-ed90efc69c9b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7D1D16F7</paraID>
      <start>49</start>
      <end>50</end>
      <status>unmodified</status>
      <modifiedWord/>
      <trackRevisions>false</trackRevisions>
    </reviewItem>
    <reviewItem>
      <errorID>3d9a8572-2f33-4e38-bd64-58e55aec2543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2CB562C0</paraID>
      <start>34</start>
      <end>35</end>
      <status>unmodified</status>
      <modifiedWord/>
      <trackRevisions>false</trackRevisions>
    </reviewItem>
    <reviewItem>
      <errorID>83c794b2-81d5-4e4e-8a5a-6b0a62f7adf9</errorID>
      <errorWord>股东大会</errorWord>
      <group>L1_Word</group>
      <groupName>字词问题</groupName>
      <ability>L2_Typo</ability>
      <abilityName>字词错误</abilityName>
      <candidateList>
        <item>股东会</item>
      </candidateList>
      <explain/>
      <paraID>24D93B83</paraID>
      <start>102</start>
      <end>106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6dfc5-dc8f-48b2-b78e-3ec7c86a7e22}">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3622</Words>
  <Characters>3721</Characters>
  <Lines>0</Lines>
  <Paragraphs>0</Paragraphs>
  <TotalTime>223</TotalTime>
  <ScaleCrop>false</ScaleCrop>
  <LinksUpToDate>false</LinksUpToDate>
  <CharactersWithSpaces>3779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2026-02-10T00:24:00Z</dcterms:created>
  <dc:creator>517</dc:creator>
  <cp:lastModifiedBy>小满</cp:lastModifiedBy>
  <dcterms:modified xsi:type="dcterms:W3CDTF">2026-04-14T09:39:15Z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46AD1913E378430BB5B8D1E610FBBEC6_13</vt:lpwstr>
  </property>
  <property fmtid="{D5CDD505-2E9C-101B-9397-08002B2CF9AE}" pid="4" name="KSOTemplateDocerSaveRecord">
    <vt:lpwstr>eyJoZGlkIjoiNjE1YzAyZDc1ODk4M2ZiMzYzMWUyMjBlMDQxZTRhNGQiLCJ1c2VySWQiOiIzNDQ5NTEwNDgifQ==</vt:lpwstr>
  </property>
</Properties>
</file>