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92F63">
      <w:pPr>
        <w:jc w:val="center"/>
        <w:rPr>
          <w:rFonts w:hint="eastAsia"/>
          <w:b/>
          <w:bCs/>
          <w:sz w:val="32"/>
          <w:szCs w:val="40"/>
          <w:lang w:val="en-US" w:eastAsia="zh-CN"/>
        </w:rPr>
      </w:pPr>
      <w:r>
        <w:rPr>
          <w:rFonts w:hint="eastAsia"/>
          <w:b/>
          <w:bCs/>
          <w:sz w:val="32"/>
          <w:szCs w:val="40"/>
          <w:lang w:val="en-US" w:eastAsia="zh-CN"/>
        </w:rPr>
        <w:t>综合评分表（审计服务）</w:t>
      </w:r>
    </w:p>
    <w:tbl>
      <w:tblPr>
        <w:tblStyle w:val="6"/>
        <w:tblW w:w="9485"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48"/>
        <w:gridCol w:w="5086"/>
        <w:gridCol w:w="2208"/>
        <w:gridCol w:w="873"/>
      </w:tblGrid>
      <w:tr w14:paraId="066C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0" w:type="dxa"/>
            <w:shd w:val="clear" w:color="auto" w:fill="DEEBF6" w:themeFill="accent1" w:themeFillTint="32"/>
            <w:vAlign w:val="center"/>
          </w:tcPr>
          <w:p w14:paraId="63A3F6D6">
            <w:pPr>
              <w:widowControl/>
              <w:adjustRightInd w:val="0"/>
              <w:snapToGrid w:val="0"/>
              <w:spacing w:line="0" w:lineRule="atLeast"/>
              <w:jc w:val="center"/>
              <w:rPr>
                <w:rFonts w:hint="default"/>
                <w:b/>
                <w:bCs/>
                <w:sz w:val="32"/>
                <w:szCs w:val="40"/>
                <w:vertAlign w:val="baseline"/>
                <w:lang w:val="en-US" w:eastAsia="zh-CN"/>
              </w:rPr>
            </w:pPr>
            <w:r>
              <w:rPr>
                <w:rFonts w:hint="eastAsia" w:ascii="宋体" w:hAnsi="宋体" w:cs="宋体"/>
                <w:b/>
                <w:szCs w:val="21"/>
              </w:rPr>
              <w:t>序号</w:t>
            </w:r>
          </w:p>
        </w:tc>
        <w:tc>
          <w:tcPr>
            <w:tcW w:w="648" w:type="dxa"/>
            <w:shd w:val="clear" w:color="auto" w:fill="DEEBF6" w:themeFill="accent1" w:themeFillTint="32"/>
            <w:vAlign w:val="center"/>
          </w:tcPr>
          <w:p w14:paraId="282152C7">
            <w:pPr>
              <w:widowControl/>
              <w:adjustRightInd w:val="0"/>
              <w:snapToGrid w:val="0"/>
              <w:spacing w:line="0" w:lineRule="atLeast"/>
              <w:jc w:val="center"/>
              <w:rPr>
                <w:rFonts w:hint="default"/>
                <w:b/>
                <w:bCs/>
                <w:sz w:val="32"/>
                <w:szCs w:val="40"/>
                <w:vertAlign w:val="baseline"/>
                <w:lang w:val="en-US" w:eastAsia="zh-CN"/>
              </w:rPr>
            </w:pPr>
            <w:r>
              <w:rPr>
                <w:rFonts w:hint="eastAsia" w:ascii="宋体" w:hAnsi="宋体" w:cs="宋体"/>
                <w:b/>
                <w:szCs w:val="21"/>
              </w:rPr>
              <w:t>评审项目</w:t>
            </w:r>
          </w:p>
        </w:tc>
        <w:tc>
          <w:tcPr>
            <w:tcW w:w="5086" w:type="dxa"/>
            <w:shd w:val="clear" w:color="auto" w:fill="DEEBF6" w:themeFill="accent1" w:themeFillTint="32"/>
            <w:vAlign w:val="center"/>
          </w:tcPr>
          <w:p w14:paraId="0C80359D">
            <w:pPr>
              <w:widowControl/>
              <w:adjustRightInd w:val="0"/>
              <w:snapToGrid w:val="0"/>
              <w:spacing w:line="0" w:lineRule="atLeast"/>
              <w:jc w:val="center"/>
              <w:rPr>
                <w:rFonts w:hint="default" w:ascii="宋体" w:hAnsi="宋体" w:cs="宋体" w:eastAsiaTheme="minorEastAsia"/>
                <w:b/>
                <w:kern w:val="2"/>
                <w:sz w:val="21"/>
                <w:szCs w:val="21"/>
                <w:lang w:val="en-US" w:eastAsia="zh-CN" w:bidi="ar-SA"/>
              </w:rPr>
            </w:pPr>
            <w:r>
              <w:rPr>
                <w:rFonts w:hint="eastAsia" w:ascii="宋体" w:hAnsi="宋体" w:cs="宋体"/>
                <w:b/>
                <w:szCs w:val="21"/>
              </w:rPr>
              <w:t>评审标准</w:t>
            </w:r>
          </w:p>
        </w:tc>
        <w:tc>
          <w:tcPr>
            <w:tcW w:w="2208" w:type="dxa"/>
            <w:shd w:val="clear" w:color="auto" w:fill="DEEBF6" w:themeFill="accent1" w:themeFillTint="32"/>
            <w:vAlign w:val="center"/>
          </w:tcPr>
          <w:p w14:paraId="5456326B">
            <w:pPr>
              <w:widowControl/>
              <w:adjustRightInd w:val="0"/>
              <w:snapToGrid w:val="0"/>
              <w:spacing w:line="0" w:lineRule="atLeast"/>
              <w:jc w:val="center"/>
              <w:rPr>
                <w:rFonts w:hint="default" w:ascii="宋体" w:hAnsi="宋体" w:cs="宋体" w:eastAsiaTheme="minorEastAsia"/>
                <w:b/>
                <w:kern w:val="2"/>
                <w:sz w:val="21"/>
                <w:szCs w:val="21"/>
                <w:lang w:val="en-US" w:eastAsia="zh-CN" w:bidi="ar-SA"/>
              </w:rPr>
            </w:pPr>
            <w:r>
              <w:rPr>
                <w:rFonts w:hint="eastAsia" w:ascii="宋体" w:hAnsi="宋体" w:cs="宋体"/>
                <w:b/>
                <w:szCs w:val="21"/>
              </w:rPr>
              <w:t>证明材料</w:t>
            </w:r>
          </w:p>
        </w:tc>
        <w:tc>
          <w:tcPr>
            <w:tcW w:w="873" w:type="dxa"/>
            <w:shd w:val="clear" w:color="auto" w:fill="DEEBF6" w:themeFill="accent1" w:themeFillTint="32"/>
            <w:vAlign w:val="center"/>
          </w:tcPr>
          <w:p w14:paraId="17780026">
            <w:pPr>
              <w:widowControl/>
              <w:adjustRightInd w:val="0"/>
              <w:snapToGrid w:val="0"/>
              <w:spacing w:line="0" w:lineRule="atLeast"/>
              <w:jc w:val="center"/>
              <w:rPr>
                <w:rFonts w:hint="default" w:ascii="宋体" w:hAnsi="宋体" w:cs="宋体" w:eastAsiaTheme="minorEastAsia"/>
                <w:b/>
                <w:kern w:val="2"/>
                <w:sz w:val="21"/>
                <w:szCs w:val="21"/>
                <w:lang w:val="en-US" w:eastAsia="zh-CN" w:bidi="ar-SA"/>
              </w:rPr>
            </w:pPr>
            <w:r>
              <w:rPr>
                <w:rFonts w:hint="eastAsia" w:ascii="宋体" w:hAnsi="宋体" w:cs="宋体"/>
                <w:b/>
                <w:szCs w:val="21"/>
              </w:rPr>
              <w:t>分值</w:t>
            </w:r>
          </w:p>
        </w:tc>
      </w:tr>
      <w:tr w14:paraId="2124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670" w:type="dxa"/>
            <w:vAlign w:val="center"/>
          </w:tcPr>
          <w:p w14:paraId="24E1D35E">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rPr>
              <w:t>1</w:t>
            </w:r>
          </w:p>
        </w:tc>
        <w:tc>
          <w:tcPr>
            <w:tcW w:w="648" w:type="dxa"/>
            <w:vAlign w:val="center"/>
          </w:tcPr>
          <w:p w14:paraId="448BEA5E">
            <w:pPr>
              <w:keepLines w:val="0"/>
              <w:pageBreakBefore w:val="0"/>
              <w:kinsoku/>
              <w:wordWrap/>
              <w:overflowPunct/>
              <w:topLinePunct w:val="0"/>
              <w:autoSpaceDE/>
              <w:autoSpaceDN/>
              <w:bidi w:val="0"/>
              <w:spacing w:line="240" w:lineRule="auto"/>
              <w:jc w:val="center"/>
              <w:textAlignment w:val="auto"/>
              <w:rPr>
                <w:rFonts w:ascii="宋体" w:hAnsi="宋体" w:cs="宋体"/>
                <w:szCs w:val="21"/>
              </w:rPr>
            </w:pPr>
            <w:r>
              <w:rPr>
                <w:rFonts w:hint="eastAsia" w:ascii="宋体" w:hAnsi="宋体" w:cs="宋体"/>
                <w:szCs w:val="21"/>
              </w:rPr>
              <w:t>报价</w:t>
            </w:r>
          </w:p>
          <w:p w14:paraId="2A75F87D">
            <w:pPr>
              <w:keepLines w:val="0"/>
              <w:pageBreakBefore w:val="0"/>
              <w:kinsoku/>
              <w:wordWrap/>
              <w:overflowPunct/>
              <w:topLinePunct w:val="0"/>
              <w:autoSpaceDE/>
              <w:autoSpaceDN/>
              <w:bidi w:val="0"/>
              <w:spacing w:line="240" w:lineRule="auto"/>
              <w:jc w:val="center"/>
              <w:textAlignment w:val="auto"/>
              <w:rPr>
                <w:rFonts w:hint="default" w:ascii="宋体" w:hAnsi="宋体" w:cs="宋体"/>
                <w:szCs w:val="21"/>
                <w:highlight w:val="none"/>
                <w:lang w:val="en-US" w:eastAsia="zh-CN"/>
              </w:rPr>
            </w:pPr>
            <w:r>
              <w:rPr>
                <w:rFonts w:hint="eastAsia" w:ascii="宋体" w:hAnsi="宋体" w:cs="宋体"/>
                <w:szCs w:val="21"/>
              </w:rPr>
              <w:t>得分</w:t>
            </w:r>
          </w:p>
        </w:tc>
        <w:tc>
          <w:tcPr>
            <w:tcW w:w="5086" w:type="dxa"/>
            <w:vAlign w:val="center"/>
          </w:tcPr>
          <w:p w14:paraId="22571940">
            <w:pPr>
              <w:keepLines w:val="0"/>
              <w:pageBreakBefore w:val="0"/>
              <w:kinsoku/>
              <w:wordWrap/>
              <w:overflowPunct/>
              <w:topLinePunct w:val="0"/>
              <w:autoSpaceDE/>
              <w:autoSpaceDN/>
              <w:bidi w:val="0"/>
              <w:spacing w:line="240" w:lineRule="auto"/>
              <w:textAlignment w:val="auto"/>
              <w:rPr>
                <w:rFonts w:hint="eastAsia" w:ascii="宋体" w:hAnsi="宋体" w:cs="宋体"/>
                <w:szCs w:val="21"/>
              </w:rPr>
            </w:pPr>
            <w:r>
              <w:rPr>
                <w:rFonts w:hint="eastAsia" w:ascii="宋体" w:hAnsi="宋体" w:cs="宋体"/>
                <w:szCs w:val="21"/>
              </w:rPr>
              <w:t>报价得分=</w:t>
            </w:r>
            <w:r>
              <w:rPr>
                <w:rFonts w:hint="eastAsia" w:ascii="宋体" w:hAnsi="宋体" w:cs="宋体"/>
                <w:szCs w:val="21"/>
                <w:lang w:val="en-US" w:eastAsia="zh-CN"/>
              </w:rPr>
              <w:t>30</w:t>
            </w:r>
            <w:r>
              <w:rPr>
                <w:rFonts w:hint="eastAsia" w:ascii="宋体" w:hAnsi="宋体" w:cs="宋体"/>
                <w:szCs w:val="21"/>
              </w:rPr>
              <w:t>*{1-(Pn-W)/S};</w:t>
            </w:r>
          </w:p>
          <w:p w14:paraId="1A22D260">
            <w:pPr>
              <w:keepLines w:val="0"/>
              <w:pageBreakBefore w:val="0"/>
              <w:kinsoku/>
              <w:wordWrap/>
              <w:overflowPunct/>
              <w:topLinePunct w:val="0"/>
              <w:autoSpaceDE/>
              <w:autoSpaceDN/>
              <w:bidi w:val="0"/>
              <w:spacing w:line="240" w:lineRule="auto"/>
              <w:textAlignment w:val="auto"/>
              <w:rPr>
                <w:rFonts w:hint="eastAsia" w:ascii="宋体" w:hAnsi="宋体" w:cs="宋体"/>
                <w:szCs w:val="21"/>
              </w:rPr>
            </w:pPr>
            <w:r>
              <w:rPr>
                <w:rFonts w:hint="eastAsia" w:ascii="宋体" w:hAnsi="宋体" w:cs="宋体"/>
                <w:szCs w:val="21"/>
              </w:rPr>
              <w:t>An：第 n 个有效投标人的投标报价；</w:t>
            </w:r>
          </w:p>
          <w:p w14:paraId="6ADEB595">
            <w:pPr>
              <w:keepLines w:val="0"/>
              <w:pageBreakBefore w:val="0"/>
              <w:kinsoku/>
              <w:wordWrap/>
              <w:overflowPunct/>
              <w:topLinePunct w:val="0"/>
              <w:autoSpaceDE/>
              <w:autoSpaceDN/>
              <w:bidi w:val="0"/>
              <w:spacing w:line="240" w:lineRule="auto"/>
              <w:textAlignment w:val="auto"/>
              <w:rPr>
                <w:rFonts w:hint="eastAsia" w:ascii="宋体" w:hAnsi="宋体" w:cs="宋体"/>
                <w:szCs w:val="21"/>
              </w:rPr>
            </w:pPr>
            <w:r>
              <w:rPr>
                <w:rFonts w:hint="eastAsia" w:ascii="宋体" w:hAnsi="宋体" w:cs="宋体"/>
                <w:szCs w:val="21"/>
              </w:rPr>
              <w:t>S：根据各有效投标人的投标报价计算形成平均</w:t>
            </w:r>
          </w:p>
          <w:p w14:paraId="2776CFB9">
            <w:pPr>
              <w:keepLines w:val="0"/>
              <w:pageBreakBefore w:val="0"/>
              <w:kinsoku/>
              <w:wordWrap/>
              <w:overflowPunct/>
              <w:topLinePunct w:val="0"/>
              <w:autoSpaceDE/>
              <w:autoSpaceDN/>
              <w:bidi w:val="0"/>
              <w:spacing w:line="240" w:lineRule="auto"/>
              <w:textAlignment w:val="auto"/>
              <w:rPr>
                <w:rFonts w:hint="eastAsia" w:ascii="宋体" w:hAnsi="宋体" w:cs="宋体"/>
                <w:szCs w:val="21"/>
              </w:rPr>
            </w:pPr>
            <w:r>
              <w:rPr>
                <w:rFonts w:hint="eastAsia" w:ascii="宋体" w:hAnsi="宋体" w:cs="宋体"/>
                <w:szCs w:val="21"/>
              </w:rPr>
              <w:t>报价；</w:t>
            </w:r>
          </w:p>
          <w:p w14:paraId="73A445B0">
            <w:pPr>
              <w:keepLines w:val="0"/>
              <w:pageBreakBefore w:val="0"/>
              <w:kinsoku/>
              <w:wordWrap/>
              <w:overflowPunct/>
              <w:topLinePunct w:val="0"/>
              <w:autoSpaceDE/>
              <w:autoSpaceDN/>
              <w:bidi w:val="0"/>
              <w:spacing w:line="240" w:lineRule="auto"/>
              <w:textAlignment w:val="auto"/>
              <w:rPr>
                <w:rFonts w:hint="eastAsia" w:ascii="宋体" w:hAnsi="宋体" w:cs="宋体"/>
                <w:szCs w:val="21"/>
              </w:rPr>
            </w:pPr>
            <w:r>
              <w:rPr>
                <w:rFonts w:hint="eastAsia" w:ascii="宋体" w:hAnsi="宋体" w:cs="宋体"/>
                <w:szCs w:val="21"/>
              </w:rPr>
              <w:t>Pn=（An-S）绝对值；</w:t>
            </w:r>
          </w:p>
          <w:p w14:paraId="590CBE29">
            <w:pPr>
              <w:keepLines w:val="0"/>
              <w:pageBreakBefore w:val="0"/>
              <w:kinsoku/>
              <w:wordWrap/>
              <w:overflowPunct/>
              <w:topLinePunct w:val="0"/>
              <w:autoSpaceDE/>
              <w:autoSpaceDN/>
              <w:bidi w:val="0"/>
              <w:spacing w:line="240" w:lineRule="auto"/>
              <w:textAlignment w:val="auto"/>
              <w:rPr>
                <w:rFonts w:hint="default" w:ascii="宋体" w:hAnsi="宋体" w:cs="宋体"/>
                <w:szCs w:val="21"/>
                <w:highlight w:val="none"/>
                <w:lang w:val="en-US" w:eastAsia="zh-CN"/>
              </w:rPr>
            </w:pPr>
            <w:r>
              <w:rPr>
                <w:rFonts w:hint="eastAsia" w:ascii="宋体" w:hAnsi="宋体" w:cs="宋体"/>
                <w:szCs w:val="21"/>
              </w:rPr>
              <w:t>W=P1,P2,···，Pn，···中取最小值。</w:t>
            </w:r>
          </w:p>
        </w:tc>
        <w:tc>
          <w:tcPr>
            <w:tcW w:w="2208" w:type="dxa"/>
            <w:vAlign w:val="center"/>
          </w:tcPr>
          <w:p w14:paraId="37F7A8FA">
            <w:pPr>
              <w:keepLines w:val="0"/>
              <w:pageBreakBefore w:val="0"/>
              <w:kinsoku/>
              <w:wordWrap/>
              <w:overflowPunct/>
              <w:topLinePunct w:val="0"/>
              <w:autoSpaceDE/>
              <w:autoSpaceDN/>
              <w:bidi w:val="0"/>
              <w:adjustRightInd w:val="0"/>
              <w:snapToGrid w:val="0"/>
              <w:spacing w:line="240" w:lineRule="auto"/>
              <w:jc w:val="both"/>
              <w:textAlignment w:val="auto"/>
              <w:rPr>
                <w:rFonts w:hint="default"/>
                <w:b/>
                <w:bCs/>
                <w:sz w:val="32"/>
                <w:szCs w:val="40"/>
                <w:vertAlign w:val="baseline"/>
                <w:lang w:val="en-US" w:eastAsia="zh-CN"/>
              </w:rPr>
            </w:pPr>
            <w:r>
              <w:rPr>
                <w:rFonts w:hint="eastAsia" w:ascii="宋体" w:hAnsi="宋体" w:cs="宋体"/>
                <w:szCs w:val="21"/>
              </w:rPr>
              <w:t>提供响应报价，并加盖公章</w:t>
            </w:r>
          </w:p>
        </w:tc>
        <w:tc>
          <w:tcPr>
            <w:tcW w:w="873" w:type="dxa"/>
            <w:vAlign w:val="center"/>
          </w:tcPr>
          <w:p w14:paraId="558B501C">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lang w:val="en-US" w:eastAsia="zh-CN"/>
              </w:rPr>
              <w:t>30分</w:t>
            </w:r>
          </w:p>
        </w:tc>
      </w:tr>
      <w:tr w14:paraId="1B81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70" w:type="dxa"/>
            <w:vAlign w:val="center"/>
          </w:tcPr>
          <w:p w14:paraId="76F4A882">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lang w:val="en-US" w:eastAsia="zh-CN"/>
              </w:rPr>
              <w:t>2</w:t>
            </w:r>
          </w:p>
        </w:tc>
        <w:tc>
          <w:tcPr>
            <w:tcW w:w="648" w:type="dxa"/>
            <w:vAlign w:val="center"/>
          </w:tcPr>
          <w:p w14:paraId="391B9A91">
            <w:pPr>
              <w:keepLines w:val="0"/>
              <w:pageBreakBefore w:val="0"/>
              <w:kinsoku/>
              <w:wordWrap/>
              <w:overflowPunct/>
              <w:topLinePunct w:val="0"/>
              <w:autoSpaceDE/>
              <w:autoSpaceDN/>
              <w:bidi w:val="0"/>
              <w:spacing w:line="240" w:lineRule="auto"/>
              <w:jc w:val="center"/>
              <w:textAlignment w:val="auto"/>
              <w:rPr>
                <w:rFonts w:hint="default"/>
                <w:b/>
                <w:bCs/>
                <w:sz w:val="32"/>
                <w:szCs w:val="40"/>
                <w:vertAlign w:val="baseline"/>
                <w:lang w:val="en-US" w:eastAsia="zh-CN"/>
              </w:rPr>
            </w:pPr>
            <w:r>
              <w:rPr>
                <w:rFonts w:hint="eastAsia" w:ascii="宋体" w:hAnsi="宋体" w:cs="宋体"/>
                <w:szCs w:val="21"/>
              </w:rPr>
              <w:t>同类业绩情况</w:t>
            </w:r>
          </w:p>
        </w:tc>
        <w:tc>
          <w:tcPr>
            <w:tcW w:w="5086" w:type="dxa"/>
            <w:vAlign w:val="center"/>
          </w:tcPr>
          <w:p w14:paraId="5E27F9D8">
            <w:pPr>
              <w:keepLines w:val="0"/>
              <w:pageBreakBefore w:val="0"/>
              <w:numPr>
                <w:ilvl w:val="0"/>
                <w:numId w:val="0"/>
              </w:numPr>
              <w:kinsoku/>
              <w:wordWrap/>
              <w:overflowPunct/>
              <w:topLinePunct w:val="0"/>
              <w:autoSpaceDE/>
              <w:autoSpaceDN/>
              <w:bidi w:val="0"/>
              <w:spacing w:line="240" w:lineRule="auto"/>
              <w:ind w:leftChars="0"/>
              <w:textAlignment w:val="auto"/>
              <w:rPr>
                <w:rFonts w:hint="eastAsia" w:ascii="宋体" w:hAnsi="宋体" w:cs="宋体"/>
                <w:szCs w:val="21"/>
                <w:highlight w:val="none"/>
                <w:lang w:eastAsia="zh-CN"/>
              </w:rPr>
            </w:pPr>
            <w:r>
              <w:rPr>
                <w:rFonts w:hint="eastAsia" w:ascii="宋体" w:hAnsi="宋体" w:cs="宋体"/>
                <w:szCs w:val="21"/>
                <w:highlight w:val="none"/>
                <w:lang w:val="en-US" w:eastAsia="zh-CN"/>
              </w:rPr>
              <w:t>2022年至今</w:t>
            </w:r>
            <w:r>
              <w:rPr>
                <w:rFonts w:hint="eastAsia" w:ascii="宋体" w:hAnsi="宋体" w:cs="宋体"/>
                <w:szCs w:val="21"/>
                <w:highlight w:val="none"/>
                <w:lang w:eastAsia="zh-CN"/>
              </w:rPr>
              <w:t>，</w:t>
            </w:r>
            <w:r>
              <w:rPr>
                <w:rFonts w:hint="eastAsia" w:ascii="宋体" w:hAnsi="宋体" w:cs="宋体"/>
                <w:szCs w:val="21"/>
                <w:highlight w:val="none"/>
              </w:rPr>
              <w:t>具有深圳</w:t>
            </w:r>
            <w:r>
              <w:rPr>
                <w:rFonts w:hint="eastAsia" w:ascii="宋体" w:hAnsi="宋体" w:cs="宋体"/>
                <w:szCs w:val="21"/>
                <w:highlight w:val="none"/>
                <w:lang w:val="en-US" w:eastAsia="zh-CN"/>
              </w:rPr>
              <w:t>市</w:t>
            </w:r>
            <w:r>
              <w:rPr>
                <w:rFonts w:hint="eastAsia" w:ascii="宋体" w:hAnsi="宋体" w:cs="宋体"/>
                <w:szCs w:val="21"/>
                <w:highlight w:val="none"/>
              </w:rPr>
              <w:t>土地整备</w:t>
            </w:r>
            <w:r>
              <w:rPr>
                <w:rFonts w:hint="eastAsia" w:ascii="宋体" w:hAnsi="宋体" w:cs="宋体"/>
                <w:szCs w:val="21"/>
                <w:highlight w:val="none"/>
                <w:lang w:eastAsia="zh-CN"/>
              </w:rPr>
              <w:t>、</w:t>
            </w:r>
            <w:r>
              <w:rPr>
                <w:rFonts w:hint="eastAsia" w:ascii="宋体" w:hAnsi="宋体" w:cs="宋体"/>
                <w:szCs w:val="21"/>
                <w:highlight w:val="none"/>
              </w:rPr>
              <w:t>利益统筹</w:t>
            </w:r>
            <w:r>
              <w:rPr>
                <w:rFonts w:hint="eastAsia" w:ascii="宋体" w:hAnsi="宋体" w:cs="宋体"/>
                <w:szCs w:val="21"/>
                <w:highlight w:val="none"/>
                <w:lang w:eastAsia="zh-CN"/>
              </w:rPr>
              <w:t>、城市更新</w:t>
            </w:r>
            <w:r>
              <w:rPr>
                <w:rFonts w:hint="eastAsia" w:ascii="宋体" w:hAnsi="宋体" w:cs="宋体"/>
                <w:szCs w:val="21"/>
                <w:highlight w:val="none"/>
              </w:rPr>
              <w:t>项目</w:t>
            </w:r>
            <w:r>
              <w:rPr>
                <w:rFonts w:hint="eastAsia" w:ascii="宋体" w:hAnsi="宋体" w:cs="宋体"/>
                <w:szCs w:val="21"/>
                <w:highlight w:val="none"/>
                <w:lang w:eastAsia="zh-CN"/>
              </w:rPr>
              <w:t>前期成本审计</w:t>
            </w:r>
            <w:r>
              <w:rPr>
                <w:rFonts w:hint="eastAsia" w:ascii="宋体" w:hAnsi="宋体" w:cs="宋体"/>
                <w:szCs w:val="21"/>
                <w:highlight w:val="none"/>
                <w:lang w:val="en-US" w:eastAsia="zh-CN"/>
              </w:rPr>
              <w:t>服务工作经验</w:t>
            </w:r>
            <w:r>
              <w:rPr>
                <w:rFonts w:hint="eastAsia" w:ascii="宋体" w:hAnsi="宋体" w:cs="宋体"/>
                <w:szCs w:val="21"/>
                <w:highlight w:val="none"/>
              </w:rPr>
              <w:t>的</w:t>
            </w:r>
            <w:r>
              <w:rPr>
                <w:rFonts w:ascii="宋体" w:hAnsi="宋体" w:cs="宋体"/>
                <w:szCs w:val="21"/>
                <w:highlight w:val="none"/>
              </w:rPr>
              <w:t>，每1个加</w:t>
            </w:r>
            <w:r>
              <w:rPr>
                <w:rFonts w:hint="eastAsia" w:ascii="宋体" w:hAnsi="宋体" w:cs="宋体"/>
                <w:szCs w:val="21"/>
                <w:highlight w:val="none"/>
                <w:lang w:val="en-US" w:eastAsia="zh-CN"/>
              </w:rPr>
              <w:t>5</w:t>
            </w:r>
            <w:r>
              <w:rPr>
                <w:rFonts w:ascii="宋体" w:hAnsi="宋体" w:cs="宋体"/>
                <w:szCs w:val="21"/>
                <w:highlight w:val="none"/>
              </w:rPr>
              <w:t>分</w:t>
            </w:r>
            <w:r>
              <w:rPr>
                <w:rFonts w:hint="eastAsia" w:ascii="宋体" w:hAnsi="宋体" w:cs="宋体"/>
                <w:szCs w:val="21"/>
                <w:highlight w:val="none"/>
                <w:lang w:eastAsia="zh-CN"/>
              </w:rPr>
              <w:t>。</w:t>
            </w:r>
          </w:p>
          <w:p w14:paraId="59E9A842">
            <w:pPr>
              <w:keepLines w:val="0"/>
              <w:pageBreakBefore w:val="0"/>
              <w:numPr>
                <w:ilvl w:val="0"/>
                <w:numId w:val="0"/>
              </w:numPr>
              <w:kinsoku/>
              <w:wordWrap/>
              <w:overflowPunct/>
              <w:topLinePunct w:val="0"/>
              <w:autoSpaceDE/>
              <w:autoSpaceDN/>
              <w:bidi w:val="0"/>
              <w:spacing w:line="240" w:lineRule="auto"/>
              <w:ind w:left="0" w:leftChars="0" w:firstLine="0" w:firstLineChars="0"/>
              <w:textAlignment w:val="auto"/>
              <w:rPr>
                <w:rFonts w:hint="default"/>
                <w:b/>
                <w:bCs/>
                <w:sz w:val="32"/>
                <w:szCs w:val="40"/>
                <w:vertAlign w:val="baseline"/>
                <w:lang w:val="en-US" w:eastAsia="zh-CN"/>
              </w:rPr>
            </w:pPr>
            <w:r>
              <w:rPr>
                <w:rFonts w:hint="eastAsia" w:ascii="宋体" w:hAnsi="宋体" w:cs="宋体"/>
                <w:szCs w:val="21"/>
                <w:highlight w:val="none"/>
                <w:lang w:eastAsia="zh-CN"/>
              </w:rPr>
              <w:t>以上评分项合计最多加</w:t>
            </w:r>
            <w:r>
              <w:rPr>
                <w:rFonts w:hint="eastAsia" w:ascii="宋体" w:hAnsi="宋体" w:cs="宋体"/>
                <w:szCs w:val="21"/>
                <w:highlight w:val="none"/>
                <w:lang w:val="en-US" w:eastAsia="zh-CN"/>
              </w:rPr>
              <w:t>20分，同个项目不重复得分。</w:t>
            </w:r>
          </w:p>
        </w:tc>
        <w:tc>
          <w:tcPr>
            <w:tcW w:w="2208" w:type="dxa"/>
            <w:vAlign w:val="center"/>
          </w:tcPr>
          <w:p w14:paraId="3A28BC39">
            <w:pPr>
              <w:keepLines w:val="0"/>
              <w:pageBreakBefore w:val="0"/>
              <w:kinsoku/>
              <w:wordWrap/>
              <w:overflowPunct/>
              <w:topLinePunct w:val="0"/>
              <w:autoSpaceDE/>
              <w:autoSpaceDN/>
              <w:bidi w:val="0"/>
              <w:adjustRightInd w:val="0"/>
              <w:snapToGrid w:val="0"/>
              <w:spacing w:line="240" w:lineRule="auto"/>
              <w:textAlignment w:val="auto"/>
              <w:rPr>
                <w:rFonts w:hint="default"/>
                <w:b/>
                <w:bCs/>
                <w:sz w:val="32"/>
                <w:szCs w:val="40"/>
                <w:vertAlign w:val="baseline"/>
                <w:lang w:val="en-US" w:eastAsia="zh-CN"/>
              </w:rPr>
            </w:pPr>
            <w:r>
              <w:rPr>
                <w:rFonts w:hint="eastAsia"/>
              </w:rPr>
              <w:t>提供相应合同文件，</w:t>
            </w:r>
            <w:r>
              <w:rPr>
                <w:rFonts w:hint="eastAsia"/>
                <w:lang w:eastAsia="zh-CN"/>
              </w:rPr>
              <w:t>如有成果文件一并提供，</w:t>
            </w:r>
            <w:r>
              <w:rPr>
                <w:rFonts w:hint="eastAsia"/>
              </w:rPr>
              <w:t>并加盖公章</w:t>
            </w:r>
          </w:p>
        </w:tc>
        <w:tc>
          <w:tcPr>
            <w:tcW w:w="873" w:type="dxa"/>
            <w:vAlign w:val="center"/>
          </w:tcPr>
          <w:p w14:paraId="536DB73E">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lang w:val="en-US" w:eastAsia="zh-CN"/>
              </w:rPr>
              <w:t>20</w:t>
            </w:r>
            <w:r>
              <w:rPr>
                <w:rFonts w:hint="eastAsia" w:ascii="宋体" w:hAnsi="宋体" w:cs="宋体"/>
                <w:szCs w:val="21"/>
              </w:rPr>
              <w:t>分</w:t>
            </w:r>
          </w:p>
        </w:tc>
      </w:tr>
      <w:tr w14:paraId="1124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0" w:type="dxa"/>
            <w:vMerge w:val="restart"/>
            <w:vAlign w:val="center"/>
          </w:tcPr>
          <w:p w14:paraId="0B1A1A3D">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lang w:val="en-US" w:eastAsia="zh-CN"/>
              </w:rPr>
              <w:t>3</w:t>
            </w:r>
          </w:p>
        </w:tc>
        <w:tc>
          <w:tcPr>
            <w:tcW w:w="648" w:type="dxa"/>
            <w:vMerge w:val="restart"/>
            <w:vAlign w:val="center"/>
          </w:tcPr>
          <w:p w14:paraId="645069BD">
            <w:pPr>
              <w:keepLines w:val="0"/>
              <w:pageBreakBefore w:val="0"/>
              <w:kinsoku/>
              <w:wordWrap/>
              <w:overflowPunct/>
              <w:topLinePunct w:val="0"/>
              <w:autoSpaceDE/>
              <w:autoSpaceDN/>
              <w:bidi w:val="0"/>
              <w:spacing w:line="240" w:lineRule="auto"/>
              <w:jc w:val="center"/>
              <w:textAlignment w:val="auto"/>
              <w:rPr>
                <w:rFonts w:hint="eastAsia" w:eastAsiaTheme="minorEastAsia"/>
                <w:b/>
                <w:bCs/>
                <w:sz w:val="32"/>
                <w:szCs w:val="40"/>
                <w:vertAlign w:val="baseline"/>
                <w:lang w:val="en-US" w:eastAsia="zh-CN"/>
              </w:rPr>
            </w:pPr>
            <w:r>
              <w:rPr>
                <w:rFonts w:hint="eastAsia"/>
              </w:rPr>
              <w:t>拟委任</w:t>
            </w:r>
            <w:r>
              <w:rPr>
                <w:rFonts w:hint="eastAsia"/>
                <w:lang w:val="en-US" w:eastAsia="zh-CN"/>
              </w:rPr>
              <w:t>团队</w:t>
            </w:r>
            <w:r>
              <w:rPr>
                <w:rFonts w:hint="eastAsia"/>
              </w:rPr>
              <w:t>资格和能力</w:t>
            </w:r>
          </w:p>
        </w:tc>
        <w:tc>
          <w:tcPr>
            <w:tcW w:w="5086" w:type="dxa"/>
            <w:vAlign w:val="center"/>
          </w:tcPr>
          <w:p w14:paraId="2FEC128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textAlignment w:val="auto"/>
              <w:rPr>
                <w:rFonts w:hint="default" w:ascii="宋体" w:hAnsi="宋体" w:cs="宋体"/>
                <w:szCs w:val="21"/>
                <w:highlight w:val="none"/>
                <w:lang w:val="en-US" w:eastAsia="zh-CN"/>
              </w:rPr>
            </w:pPr>
            <w:r>
              <w:rPr>
                <w:rFonts w:hint="eastAsia" w:ascii="宋体" w:hAnsi="宋体" w:cs="宋体"/>
                <w:szCs w:val="21"/>
                <w:lang w:val="en-US" w:eastAsia="zh-CN"/>
              </w:rPr>
              <w:t>拟委派团队成员不少于3人。</w:t>
            </w:r>
          </w:p>
        </w:tc>
        <w:tc>
          <w:tcPr>
            <w:tcW w:w="2208" w:type="dxa"/>
            <w:vAlign w:val="center"/>
          </w:tcPr>
          <w:p w14:paraId="664BD694">
            <w:pPr>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szCs w:val="21"/>
                <w:highlight w:val="none"/>
                <w:lang w:val="en-US" w:eastAsia="zh-CN"/>
              </w:rPr>
            </w:pPr>
            <w:r>
              <w:rPr>
                <w:rFonts w:hint="eastAsia" w:ascii="宋体" w:hAnsi="宋体" w:cs="宋体"/>
                <w:color w:val="auto"/>
                <w:szCs w:val="21"/>
              </w:rPr>
              <w:t>提供</w:t>
            </w:r>
            <w:r>
              <w:rPr>
                <w:rFonts w:hint="eastAsia" w:ascii="宋体" w:hAnsi="宋体" w:cs="宋体"/>
                <w:color w:val="auto"/>
                <w:szCs w:val="21"/>
                <w:lang w:eastAsia="zh-CN"/>
              </w:rPr>
              <w:t>资格证书</w:t>
            </w:r>
            <w:r>
              <w:rPr>
                <w:rFonts w:hint="eastAsia" w:ascii="宋体" w:hAnsi="宋体" w:cs="宋体"/>
                <w:color w:val="auto"/>
                <w:szCs w:val="21"/>
                <w:lang w:val="en-US" w:eastAsia="zh-CN"/>
              </w:rPr>
              <w:t>、社保证明，并加盖公章</w:t>
            </w:r>
            <w:bookmarkStart w:id="0" w:name="_GoBack"/>
            <w:bookmarkEnd w:id="0"/>
          </w:p>
        </w:tc>
        <w:tc>
          <w:tcPr>
            <w:tcW w:w="873" w:type="dxa"/>
            <w:vAlign w:val="center"/>
          </w:tcPr>
          <w:p w14:paraId="1F977AE3">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lang w:val="en-US" w:eastAsia="zh-CN"/>
              </w:rPr>
              <w:t>5分</w:t>
            </w:r>
          </w:p>
        </w:tc>
      </w:tr>
      <w:tr w14:paraId="3F18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0" w:type="dxa"/>
            <w:vMerge w:val="continue"/>
            <w:vAlign w:val="center"/>
          </w:tcPr>
          <w:p w14:paraId="12564370">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p>
        </w:tc>
        <w:tc>
          <w:tcPr>
            <w:tcW w:w="648" w:type="dxa"/>
            <w:vMerge w:val="continue"/>
            <w:vAlign w:val="center"/>
          </w:tcPr>
          <w:p w14:paraId="422D1C79">
            <w:pPr>
              <w:keepLines w:val="0"/>
              <w:pageBreakBefore w:val="0"/>
              <w:kinsoku/>
              <w:wordWrap/>
              <w:overflowPunct/>
              <w:topLinePunct w:val="0"/>
              <w:autoSpaceDE/>
              <w:autoSpaceDN/>
              <w:bidi w:val="0"/>
              <w:spacing w:line="240" w:lineRule="auto"/>
              <w:jc w:val="center"/>
              <w:textAlignment w:val="auto"/>
              <w:rPr>
                <w:rFonts w:hint="default"/>
                <w:lang w:val="en-US" w:eastAsia="zh-CN"/>
              </w:rPr>
            </w:pPr>
          </w:p>
        </w:tc>
        <w:tc>
          <w:tcPr>
            <w:tcW w:w="5086" w:type="dxa"/>
            <w:vAlign w:val="center"/>
          </w:tcPr>
          <w:p w14:paraId="5AE0E40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textAlignment w:val="auto"/>
              <w:rPr>
                <w:rFonts w:hint="default"/>
                <w:lang w:val="en-US" w:eastAsia="zh-CN"/>
              </w:rPr>
            </w:pPr>
            <w:r>
              <w:rPr>
                <w:rFonts w:hint="eastAsia" w:ascii="宋体" w:hAnsi="宋体" w:cs="宋体"/>
                <w:szCs w:val="21"/>
                <w:lang w:val="en-US" w:eastAsia="zh-CN"/>
              </w:rPr>
              <w:t>项目负责人：须具备注册会计师资格，且具有8年及以上审计经验，其中至少主导过2个及以上同类项目审计。</w:t>
            </w:r>
          </w:p>
        </w:tc>
        <w:tc>
          <w:tcPr>
            <w:tcW w:w="2208" w:type="dxa"/>
            <w:vAlign w:val="center"/>
          </w:tcPr>
          <w:p w14:paraId="62059150">
            <w:pPr>
              <w:keepLines w:val="0"/>
              <w:pageBreakBefore w:val="0"/>
              <w:kinsoku/>
              <w:wordWrap/>
              <w:overflowPunct/>
              <w:topLinePunct w:val="0"/>
              <w:autoSpaceDE/>
              <w:autoSpaceDN/>
              <w:bidi w:val="0"/>
              <w:adjustRightInd w:val="0"/>
              <w:snapToGrid w:val="0"/>
              <w:spacing w:line="240" w:lineRule="auto"/>
              <w:textAlignment w:val="auto"/>
              <w:rPr>
                <w:rFonts w:hint="default"/>
                <w:b/>
                <w:bCs/>
                <w:sz w:val="32"/>
                <w:szCs w:val="40"/>
                <w:vertAlign w:val="baseline"/>
                <w:lang w:val="en-US" w:eastAsia="zh-CN"/>
              </w:rPr>
            </w:pPr>
            <w:r>
              <w:rPr>
                <w:rFonts w:hint="eastAsia" w:ascii="宋体" w:hAnsi="宋体" w:cs="宋体"/>
                <w:color w:val="auto"/>
                <w:szCs w:val="21"/>
                <w:lang w:eastAsia="zh-CN"/>
              </w:rPr>
              <w:t>提供资格证书、</w:t>
            </w:r>
            <w:r>
              <w:rPr>
                <w:rFonts w:hint="eastAsia" w:ascii="宋体" w:hAnsi="宋体" w:cs="宋体"/>
                <w:color w:val="auto"/>
                <w:szCs w:val="21"/>
              </w:rPr>
              <w:t>相关项目经验证明材料</w:t>
            </w:r>
            <w:r>
              <w:rPr>
                <w:rFonts w:hint="eastAsia" w:ascii="宋体" w:hAnsi="宋体" w:cs="宋体"/>
                <w:color w:val="auto"/>
                <w:szCs w:val="21"/>
                <w:lang w:eastAsia="zh-CN"/>
              </w:rPr>
              <w:t>，</w:t>
            </w:r>
            <w:r>
              <w:rPr>
                <w:rFonts w:hint="eastAsia" w:ascii="宋体" w:hAnsi="宋体" w:cs="宋体"/>
                <w:color w:val="auto"/>
                <w:szCs w:val="21"/>
              </w:rPr>
              <w:t>并加盖</w:t>
            </w:r>
            <w:r>
              <w:rPr>
                <w:rFonts w:hint="eastAsia" w:ascii="宋体" w:hAnsi="宋体" w:cs="宋体"/>
                <w:color w:val="auto"/>
                <w:szCs w:val="21"/>
                <w:lang w:val="en-US" w:eastAsia="zh-CN"/>
              </w:rPr>
              <w:t>公</w:t>
            </w:r>
            <w:r>
              <w:rPr>
                <w:rFonts w:hint="eastAsia" w:ascii="宋体" w:hAnsi="宋体" w:cs="宋体"/>
                <w:color w:val="auto"/>
                <w:szCs w:val="21"/>
              </w:rPr>
              <w:t>章</w:t>
            </w:r>
          </w:p>
        </w:tc>
        <w:tc>
          <w:tcPr>
            <w:tcW w:w="873" w:type="dxa"/>
            <w:vAlign w:val="center"/>
          </w:tcPr>
          <w:p w14:paraId="206EEF72">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lang w:val="en-US" w:eastAsia="zh-CN"/>
              </w:rPr>
              <w:t>10分</w:t>
            </w:r>
          </w:p>
        </w:tc>
      </w:tr>
      <w:tr w14:paraId="20EA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70" w:type="dxa"/>
            <w:vMerge w:val="continue"/>
            <w:vAlign w:val="center"/>
          </w:tcPr>
          <w:p w14:paraId="0246C1F0">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p>
        </w:tc>
        <w:tc>
          <w:tcPr>
            <w:tcW w:w="648" w:type="dxa"/>
            <w:vMerge w:val="continue"/>
            <w:vAlign w:val="center"/>
          </w:tcPr>
          <w:p w14:paraId="0282E57F">
            <w:pPr>
              <w:keepLines w:val="0"/>
              <w:pageBreakBefore w:val="0"/>
              <w:kinsoku/>
              <w:wordWrap/>
              <w:overflowPunct/>
              <w:topLinePunct w:val="0"/>
              <w:autoSpaceDE/>
              <w:autoSpaceDN/>
              <w:bidi w:val="0"/>
              <w:spacing w:line="240" w:lineRule="auto"/>
              <w:jc w:val="center"/>
              <w:textAlignment w:val="auto"/>
              <w:rPr>
                <w:rFonts w:hint="default"/>
                <w:b/>
                <w:bCs/>
                <w:sz w:val="32"/>
                <w:szCs w:val="40"/>
                <w:vertAlign w:val="baseline"/>
                <w:lang w:val="en-US" w:eastAsia="zh-CN"/>
              </w:rPr>
            </w:pPr>
          </w:p>
        </w:tc>
        <w:tc>
          <w:tcPr>
            <w:tcW w:w="5086" w:type="dxa"/>
            <w:vAlign w:val="center"/>
          </w:tcPr>
          <w:p w14:paraId="770EA14E">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项目成员（除负责人）：至少2名成员须具备会计或相关专业本科及以上学历，具备中级会计师职称，从业经验三年及以上。</w:t>
            </w:r>
          </w:p>
        </w:tc>
        <w:tc>
          <w:tcPr>
            <w:tcW w:w="2208" w:type="dxa"/>
            <w:vAlign w:val="center"/>
          </w:tcPr>
          <w:p w14:paraId="13158834">
            <w:pPr>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color w:val="auto"/>
                <w:szCs w:val="21"/>
                <w:lang w:eastAsia="zh-CN"/>
              </w:rPr>
              <w:t>提供资格证书、从业年限相关证明，并加盖公章</w:t>
            </w:r>
          </w:p>
        </w:tc>
        <w:tc>
          <w:tcPr>
            <w:tcW w:w="873" w:type="dxa"/>
            <w:vAlign w:val="center"/>
          </w:tcPr>
          <w:p w14:paraId="1D008DFF">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5分</w:t>
            </w:r>
          </w:p>
        </w:tc>
      </w:tr>
      <w:tr w14:paraId="7AD7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70" w:type="dxa"/>
            <w:vAlign w:val="center"/>
          </w:tcPr>
          <w:p w14:paraId="3FF1F1C1">
            <w:pPr>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b/>
                <w:bCs/>
                <w:sz w:val="32"/>
                <w:szCs w:val="40"/>
                <w:vertAlign w:val="baseline"/>
                <w:lang w:val="en-US" w:eastAsia="zh-CN"/>
              </w:rPr>
            </w:pPr>
            <w:r>
              <w:rPr>
                <w:rFonts w:hint="eastAsia" w:ascii="宋体" w:hAnsi="宋体" w:cs="宋体"/>
                <w:szCs w:val="21"/>
                <w:lang w:val="en-US" w:eastAsia="zh-CN"/>
              </w:rPr>
              <w:t>4</w:t>
            </w:r>
          </w:p>
        </w:tc>
        <w:tc>
          <w:tcPr>
            <w:tcW w:w="648" w:type="dxa"/>
            <w:vAlign w:val="center"/>
          </w:tcPr>
          <w:p w14:paraId="6FE65C23">
            <w:pPr>
              <w:keepLines w:val="0"/>
              <w:pageBreakBefore w:val="0"/>
              <w:kinsoku/>
              <w:wordWrap/>
              <w:overflowPunct/>
              <w:topLinePunct w:val="0"/>
              <w:autoSpaceDE/>
              <w:autoSpaceDN/>
              <w:bidi w:val="0"/>
              <w:spacing w:line="240" w:lineRule="auto"/>
              <w:jc w:val="center"/>
              <w:textAlignment w:val="auto"/>
              <w:rPr>
                <w:rFonts w:hint="default"/>
                <w:b/>
                <w:bCs/>
                <w:sz w:val="32"/>
                <w:szCs w:val="40"/>
                <w:vertAlign w:val="baseline"/>
                <w:lang w:val="en-US" w:eastAsia="zh-CN"/>
              </w:rPr>
            </w:pPr>
            <w:r>
              <w:rPr>
                <w:rFonts w:hint="eastAsia"/>
                <w:bCs/>
                <w:szCs w:val="21"/>
              </w:rPr>
              <w:t>本项目的服务方案</w:t>
            </w:r>
          </w:p>
        </w:tc>
        <w:tc>
          <w:tcPr>
            <w:tcW w:w="5086" w:type="dxa"/>
            <w:vAlign w:val="center"/>
          </w:tcPr>
          <w:p w14:paraId="039049FD">
            <w:pPr>
              <w:keepNext/>
              <w:keepLines w:val="0"/>
              <w:pageBreakBefore w:val="0"/>
              <w:widowControl w:val="0"/>
              <w:kinsoku/>
              <w:wordWrap/>
              <w:overflowPunct/>
              <w:topLinePunct w:val="0"/>
              <w:autoSpaceDE/>
              <w:autoSpaceDN/>
              <w:bidi w:val="0"/>
              <w:adjustRightInd w:val="0"/>
              <w:snapToGrid w:val="0"/>
              <w:spacing w:line="240" w:lineRule="auto"/>
              <w:ind w:left="0"/>
              <w:textAlignment w:val="auto"/>
              <w:rPr>
                <w:rFonts w:ascii="宋体" w:hAnsi="宋体" w:cs="宋体"/>
                <w:szCs w:val="21"/>
              </w:rPr>
            </w:pPr>
            <w:r>
              <w:rPr>
                <w:rFonts w:hint="eastAsia"/>
                <w:szCs w:val="21"/>
                <w:lang w:val="en-US" w:eastAsia="zh-CN"/>
              </w:rPr>
              <w:t>对</w:t>
            </w:r>
            <w:r>
              <w:rPr>
                <w:rFonts w:hint="eastAsia"/>
                <w:szCs w:val="21"/>
              </w:rPr>
              <w:t>服务方案的完整性、合理性、可执行性和工作时间安排合理、服务保障是否到位、服务流程是否合理，服务人员</w:t>
            </w:r>
            <w:r>
              <w:rPr>
                <w:rFonts w:hint="eastAsia"/>
                <w:szCs w:val="21"/>
                <w:lang w:val="en-US" w:eastAsia="zh-CN"/>
              </w:rPr>
              <w:t>配置等</w:t>
            </w:r>
            <w:r>
              <w:rPr>
                <w:rFonts w:hint="eastAsia"/>
                <w:szCs w:val="21"/>
              </w:rPr>
              <w:t>进行综合评议</w:t>
            </w:r>
            <w:r>
              <w:rPr>
                <w:rFonts w:hint="eastAsia" w:ascii="宋体" w:hAnsi="宋体" w:cs="宋体"/>
                <w:szCs w:val="21"/>
              </w:rPr>
              <w:t>：</w:t>
            </w:r>
          </w:p>
          <w:p w14:paraId="565CC2DC">
            <w:pPr>
              <w:keepLines w:val="0"/>
              <w:pageBreakBefore w:val="0"/>
              <w:kinsoku/>
              <w:wordWrap/>
              <w:overflowPunct/>
              <w:topLinePunct w:val="0"/>
              <w:autoSpaceDE/>
              <w:autoSpaceDN/>
              <w:bidi w:val="0"/>
              <w:spacing w:line="240" w:lineRule="auto"/>
              <w:textAlignment w:val="auto"/>
              <w:rPr>
                <w:rFonts w:ascii="宋体" w:hAnsi="宋体" w:cs="宋体"/>
                <w:szCs w:val="21"/>
              </w:rPr>
            </w:pPr>
            <w:r>
              <w:rPr>
                <w:rFonts w:hint="eastAsia" w:ascii="宋体" w:hAnsi="宋体" w:cs="宋体"/>
                <w:szCs w:val="21"/>
              </w:rPr>
              <w:t>评优得</w:t>
            </w:r>
            <w:r>
              <w:rPr>
                <w:rFonts w:hint="eastAsia" w:ascii="宋体" w:hAnsi="宋体" w:cs="宋体"/>
                <w:szCs w:val="21"/>
                <w:lang w:val="en-US" w:eastAsia="zh-CN"/>
              </w:rPr>
              <w:t>24</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分，良得</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23</w:t>
            </w:r>
            <w:r>
              <w:rPr>
                <w:rFonts w:hint="eastAsia" w:ascii="宋体" w:hAnsi="宋体" w:cs="宋体"/>
                <w:szCs w:val="21"/>
              </w:rPr>
              <w:t>分，中得</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分，差得0～</w:t>
            </w:r>
            <w:r>
              <w:rPr>
                <w:rFonts w:hint="eastAsia" w:ascii="宋体" w:hAnsi="宋体" w:cs="宋体"/>
                <w:szCs w:val="21"/>
                <w:lang w:val="en-US" w:eastAsia="zh-CN"/>
              </w:rPr>
              <w:t>7</w:t>
            </w:r>
            <w:r>
              <w:rPr>
                <w:rFonts w:hint="eastAsia" w:ascii="宋体" w:hAnsi="宋体" w:cs="宋体"/>
                <w:szCs w:val="21"/>
              </w:rPr>
              <w:t>分。</w:t>
            </w:r>
          </w:p>
          <w:p w14:paraId="51AA95C5">
            <w:pPr>
              <w:keepLines w:val="0"/>
              <w:pageBreakBefore w:val="0"/>
              <w:kinsoku/>
              <w:wordWrap/>
              <w:overflowPunct/>
              <w:topLinePunct w:val="0"/>
              <w:autoSpaceDE/>
              <w:autoSpaceDN/>
              <w:bidi w:val="0"/>
              <w:spacing w:line="240" w:lineRule="auto"/>
              <w:textAlignment w:val="auto"/>
              <w:rPr>
                <w:rFonts w:hint="eastAsia" w:ascii="宋体" w:hAnsi="宋体" w:cs="宋体"/>
                <w:szCs w:val="21"/>
                <w:lang w:val="en-US" w:eastAsia="zh-CN"/>
              </w:rPr>
            </w:pPr>
            <w:r>
              <w:rPr>
                <w:rFonts w:hint="eastAsia" w:ascii="宋体" w:hAnsi="宋体" w:cs="宋体"/>
                <w:szCs w:val="21"/>
              </w:rPr>
              <w:t>打分参考：综合评审服务方案中对我司服务需求进行任务分解情况、技术服务团队工作职责及运作安排情况、各项过程技术服务成果质量把控能力、过程资料及档案管理、其他相关事宜。</w:t>
            </w:r>
          </w:p>
        </w:tc>
        <w:tc>
          <w:tcPr>
            <w:tcW w:w="2208" w:type="dxa"/>
            <w:vAlign w:val="center"/>
          </w:tcPr>
          <w:p w14:paraId="62E3E7AE">
            <w:pPr>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eastAsia="zh-CN"/>
              </w:rPr>
            </w:pPr>
            <w:r>
              <w:rPr>
                <w:rFonts w:hint="eastAsia" w:ascii="宋体" w:hAnsi="宋体" w:cs="宋体"/>
                <w:szCs w:val="21"/>
              </w:rPr>
              <w:t>提供技术服务方案，并加盖</w:t>
            </w:r>
            <w:r>
              <w:rPr>
                <w:rFonts w:hint="eastAsia" w:ascii="宋体" w:hAnsi="宋体" w:cs="宋体"/>
                <w:szCs w:val="21"/>
                <w:lang w:val="en-US" w:eastAsia="zh-CN"/>
              </w:rPr>
              <w:t>公</w:t>
            </w:r>
            <w:r>
              <w:rPr>
                <w:rFonts w:hint="eastAsia" w:ascii="宋体" w:hAnsi="宋体" w:cs="宋体"/>
                <w:szCs w:val="21"/>
              </w:rPr>
              <w:t>章</w:t>
            </w:r>
          </w:p>
        </w:tc>
        <w:tc>
          <w:tcPr>
            <w:tcW w:w="873" w:type="dxa"/>
            <w:vAlign w:val="center"/>
          </w:tcPr>
          <w:p w14:paraId="1CF35600">
            <w:pPr>
              <w:keepLines w:val="0"/>
              <w:pageBreakBefore w:val="0"/>
              <w:kinsoku/>
              <w:wordWrap/>
              <w:overflowPunct/>
              <w:topLinePunct w:val="0"/>
              <w:autoSpaceDE/>
              <w:autoSpaceDN/>
              <w:bidi w:val="0"/>
              <w:spacing w:line="24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30</w:t>
            </w:r>
            <w:r>
              <w:rPr>
                <w:rFonts w:hint="eastAsia" w:ascii="宋体" w:hAnsi="宋体" w:cs="宋体"/>
                <w:szCs w:val="21"/>
              </w:rPr>
              <w:t>分</w:t>
            </w:r>
          </w:p>
        </w:tc>
      </w:tr>
      <w:tr w14:paraId="2A07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12" w:type="dxa"/>
            <w:gridSpan w:val="4"/>
            <w:vAlign w:val="center"/>
          </w:tcPr>
          <w:p w14:paraId="013D5BDB">
            <w:pPr>
              <w:jc w:val="center"/>
              <w:rPr>
                <w:rFonts w:hint="default"/>
                <w:b/>
                <w:bCs/>
                <w:sz w:val="32"/>
                <w:szCs w:val="40"/>
                <w:vertAlign w:val="baseline"/>
                <w:lang w:val="en-US" w:eastAsia="zh-CN"/>
              </w:rPr>
            </w:pPr>
            <w:r>
              <w:rPr>
                <w:rFonts w:hint="eastAsia" w:ascii="宋体" w:hAnsi="宋体" w:cs="宋体"/>
                <w:szCs w:val="21"/>
                <w:lang w:val="en-US" w:eastAsia="zh-CN"/>
              </w:rPr>
              <w:t>合计</w:t>
            </w:r>
          </w:p>
        </w:tc>
        <w:tc>
          <w:tcPr>
            <w:tcW w:w="873" w:type="dxa"/>
            <w:vAlign w:val="center"/>
          </w:tcPr>
          <w:p w14:paraId="6F9CDD11">
            <w:pPr>
              <w:jc w:val="center"/>
              <w:rPr>
                <w:rFonts w:hint="default"/>
                <w:b/>
                <w:bCs/>
                <w:sz w:val="32"/>
                <w:szCs w:val="40"/>
                <w:vertAlign w:val="baseline"/>
                <w:lang w:val="en-US" w:eastAsia="zh-CN"/>
              </w:rPr>
            </w:pPr>
            <w:r>
              <w:rPr>
                <w:rFonts w:hint="eastAsia" w:ascii="宋体" w:hAnsi="宋体" w:cs="宋体"/>
                <w:szCs w:val="21"/>
                <w:lang w:val="en-US" w:eastAsia="zh-CN"/>
              </w:rPr>
              <w:t>100分</w:t>
            </w:r>
          </w:p>
        </w:tc>
      </w:tr>
      <w:tr w14:paraId="177E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612" w:type="dxa"/>
            <w:gridSpan w:val="4"/>
            <w:vAlign w:val="center"/>
          </w:tcPr>
          <w:p w14:paraId="16F13684">
            <w:pPr>
              <w:jc w:val="center"/>
              <w:rPr>
                <w:rFonts w:hint="default"/>
                <w:b/>
                <w:bCs/>
                <w:sz w:val="32"/>
                <w:szCs w:val="40"/>
                <w:vertAlign w:val="baseline"/>
                <w:lang w:val="en-US" w:eastAsia="zh-CN"/>
              </w:rPr>
            </w:pPr>
            <w:r>
              <w:rPr>
                <w:rFonts w:hint="eastAsia" w:ascii="宋体" w:hAnsi="宋体" w:cs="宋体"/>
                <w:b/>
                <w:bCs/>
                <w:szCs w:val="21"/>
              </w:rPr>
              <w:t>拟推荐成交候选供应商（原则推荐评审综合得分最高的单位）</w:t>
            </w:r>
          </w:p>
        </w:tc>
        <w:tc>
          <w:tcPr>
            <w:tcW w:w="873" w:type="dxa"/>
          </w:tcPr>
          <w:p w14:paraId="000A0EAF">
            <w:pPr>
              <w:jc w:val="center"/>
              <w:rPr>
                <w:rFonts w:hint="default"/>
                <w:b/>
                <w:bCs/>
                <w:sz w:val="32"/>
                <w:szCs w:val="40"/>
                <w:vertAlign w:val="baseline"/>
                <w:lang w:val="en-US" w:eastAsia="zh-CN"/>
              </w:rPr>
            </w:pPr>
          </w:p>
        </w:tc>
      </w:tr>
    </w:tbl>
    <w:p w14:paraId="6F1138BC">
      <w:pPr>
        <w:jc w:val="left"/>
        <w:rPr>
          <w:rFonts w:hint="eastAsia" w:ascii="黑体" w:hAnsi="黑体" w:eastAsia="黑体"/>
          <w:szCs w:val="21"/>
        </w:rPr>
      </w:pPr>
      <w:r>
        <w:rPr>
          <w:rFonts w:hint="eastAsia" w:ascii="黑体" w:hAnsi="黑体" w:eastAsia="黑体"/>
          <w:szCs w:val="21"/>
        </w:rPr>
        <w:t>备注：</w:t>
      </w:r>
    </w:p>
    <w:p w14:paraId="60E39157">
      <w:pPr>
        <w:jc w:val="left"/>
        <w:rPr>
          <w:rFonts w:ascii="黑体" w:hAnsi="黑体" w:eastAsia="黑体"/>
          <w:szCs w:val="21"/>
        </w:rPr>
      </w:pPr>
      <w:r>
        <w:rPr>
          <w:rFonts w:hint="eastAsia" w:ascii="黑体" w:hAnsi="黑体" w:eastAsia="黑体"/>
          <w:szCs w:val="21"/>
        </w:rPr>
        <w:t>1.各项评审打分按照四舍五入，小数点后保留2位进行计算；</w:t>
      </w:r>
    </w:p>
    <w:p w14:paraId="7ED61E6A">
      <w:pPr>
        <w:jc w:val="left"/>
        <w:rPr>
          <w:rFonts w:hint="eastAsia" w:ascii="宋体" w:hAnsi="宋体"/>
          <w:bCs/>
          <w:sz w:val="24"/>
        </w:rPr>
      </w:pPr>
      <w:r>
        <w:rPr>
          <w:rFonts w:hint="eastAsia" w:ascii="黑体" w:hAnsi="黑体" w:eastAsia="黑体"/>
          <w:szCs w:val="21"/>
        </w:rPr>
        <w:t>2.若出现拟推荐成交候选供应商票数相同的情况，以未推荐上述单位的评审专家对并列第一的候选供应商既定打分排序作为最终选定依据</w:t>
      </w:r>
      <w:r>
        <w:rPr>
          <w:rFonts w:hint="eastAsia" w:ascii="黑体" w:hAnsi="黑体" w:eastAsia="黑体"/>
          <w:szCs w:val="21"/>
          <w:lang w:eastAsia="zh-CN"/>
        </w:rPr>
        <w:t>。</w:t>
      </w:r>
    </w:p>
    <w:p w14:paraId="3F26FE54">
      <w:pPr>
        <w:jc w:val="left"/>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E6F95"/>
    <w:multiLevelType w:val="singleLevel"/>
    <w:tmpl w:val="F6AE6F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YmZhNzRiMjAxNzA1YTkyZTU3Zjk0NjQ1YWE2MTcifQ=="/>
  </w:docVars>
  <w:rsids>
    <w:rsidRoot w:val="00000000"/>
    <w:rsid w:val="00FB4A24"/>
    <w:rsid w:val="0E95318B"/>
    <w:rsid w:val="1EAD06FB"/>
    <w:rsid w:val="1EF73B68"/>
    <w:rsid w:val="1FF7A5E2"/>
    <w:rsid w:val="229BDFA5"/>
    <w:rsid w:val="2A6D4868"/>
    <w:rsid w:val="2FBB8F7F"/>
    <w:rsid w:val="3BF737FF"/>
    <w:rsid w:val="3CD7DAF3"/>
    <w:rsid w:val="3D0F9900"/>
    <w:rsid w:val="3DFB2DBA"/>
    <w:rsid w:val="3F70E564"/>
    <w:rsid w:val="3FCFAC3F"/>
    <w:rsid w:val="3FDC6EA2"/>
    <w:rsid w:val="3FDF2C71"/>
    <w:rsid w:val="3FEBF162"/>
    <w:rsid w:val="3FF49B8E"/>
    <w:rsid w:val="3FFF7F50"/>
    <w:rsid w:val="44F05F43"/>
    <w:rsid w:val="4B7E42CC"/>
    <w:rsid w:val="4C2F85E0"/>
    <w:rsid w:val="4CD435A5"/>
    <w:rsid w:val="4D5B6DDE"/>
    <w:rsid w:val="4F6E7026"/>
    <w:rsid w:val="57EAED96"/>
    <w:rsid w:val="57FEF134"/>
    <w:rsid w:val="5E3D72BC"/>
    <w:rsid w:val="5F750C8F"/>
    <w:rsid w:val="5FE55CE5"/>
    <w:rsid w:val="5FF5475C"/>
    <w:rsid w:val="6DD9F785"/>
    <w:rsid w:val="6F78FBE6"/>
    <w:rsid w:val="6F7E4A03"/>
    <w:rsid w:val="77BB06A3"/>
    <w:rsid w:val="79ED5D77"/>
    <w:rsid w:val="7BBFA5A0"/>
    <w:rsid w:val="7CDDCC52"/>
    <w:rsid w:val="7CFB2B3B"/>
    <w:rsid w:val="7CFF6F4A"/>
    <w:rsid w:val="7D3F88DE"/>
    <w:rsid w:val="7DD5F0E2"/>
    <w:rsid w:val="7DDB2D14"/>
    <w:rsid w:val="7E7B79CF"/>
    <w:rsid w:val="7F0DF1A1"/>
    <w:rsid w:val="7FAF2AA7"/>
    <w:rsid w:val="7FAFBCC5"/>
    <w:rsid w:val="7FD38300"/>
    <w:rsid w:val="7FD754CB"/>
    <w:rsid w:val="7FDDC99F"/>
    <w:rsid w:val="7FDF76B4"/>
    <w:rsid w:val="7FE5DBE3"/>
    <w:rsid w:val="7FEF3B50"/>
    <w:rsid w:val="7FFE5003"/>
    <w:rsid w:val="8FC7FC14"/>
    <w:rsid w:val="95BB6494"/>
    <w:rsid w:val="ACED6052"/>
    <w:rsid w:val="AFF46380"/>
    <w:rsid w:val="B1FF20CC"/>
    <w:rsid w:val="B37F68B8"/>
    <w:rsid w:val="B7FBDF2F"/>
    <w:rsid w:val="BBF7A126"/>
    <w:rsid w:val="C3BF0ED8"/>
    <w:rsid w:val="C7D1B314"/>
    <w:rsid w:val="CCFDD8F9"/>
    <w:rsid w:val="CEFF855D"/>
    <w:rsid w:val="CF7D1D54"/>
    <w:rsid w:val="CF7DC897"/>
    <w:rsid w:val="D70FB5EE"/>
    <w:rsid w:val="DFD1F515"/>
    <w:rsid w:val="DFDF1154"/>
    <w:rsid w:val="E5DF74E0"/>
    <w:rsid w:val="EBA738DD"/>
    <w:rsid w:val="EF769D61"/>
    <w:rsid w:val="EFB72422"/>
    <w:rsid w:val="EFEB1CF3"/>
    <w:rsid w:val="F5BE86B5"/>
    <w:rsid w:val="F5FF2B77"/>
    <w:rsid w:val="F61FD495"/>
    <w:rsid w:val="F6DB4E50"/>
    <w:rsid w:val="F7758CCF"/>
    <w:rsid w:val="F7FF1E3F"/>
    <w:rsid w:val="F8FFF437"/>
    <w:rsid w:val="FBF7DEBE"/>
    <w:rsid w:val="FCAF3FAA"/>
    <w:rsid w:val="FCF2E917"/>
    <w:rsid w:val="FDF1F081"/>
    <w:rsid w:val="FDFE5148"/>
    <w:rsid w:val="FEBBBC9B"/>
    <w:rsid w:val="FF5F16E3"/>
    <w:rsid w:val="FF7F0D02"/>
    <w:rsid w:val="FFAFC203"/>
    <w:rsid w:val="FFBBBF68"/>
    <w:rsid w:val="FFDFD93B"/>
    <w:rsid w:val="FFEBF938"/>
    <w:rsid w:val="FFEDCCC1"/>
    <w:rsid w:val="FFEFE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color w:val="FFFFFF"/>
      <w:w w:val="66"/>
      <w:kern w:val="44"/>
      <w:sz w:val="1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1764</Words>
  <Characters>1817</Characters>
  <Lines>0</Lines>
  <Paragraphs>0</Paragraphs>
  <TotalTime>0</TotalTime>
  <ScaleCrop>false</ScaleCrop>
  <LinksUpToDate>false</LinksUpToDate>
  <CharactersWithSpaces>1818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user</dc:creator>
  <cp:lastModifiedBy>苏佳敏</cp:lastModifiedBy>
  <cp:lastPrinted>2023-03-17T14:50:00Z</cp:lastPrinted>
  <dcterms:modified xsi:type="dcterms:W3CDTF">2026-04-07T11:09:32Z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7F1574C6F5704D42833964AECF97F1B1</vt:lpwstr>
  </property>
</Properties>
</file>