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方正小标宋简体" w:hAnsi="方正小标宋简体" w:eastAsia="方正小标宋简体" w:cs="方正小标宋简体"/>
          <w:color w:val="auto"/>
          <w:kern w:val="2"/>
          <w:sz w:val="44"/>
          <w:szCs w:val="44"/>
          <w:highlight w:val="none"/>
          <w:lang w:bidi="ar"/>
        </w:rPr>
      </w:pPr>
      <w:r>
        <w:rPr>
          <w:rFonts w:hint="eastAsia" w:ascii="方正小标宋简体" w:hAnsi="方正小标宋简体" w:eastAsia="方正小标宋简体" w:cs="方正小标宋简体"/>
          <w:color w:val="auto"/>
          <w:kern w:val="2"/>
          <w:sz w:val="44"/>
          <w:szCs w:val="44"/>
          <w:highlight w:val="none"/>
          <w:lang w:bidi="ar"/>
        </w:rPr>
        <w:t>智能驱动技术创新与产业化基地项目</w:t>
      </w:r>
    </w:p>
    <w:p>
      <w:pPr>
        <w:spacing w:line="560" w:lineRule="exact"/>
        <w:jc w:val="center"/>
        <w:outlineLvl w:val="0"/>
        <w:rPr>
          <w:rFonts w:hint="eastAsia" w:ascii="楷体_GB2312" w:hAnsi="楷体_GB2312" w:eastAsia="楷体_GB2312" w:cs="楷体_GB2312"/>
          <w:b w:val="0"/>
          <w:bCs w:val="0"/>
          <w:color w:val="auto"/>
          <w:sz w:val="32"/>
          <w:szCs w:val="32"/>
          <w:highlight w:val="none"/>
        </w:rPr>
      </w:pPr>
      <w:r>
        <w:rPr>
          <w:rFonts w:hint="eastAsia" w:ascii="方正小标宋简体" w:hAnsi="方正小标宋简体" w:eastAsia="方正小标宋简体" w:cs="方正小标宋简体"/>
          <w:color w:val="auto"/>
          <w:kern w:val="2"/>
          <w:sz w:val="44"/>
          <w:szCs w:val="44"/>
          <w:highlight w:val="none"/>
          <w:lang w:bidi="ar"/>
        </w:rPr>
        <w:t>遴选方案</w:t>
      </w:r>
    </w:p>
    <w:p>
      <w:pPr>
        <w:spacing w:line="560" w:lineRule="exact"/>
        <w:ind w:firstLine="880" w:firstLineChars="200"/>
        <w:rPr>
          <w:rFonts w:hint="eastAsia" w:ascii="宋体" w:hAnsi="宋体" w:cs="宋体"/>
          <w:color w:val="auto"/>
          <w:kern w:val="0"/>
          <w:sz w:val="44"/>
          <w:szCs w:val="44"/>
          <w:highlight w:val="none"/>
          <w:lang w:bidi="ar"/>
        </w:rPr>
      </w:pPr>
    </w:p>
    <w:p>
      <w:pPr>
        <w:spacing w:line="560" w:lineRule="exact"/>
        <w:ind w:firstLine="640" w:firstLineChars="200"/>
        <w:rPr>
          <w:rFonts w:ascii="仿宋_GB2312"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根据《《深圳市人民政府关于延长工业及其他产业用地供应管理办法有效期的通知》（深府规〔2025〕1号）、《深圳市工业及其他产业用地供应管理办法》（深府规〔2019〕4号，以下简称《管理办法》），</w:t>
      </w:r>
      <w:r>
        <w:rPr>
          <w:rFonts w:hint="eastAsia" w:ascii="仿宋_GB2312" w:eastAsia="仿宋_GB2312"/>
          <w:color w:val="auto"/>
          <w:sz w:val="32"/>
          <w:szCs w:val="32"/>
          <w:highlight w:val="none"/>
        </w:rPr>
        <w:t>为了增强深圳市高新技术产业核心竞争力，提升产业整体自主生产能力，结合深圳市及龙岗区产业发展布局规划，</w:t>
      </w:r>
      <w:r>
        <w:rPr>
          <w:rFonts w:hint="eastAsia" w:ascii="仿宋_GB2312" w:hAnsi="仿宋_GB2312" w:eastAsia="仿宋_GB2312" w:cs="仿宋_GB2312"/>
          <w:color w:val="auto"/>
          <w:kern w:val="0"/>
          <w:sz w:val="32"/>
          <w:szCs w:val="32"/>
          <w:highlight w:val="none"/>
        </w:rPr>
        <w:t>现就智能驱动技术创新与产业化基地项目</w:t>
      </w:r>
      <w:r>
        <w:rPr>
          <w:rFonts w:hint="eastAsia" w:ascii="仿宋_GB2312" w:eastAsia="仿宋_GB2312"/>
          <w:color w:val="auto"/>
          <w:sz w:val="32"/>
          <w:szCs w:val="32"/>
          <w:highlight w:val="none"/>
        </w:rPr>
        <w:t>（以下简称“本项目”）制定如下重点产业项目遴选方案：</w:t>
      </w:r>
    </w:p>
    <w:p>
      <w:pPr>
        <w:widowControl/>
        <w:tabs>
          <w:tab w:val="left" w:pos="7292"/>
        </w:tabs>
        <w:spacing w:line="560" w:lineRule="exact"/>
        <w:ind w:firstLine="640" w:firstLineChars="200"/>
        <w:outlineLvl w:val="0"/>
        <w:rPr>
          <w:rFonts w:hint="eastAsia" w:ascii="黑体" w:hAnsi="黑体" w:eastAsia="黑体" w:cs="黑体"/>
          <w:color w:val="auto"/>
          <w:kern w:val="0"/>
          <w:sz w:val="32"/>
          <w:szCs w:val="32"/>
          <w:highlight w:val="none"/>
          <w:lang w:bidi="ar"/>
        </w:rPr>
      </w:pPr>
      <w:r>
        <w:rPr>
          <w:rFonts w:hint="eastAsia" w:ascii="黑体" w:hAnsi="黑体" w:eastAsia="黑体" w:cs="黑体"/>
          <w:color w:val="auto"/>
          <w:kern w:val="0"/>
          <w:sz w:val="32"/>
          <w:szCs w:val="32"/>
          <w:highlight w:val="none"/>
          <w:lang w:bidi="ar"/>
        </w:rPr>
        <w:t>一、项目名称</w:t>
      </w:r>
    </w:p>
    <w:p>
      <w:pPr>
        <w:widowControl/>
        <w:tabs>
          <w:tab w:val="left" w:pos="7292"/>
        </w:tabs>
        <w:spacing w:line="560" w:lineRule="exact"/>
        <w:ind w:firstLine="640" w:firstLineChars="200"/>
        <w:rPr>
          <w:rFonts w:hint="eastAsia" w:ascii="黑体" w:hAnsi="黑体" w:eastAsia="黑体" w:cs="黑体"/>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智能驱动技术创新与产业化基地项目</w:t>
      </w:r>
    </w:p>
    <w:p>
      <w:pPr>
        <w:widowControl/>
        <w:tabs>
          <w:tab w:val="left" w:pos="7292"/>
        </w:tabs>
        <w:spacing w:line="560" w:lineRule="exact"/>
        <w:ind w:firstLine="640" w:firstLineChars="200"/>
        <w:outlineLvl w:val="0"/>
        <w:rPr>
          <w:rFonts w:hint="eastAsia" w:ascii="黑体" w:hAnsi="黑体" w:eastAsia="黑体" w:cs="黑体"/>
          <w:color w:val="auto"/>
          <w:kern w:val="0"/>
          <w:sz w:val="32"/>
          <w:szCs w:val="32"/>
          <w:highlight w:val="none"/>
          <w:lang w:bidi="ar"/>
        </w:rPr>
      </w:pPr>
      <w:r>
        <w:rPr>
          <w:rFonts w:hint="eastAsia" w:ascii="黑体" w:hAnsi="黑体" w:eastAsia="黑体" w:cs="黑体"/>
          <w:color w:val="auto"/>
          <w:kern w:val="0"/>
          <w:sz w:val="32"/>
          <w:szCs w:val="32"/>
          <w:highlight w:val="none"/>
          <w:lang w:bidi="ar"/>
        </w:rPr>
        <w:t>二、意向用地单位</w:t>
      </w:r>
    </w:p>
    <w:p>
      <w:pPr>
        <w:widowControl/>
        <w:tabs>
          <w:tab w:val="left" w:pos="7292"/>
        </w:tabs>
        <w:spacing w:line="560" w:lineRule="exact"/>
        <w:ind w:firstLine="640" w:firstLineChars="200"/>
        <w:rPr>
          <w:rFonts w:hint="eastAsia" w:ascii="黑体" w:hAnsi="黑体" w:eastAsia="黑体" w:cs="黑体"/>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深圳市正德智控股份有限公司</w:t>
      </w:r>
    </w:p>
    <w:p>
      <w:pPr>
        <w:widowControl/>
        <w:tabs>
          <w:tab w:val="left" w:pos="7292"/>
        </w:tabs>
        <w:spacing w:line="560" w:lineRule="exact"/>
        <w:ind w:firstLine="640" w:firstLineChars="200"/>
        <w:outlineLvl w:val="0"/>
        <w:rPr>
          <w:rFonts w:hint="eastAsia" w:ascii="黑体" w:hAnsi="黑体" w:eastAsia="黑体" w:cs="黑体"/>
          <w:color w:val="auto"/>
          <w:kern w:val="0"/>
          <w:sz w:val="32"/>
          <w:szCs w:val="32"/>
          <w:highlight w:val="none"/>
          <w:lang w:bidi="ar"/>
        </w:rPr>
      </w:pPr>
      <w:r>
        <w:rPr>
          <w:rFonts w:hint="eastAsia" w:ascii="黑体" w:hAnsi="黑体" w:eastAsia="黑体" w:cs="黑体"/>
          <w:color w:val="auto"/>
          <w:kern w:val="0"/>
          <w:sz w:val="32"/>
          <w:szCs w:val="32"/>
          <w:highlight w:val="none"/>
          <w:lang w:bidi="ar"/>
        </w:rPr>
        <w:t>三、项目可行性研究</w:t>
      </w:r>
    </w:p>
    <w:p>
      <w:pPr>
        <w:widowControl/>
        <w:tabs>
          <w:tab w:val="left" w:pos="7292"/>
        </w:tabs>
        <w:spacing w:line="560" w:lineRule="exact"/>
        <w:ind w:firstLine="640" w:firstLineChars="200"/>
        <w:outlineLvl w:val="1"/>
        <w:rPr>
          <w:rFonts w:hint="eastAsia" w:ascii="仿宋_GB2312" w:hAnsi="仿宋_GB2312" w:eastAsia="仿宋_GB2312" w:cs="仿宋_GB2312"/>
          <w:color w:val="auto"/>
          <w:kern w:val="0"/>
          <w:sz w:val="32"/>
          <w:szCs w:val="32"/>
          <w:highlight w:val="none"/>
          <w:lang w:bidi="ar"/>
        </w:rPr>
      </w:pPr>
      <w:r>
        <w:rPr>
          <w:rFonts w:hint="eastAsia" w:ascii="楷体_GB2312" w:hAnsi="楷体_GB2312" w:eastAsia="楷体_GB2312" w:cs="楷体_GB2312"/>
          <w:color w:val="auto"/>
          <w:kern w:val="0"/>
          <w:sz w:val="32"/>
          <w:szCs w:val="32"/>
          <w:highlight w:val="none"/>
          <w:lang w:bidi="ar"/>
        </w:rPr>
        <w:t>（一）必要性</w:t>
      </w:r>
    </w:p>
    <w:p>
      <w:pPr>
        <w:widowControl/>
        <w:tabs>
          <w:tab w:val="left" w:pos="7292"/>
        </w:tabs>
        <w:spacing w:line="560" w:lineRule="exact"/>
        <w:ind w:firstLine="640" w:firstLineChars="20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为响应国家“双碳”战略与智能制造升级需求，顺应全球电机产业向高效、绿色、智能化转型及新能源汽车、人形机器人等新兴市场爆发的趋势，龙岗区正着力打造以关节模组等核心部件为突破口的人形机器人产业高地。在此背景下，以正德智控为代表的专精特新企业，为突破现有空间与产能制约，亟需建设新型</w:t>
      </w:r>
      <w:r>
        <w:rPr>
          <w:rFonts w:hint="default" w:ascii="仿宋_GB2312" w:hAnsi="仿宋_GB2312" w:eastAsia="仿宋_GB2312" w:cs="仿宋_GB2312"/>
          <w:color w:val="auto"/>
          <w:kern w:val="0"/>
          <w:sz w:val="32"/>
          <w:szCs w:val="32"/>
          <w:highlight w:val="none"/>
          <w:lang w:bidi="ar"/>
        </w:rPr>
        <w:t>办公</w:t>
      </w:r>
      <w:r>
        <w:rPr>
          <w:rFonts w:hint="eastAsia" w:ascii="仿宋_GB2312" w:hAnsi="仿宋_GB2312" w:eastAsia="仿宋_GB2312" w:cs="仿宋_GB2312"/>
          <w:color w:val="auto"/>
          <w:kern w:val="0"/>
          <w:sz w:val="32"/>
          <w:szCs w:val="32"/>
          <w:highlight w:val="none"/>
          <w:lang w:bidi="ar"/>
        </w:rPr>
        <w:t>生产</w:t>
      </w:r>
      <w:r>
        <w:rPr>
          <w:rFonts w:hint="default" w:ascii="仿宋_GB2312" w:hAnsi="仿宋_GB2312" w:eastAsia="仿宋_GB2312" w:cs="仿宋_GB2312"/>
          <w:color w:val="auto"/>
          <w:kern w:val="0"/>
          <w:sz w:val="32"/>
          <w:szCs w:val="32"/>
          <w:highlight w:val="none"/>
          <w:lang w:bidi="ar"/>
        </w:rPr>
        <w:t>智能制造</w:t>
      </w:r>
      <w:r>
        <w:rPr>
          <w:rFonts w:hint="eastAsia" w:ascii="仿宋_GB2312" w:hAnsi="仿宋_GB2312" w:eastAsia="仿宋_GB2312" w:cs="仿宋_GB2312"/>
          <w:color w:val="auto"/>
          <w:kern w:val="0"/>
          <w:sz w:val="32"/>
          <w:szCs w:val="32"/>
          <w:highlight w:val="none"/>
          <w:lang w:bidi="ar"/>
        </w:rPr>
        <w:t>基地，以落实智能驱动业务布局、抢占产业升级战略机遇。此举不仅有助于企业实现技术自主与规模扩张，更将强化区域产业链协同，为支撑国家能源转型、高端装备自主可控及区域经济高质量发展提供关键动力。</w:t>
      </w:r>
    </w:p>
    <w:p>
      <w:pPr>
        <w:widowControl/>
        <w:spacing w:afterLines="0" w:line="560" w:lineRule="exact"/>
        <w:ind w:firstLine="640" w:firstLineChars="200"/>
        <w:jc w:val="left"/>
        <w:outlineLvl w:val="1"/>
        <w:rPr>
          <w:rFonts w:hint="eastAsia" w:ascii="楷体_GB2312" w:hAnsi="楷体_GB2312" w:eastAsia="楷体_GB2312" w:cs="楷体_GB2312"/>
          <w:color w:val="auto"/>
          <w:kern w:val="0"/>
          <w:sz w:val="32"/>
          <w:szCs w:val="32"/>
          <w:highlight w:val="none"/>
          <w:lang w:bidi="ar"/>
        </w:rPr>
      </w:pPr>
      <w:r>
        <w:rPr>
          <w:rFonts w:hint="eastAsia" w:ascii="楷体_GB2312" w:hAnsi="楷体_GB2312" w:eastAsia="楷体_GB2312" w:cs="楷体_GB2312"/>
          <w:color w:val="auto"/>
          <w:kern w:val="0"/>
          <w:sz w:val="32"/>
          <w:szCs w:val="32"/>
          <w:highlight w:val="none"/>
          <w:lang w:bidi="ar"/>
        </w:rPr>
        <w:t>（二）可行性</w:t>
      </w:r>
    </w:p>
    <w:p>
      <w:pPr>
        <w:spacing w:line="560" w:lineRule="exact"/>
        <w:ind w:firstLine="640" w:firstLineChars="200"/>
        <w:rPr>
          <w:rFonts w:hint="eastAsia" w:ascii="楷体_GB2312" w:hAnsi="楷体_GB2312" w:eastAsia="楷体_GB2312" w:cs="楷体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本项目在政策、市场、技术及管理层面均具备充分可行性：政策上紧密契合国家“双碳”、智能制造等战略，属于多部委重点鼓励的高端装备与关键零部件领域；市场上，新能源汽车、机器人等领域高端电机需求爆发，公司已绑定多家行业头部客户，订单基础扎实，产能消化路径清晰；技术上，公司深耕高性能微特电机与系统集成，在扭矩密度、动态响应等核心指标上达到国际先进水平，并构建了完备的专利与标准体系；管理上，公司拥有成熟稳定的核心团队与规范高效的治理体系，具备成功实施重大产业化项目的综合能力。综上，项目各方面条件成熟，实施风险可控。</w:t>
      </w:r>
    </w:p>
    <w:p>
      <w:pPr>
        <w:spacing w:line="560" w:lineRule="exact"/>
        <w:ind w:firstLine="640" w:firstLineChars="200"/>
        <w:outlineLvl w:val="1"/>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color w:val="auto"/>
          <w:kern w:val="0"/>
          <w:sz w:val="32"/>
          <w:szCs w:val="32"/>
          <w:highlight w:val="none"/>
          <w:lang w:bidi="ar"/>
        </w:rPr>
        <w:t>（三）</w:t>
      </w:r>
      <w:r>
        <w:rPr>
          <w:rFonts w:hint="eastAsia" w:ascii="楷体_GB2312" w:hAnsi="楷体_GB2312" w:eastAsia="楷体_GB2312" w:cs="楷体_GB2312"/>
          <w:bCs/>
          <w:color w:val="auto"/>
          <w:sz w:val="32"/>
          <w:szCs w:val="32"/>
          <w:highlight w:val="none"/>
        </w:rPr>
        <w:t>建设内容及初步建设规模</w:t>
      </w:r>
    </w:p>
    <w:p>
      <w:pPr>
        <w:widowControl/>
        <w:tabs>
          <w:tab w:val="left" w:pos="7292"/>
        </w:tabs>
        <w:spacing w:line="560" w:lineRule="exact"/>
        <w:ind w:firstLine="640" w:firstLineChars="20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本项目位于深圳市龙岗区坪地街道</w:t>
      </w:r>
      <w:r>
        <w:rPr>
          <w:rFonts w:ascii="仿宋_GB2312" w:hAnsi="仿宋_GB2312" w:eastAsia="仿宋_GB2312" w:cs="仿宋_GB2312"/>
          <w:color w:val="auto"/>
          <w:kern w:val="0"/>
          <w:sz w:val="32"/>
          <w:szCs w:val="32"/>
          <w:highlight w:val="none"/>
          <w:lang w:bidi="ar"/>
        </w:rPr>
        <w:t>内</w:t>
      </w:r>
      <w:r>
        <w:rPr>
          <w:rFonts w:hint="eastAsia" w:ascii="仿宋_GB2312" w:hAnsi="仿宋_GB2312" w:eastAsia="仿宋_GB2312" w:cs="仿宋_GB2312"/>
          <w:color w:val="auto"/>
          <w:kern w:val="0"/>
          <w:sz w:val="32"/>
          <w:szCs w:val="32"/>
          <w:highlight w:val="none"/>
          <w:lang w:bidi="ar"/>
        </w:rPr>
        <w:t>，拟规划建设智能制造产线、厂房办公综合楼及配套设施，打造集约化、智能化产业园区。</w:t>
      </w:r>
      <w:r>
        <w:rPr>
          <w:rFonts w:ascii="仿宋_GB2312" w:hAnsi="仿宋_GB2312" w:eastAsia="仿宋_GB2312" w:cs="仿宋_GB2312"/>
          <w:color w:val="auto"/>
          <w:kern w:val="0"/>
          <w:sz w:val="32"/>
          <w:szCs w:val="32"/>
          <w:highlight w:val="none"/>
          <w:lang w:bidi="ar"/>
        </w:rPr>
        <w:t>项目总用地面积</w:t>
      </w:r>
      <w:r>
        <w:rPr>
          <w:rFonts w:hint="eastAsia" w:ascii="仿宋_GB2312" w:hAnsi="仿宋_GB2312" w:eastAsia="仿宋_GB2312" w:cs="仿宋_GB2312"/>
          <w:color w:val="auto"/>
          <w:kern w:val="0"/>
          <w:sz w:val="32"/>
          <w:szCs w:val="32"/>
          <w:highlight w:val="none"/>
          <w:lang w:bidi="ar"/>
        </w:rPr>
        <w:t>2万平方米，总建筑面积6</w:t>
      </w:r>
      <w:r>
        <w:rPr>
          <w:rFonts w:hint="default" w:ascii="仿宋_GB2312" w:hAnsi="仿宋_GB2312" w:eastAsia="仿宋_GB2312" w:cs="仿宋_GB2312"/>
          <w:color w:val="auto"/>
          <w:kern w:val="0"/>
          <w:sz w:val="32"/>
          <w:szCs w:val="32"/>
          <w:highlight w:val="none"/>
          <w:lang w:bidi="ar"/>
        </w:rPr>
        <w:t>.1</w:t>
      </w:r>
      <w:r>
        <w:rPr>
          <w:rFonts w:hint="eastAsia" w:ascii="仿宋_GB2312" w:hAnsi="仿宋_GB2312" w:eastAsia="仿宋_GB2312" w:cs="仿宋_GB2312"/>
          <w:color w:val="auto"/>
          <w:kern w:val="0"/>
          <w:sz w:val="32"/>
          <w:szCs w:val="32"/>
          <w:highlight w:val="none"/>
          <w:lang w:bidi="ar"/>
        </w:rPr>
        <w:t>万平方米（含地上厂房、办公综合楼及配套设施等</w:t>
      </w:r>
      <w:r>
        <w:rPr>
          <w:rFonts w:ascii="仿宋_GB2312" w:hAnsi="仿宋_GB2312" w:eastAsia="仿宋_GB2312" w:cs="仿宋_GB2312"/>
          <w:color w:val="auto"/>
          <w:kern w:val="0"/>
          <w:sz w:val="32"/>
          <w:szCs w:val="32"/>
          <w:highlight w:val="none"/>
          <w:lang w:bidi="ar"/>
        </w:rPr>
        <w:t>，</w:t>
      </w:r>
      <w:r>
        <w:rPr>
          <w:rFonts w:hint="eastAsia" w:ascii="仿宋_GB2312" w:hAnsi="仿宋_GB2312" w:eastAsia="仿宋_GB2312" w:cs="仿宋_GB2312"/>
          <w:color w:val="auto"/>
          <w:kern w:val="0"/>
          <w:sz w:val="32"/>
          <w:szCs w:val="32"/>
          <w:highlight w:val="none"/>
          <w:lang w:bidi="ar"/>
        </w:rPr>
        <w:t>最终以土地使用权出让合同书为准）</w:t>
      </w:r>
      <w:r>
        <w:rPr>
          <w:rFonts w:ascii="仿宋_GB2312" w:hAnsi="仿宋_GB2312" w:eastAsia="仿宋_GB2312" w:cs="仿宋_GB2312"/>
          <w:color w:val="auto"/>
          <w:kern w:val="0"/>
          <w:sz w:val="32"/>
          <w:szCs w:val="32"/>
          <w:highlight w:val="none"/>
          <w:lang w:bidi="ar"/>
        </w:rPr>
        <w:t>，</w:t>
      </w:r>
      <w:r>
        <w:rPr>
          <w:rFonts w:hint="default" w:ascii="仿宋_GB2312" w:hAnsi="仿宋_GB2312" w:eastAsia="仿宋_GB2312" w:cs="仿宋_GB2312"/>
          <w:color w:val="auto"/>
          <w:kern w:val="0"/>
          <w:sz w:val="32"/>
          <w:szCs w:val="32"/>
          <w:highlight w:val="none"/>
          <w:lang w:bidi="ar"/>
        </w:rPr>
        <w:t>其中</w:t>
      </w:r>
      <w:r>
        <w:rPr>
          <w:rFonts w:hint="eastAsia" w:ascii="仿宋_GB2312" w:hAnsi="仿宋_GB2312" w:eastAsia="仿宋_GB2312" w:cs="仿宋_GB2312"/>
          <w:color w:val="auto"/>
          <w:kern w:val="0"/>
          <w:sz w:val="32"/>
          <w:szCs w:val="32"/>
          <w:highlight w:val="none"/>
          <w:lang w:bidi="ar"/>
        </w:rPr>
        <w:t>主导用途的建筑面积不宜低于总建筑面积的70%。</w:t>
      </w:r>
    </w:p>
    <w:p>
      <w:pPr>
        <w:widowControl/>
        <w:tabs>
          <w:tab w:val="left" w:pos="7292"/>
        </w:tabs>
        <w:spacing w:line="560" w:lineRule="exact"/>
        <w:ind w:firstLine="640" w:firstLineChars="200"/>
        <w:outlineLvl w:val="0"/>
        <w:rPr>
          <w:rFonts w:hint="eastAsia" w:ascii="黑体" w:hAnsi="黑体" w:eastAsia="黑体" w:cs="黑体"/>
          <w:color w:val="auto"/>
          <w:kern w:val="0"/>
          <w:sz w:val="32"/>
          <w:szCs w:val="32"/>
          <w:highlight w:val="none"/>
          <w:lang w:bidi="ar"/>
        </w:rPr>
      </w:pPr>
      <w:r>
        <w:rPr>
          <w:rFonts w:hint="eastAsia" w:ascii="黑体" w:hAnsi="黑体" w:eastAsia="黑体" w:cs="黑体"/>
          <w:color w:val="auto"/>
          <w:kern w:val="0"/>
          <w:sz w:val="32"/>
          <w:szCs w:val="32"/>
          <w:highlight w:val="none"/>
          <w:lang w:bidi="ar"/>
        </w:rPr>
        <w:t>四、产业类型及要求</w:t>
      </w:r>
    </w:p>
    <w:p>
      <w:pPr>
        <w:widowControl/>
        <w:tabs>
          <w:tab w:val="left" w:pos="7292"/>
        </w:tabs>
        <w:spacing w:line="560" w:lineRule="exact"/>
        <w:ind w:firstLine="640" w:firstLineChars="200"/>
        <w:rPr>
          <w:color w:val="auto"/>
          <w:highlight w:val="none"/>
        </w:rPr>
      </w:pPr>
      <w:r>
        <w:rPr>
          <w:rFonts w:hint="eastAsia" w:ascii="楷体_GB2312" w:hAnsi="楷体_GB2312" w:eastAsia="楷体_GB2312" w:cs="楷体_GB2312"/>
          <w:color w:val="auto"/>
          <w:kern w:val="0"/>
          <w:sz w:val="32"/>
          <w:szCs w:val="32"/>
          <w:highlight w:val="none"/>
          <w:lang w:bidi="ar"/>
        </w:rPr>
        <w:t>（一）产业类型：</w:t>
      </w:r>
      <w:r>
        <w:rPr>
          <w:rFonts w:hint="eastAsia" w:ascii="仿宋_GB2312" w:eastAsia="仿宋_GB2312"/>
          <w:bCs/>
          <w:color w:val="auto"/>
          <w:sz w:val="32"/>
          <w:szCs w:val="32"/>
          <w:highlight w:val="none"/>
        </w:rPr>
        <w:t>竞买申请人的产业类别为《产业结构调整指导目录（2024年本）》（中华人民共和国国家发展和改革委员会令第7号）中鼓励类第四十七条“智能制造”的第1项“机器人及集成系统</w:t>
      </w:r>
      <w:r>
        <w:rPr>
          <w:rFonts w:hint="default" w:ascii="仿宋_GB2312" w:eastAsia="仿宋_GB2312"/>
          <w:bCs/>
          <w:color w:val="auto"/>
          <w:sz w:val="32"/>
          <w:szCs w:val="32"/>
          <w:highlight w:val="none"/>
        </w:rPr>
        <w:t>产业</w:t>
      </w:r>
      <w:r>
        <w:rPr>
          <w:rFonts w:hint="eastAsia" w:ascii="仿宋_GB2312" w:eastAsia="仿宋_GB2312"/>
          <w:bCs/>
          <w:color w:val="auto"/>
          <w:sz w:val="32"/>
          <w:szCs w:val="32"/>
          <w:highlight w:val="none"/>
        </w:rPr>
        <w:t>”。</w:t>
      </w:r>
    </w:p>
    <w:p>
      <w:pPr>
        <w:widowControl/>
        <w:tabs>
          <w:tab w:val="left" w:pos="7292"/>
        </w:tabs>
        <w:spacing w:line="560" w:lineRule="exact"/>
        <w:ind w:firstLine="640" w:firstLineChars="200"/>
        <w:rPr>
          <w:rFonts w:hint="eastAsia" w:ascii="仿宋_GB2312" w:hAnsi="仿宋_GB2312" w:eastAsia="仿宋_GB2312" w:cs="仿宋_GB2312"/>
          <w:color w:val="auto"/>
          <w:kern w:val="0"/>
          <w:sz w:val="32"/>
          <w:szCs w:val="32"/>
          <w:highlight w:val="none"/>
          <w:lang w:bidi="ar"/>
        </w:rPr>
      </w:pPr>
      <w:r>
        <w:rPr>
          <w:rFonts w:hint="eastAsia" w:ascii="楷体_GB2312" w:hAnsi="楷体_GB2312" w:eastAsia="楷体_GB2312" w:cs="楷体_GB2312"/>
          <w:color w:val="auto"/>
          <w:kern w:val="0"/>
          <w:sz w:val="32"/>
          <w:szCs w:val="32"/>
          <w:highlight w:val="none"/>
          <w:lang w:bidi="ar"/>
        </w:rPr>
        <w:t>（二）生产技术：</w:t>
      </w:r>
      <w:r>
        <w:rPr>
          <w:rFonts w:hint="eastAsia" w:ascii="仿宋_GB2312" w:hAnsi="仿宋_GB2312" w:eastAsia="仿宋_GB2312" w:cs="仿宋_GB2312"/>
          <w:bCs/>
          <w:color w:val="auto"/>
          <w:sz w:val="32"/>
          <w:szCs w:val="32"/>
          <w:highlight w:val="none"/>
        </w:rPr>
        <w:t>竞买申请人</w:t>
      </w:r>
      <w:r>
        <w:rPr>
          <w:rFonts w:hint="eastAsia" w:ascii="仿宋_GB2312" w:eastAsia="仿宋_GB2312"/>
          <w:bCs/>
          <w:color w:val="auto"/>
          <w:sz w:val="32"/>
          <w:szCs w:val="32"/>
          <w:highlight w:val="none"/>
        </w:rPr>
        <w:t>已获得授权专利数量大于14</w:t>
      </w:r>
      <w:r>
        <w:rPr>
          <w:rFonts w:hint="eastAsia" w:ascii="仿宋_GB2312" w:eastAsia="仿宋_GB2312"/>
          <w:bCs/>
          <w:color w:val="auto"/>
          <w:sz w:val="32"/>
          <w:szCs w:val="32"/>
          <w:highlight w:val="none"/>
          <w:lang w:val="en-US" w:eastAsia="zh-CN"/>
        </w:rPr>
        <w:t>0</w:t>
      </w:r>
      <w:r>
        <w:rPr>
          <w:rFonts w:hint="eastAsia" w:ascii="仿宋_GB2312" w:eastAsia="仿宋_GB2312"/>
          <w:bCs/>
          <w:color w:val="auto"/>
          <w:sz w:val="32"/>
          <w:szCs w:val="32"/>
          <w:highlight w:val="none"/>
        </w:rPr>
        <w:t>项，其中发明专利大于1</w:t>
      </w:r>
      <w:r>
        <w:rPr>
          <w:rFonts w:hint="eastAsia" w:ascii="仿宋_GB2312" w:eastAsia="仿宋_GB2312"/>
          <w:bCs/>
          <w:color w:val="auto"/>
          <w:sz w:val="32"/>
          <w:szCs w:val="32"/>
          <w:highlight w:val="none"/>
          <w:lang w:val="en-US" w:eastAsia="zh-CN"/>
        </w:rPr>
        <w:t>5</w:t>
      </w:r>
      <w:r>
        <w:rPr>
          <w:rFonts w:hint="eastAsia" w:ascii="仿宋_GB2312" w:eastAsia="仿宋_GB2312"/>
          <w:bCs/>
          <w:color w:val="auto"/>
          <w:sz w:val="32"/>
          <w:szCs w:val="32"/>
          <w:highlight w:val="none"/>
        </w:rPr>
        <w:t>项</w:t>
      </w:r>
      <w:r>
        <w:rPr>
          <w:rFonts w:hint="eastAsia" w:ascii="仿宋_GB2312" w:eastAsia="仿宋_GB2312"/>
          <w:bCs/>
          <w:color w:val="auto"/>
          <w:sz w:val="32"/>
          <w:szCs w:val="32"/>
          <w:highlight w:val="none"/>
          <w:lang w:eastAsia="zh-CN"/>
        </w:rPr>
        <w:t>；</w:t>
      </w:r>
      <w:r>
        <w:rPr>
          <w:rFonts w:hint="default" w:ascii="仿宋_GB2312" w:eastAsia="仿宋_GB2312"/>
          <w:bCs/>
          <w:color w:val="auto"/>
          <w:sz w:val="32"/>
          <w:szCs w:val="32"/>
          <w:highlight w:val="none"/>
        </w:rPr>
        <w:t>参与起草制修订国家标准</w:t>
      </w:r>
      <w:r>
        <w:rPr>
          <w:rFonts w:hint="eastAsia" w:ascii="仿宋_GB2312" w:eastAsia="仿宋_GB2312"/>
          <w:bCs/>
          <w:color w:val="auto"/>
          <w:sz w:val="32"/>
          <w:szCs w:val="32"/>
          <w:highlight w:val="none"/>
          <w:lang w:eastAsia="zh-CN"/>
        </w:rPr>
        <w:t>不低于</w:t>
      </w:r>
      <w:bookmarkStart w:id="2" w:name="_GoBack"/>
      <w:bookmarkEnd w:id="2"/>
      <w:r>
        <w:rPr>
          <w:rFonts w:hint="default" w:ascii="仿宋_GB2312" w:eastAsia="仿宋_GB2312"/>
          <w:bCs/>
          <w:color w:val="auto"/>
          <w:sz w:val="32"/>
          <w:szCs w:val="32"/>
          <w:highlight w:val="none"/>
        </w:rPr>
        <w:t>1</w:t>
      </w:r>
      <w:r>
        <w:rPr>
          <w:rFonts w:hint="eastAsia" w:ascii="仿宋_GB2312" w:eastAsia="仿宋_GB2312"/>
          <w:bCs/>
          <w:color w:val="auto"/>
          <w:sz w:val="32"/>
          <w:szCs w:val="32"/>
          <w:highlight w:val="none"/>
          <w:lang w:val="en-US" w:eastAsia="zh-CN"/>
        </w:rPr>
        <w:t>0</w:t>
      </w:r>
      <w:r>
        <w:rPr>
          <w:rFonts w:hint="default" w:ascii="仿宋_GB2312" w:eastAsia="仿宋_GB2312"/>
          <w:bCs/>
          <w:color w:val="auto"/>
          <w:sz w:val="32"/>
          <w:szCs w:val="32"/>
          <w:highlight w:val="none"/>
        </w:rPr>
        <w:t>项</w:t>
      </w:r>
      <w:r>
        <w:rPr>
          <w:rFonts w:hint="eastAsia" w:ascii="仿宋_GB2312" w:eastAsia="仿宋_GB2312"/>
          <w:bCs/>
          <w:color w:val="auto"/>
          <w:sz w:val="32"/>
          <w:szCs w:val="32"/>
          <w:highlight w:val="none"/>
        </w:rPr>
        <w:t>。</w:t>
      </w:r>
    </w:p>
    <w:p>
      <w:pPr>
        <w:widowControl/>
        <w:tabs>
          <w:tab w:val="left" w:pos="7292"/>
        </w:tabs>
        <w:spacing w:line="560" w:lineRule="exact"/>
        <w:ind w:firstLine="640" w:firstLineChars="200"/>
        <w:rPr>
          <w:rFonts w:ascii="仿宋_GB2312" w:eastAsia="仿宋_GB2312"/>
          <w:bCs/>
          <w:color w:val="auto"/>
          <w:sz w:val="32"/>
          <w:szCs w:val="32"/>
          <w:highlight w:val="none"/>
        </w:rPr>
      </w:pPr>
      <w:r>
        <w:rPr>
          <w:rFonts w:hint="eastAsia" w:ascii="楷体_GB2312" w:hAnsi="楷体_GB2312" w:eastAsia="楷体_GB2312" w:cs="楷体_GB2312"/>
          <w:color w:val="auto"/>
          <w:kern w:val="0"/>
          <w:sz w:val="32"/>
          <w:szCs w:val="32"/>
          <w:highlight w:val="none"/>
          <w:lang w:bidi="ar"/>
        </w:rPr>
        <w:t>（三）</w:t>
      </w:r>
      <w:bookmarkStart w:id="0" w:name="OLE_LINK1"/>
      <w:r>
        <w:rPr>
          <w:rFonts w:hint="eastAsia" w:ascii="楷体_GB2312" w:hAnsi="楷体_GB2312" w:eastAsia="楷体_GB2312" w:cs="楷体_GB2312"/>
          <w:color w:val="auto"/>
          <w:kern w:val="0"/>
          <w:sz w:val="32"/>
          <w:szCs w:val="32"/>
          <w:highlight w:val="none"/>
          <w:lang w:bidi="ar"/>
        </w:rPr>
        <w:t>产业标准</w:t>
      </w:r>
      <w:bookmarkEnd w:id="0"/>
      <w:r>
        <w:rPr>
          <w:rFonts w:hint="eastAsia" w:ascii="仿宋_GB2312" w:eastAsia="仿宋_GB2312"/>
          <w:bCs/>
          <w:color w:val="auto"/>
          <w:sz w:val="32"/>
          <w:szCs w:val="32"/>
          <w:highlight w:val="none"/>
        </w:rPr>
        <w:t>：</w:t>
      </w:r>
    </w:p>
    <w:p>
      <w:pPr>
        <w:widowControl/>
        <w:tabs>
          <w:tab w:val="left" w:pos="7292"/>
        </w:tabs>
        <w:spacing w:line="560" w:lineRule="exact"/>
        <w:ind w:firstLine="640" w:firstLineChars="200"/>
        <w:rPr>
          <w:rFonts w:hint="eastAsia" w:ascii="楷体_GB2312" w:hAnsi="楷体_GB2312" w:eastAsia="楷体_GB2312" w:cs="楷体_GB2312"/>
          <w:b/>
          <w:bCs/>
          <w:color w:val="auto"/>
          <w:kern w:val="0"/>
          <w:highlight w:val="none"/>
          <w:lang w:bidi="ar"/>
        </w:rPr>
      </w:pPr>
      <w:r>
        <w:rPr>
          <w:rFonts w:hint="eastAsia" w:ascii="仿宋_GB2312" w:eastAsia="仿宋_GB2312"/>
          <w:bCs/>
          <w:color w:val="auto"/>
          <w:sz w:val="32"/>
          <w:szCs w:val="32"/>
          <w:highlight w:val="none"/>
        </w:rPr>
        <w:t>竞买申请人</w:t>
      </w:r>
      <w:r>
        <w:rPr>
          <w:rFonts w:hint="eastAsia" w:ascii="仿宋_GB2312" w:eastAsia="仿宋_GB2312"/>
          <w:bCs/>
          <w:color w:val="auto"/>
          <w:sz w:val="32"/>
          <w:szCs w:val="32"/>
          <w:highlight w:val="none"/>
          <w:lang w:val="en-US" w:eastAsia="zh-CN"/>
        </w:rPr>
        <w:t>符合</w:t>
      </w:r>
      <w:r>
        <w:rPr>
          <w:rFonts w:ascii="仿宋_GB2312" w:eastAsia="仿宋_GB2312"/>
          <w:bCs/>
          <w:color w:val="auto"/>
          <w:sz w:val="32"/>
          <w:szCs w:val="32"/>
          <w:highlight w:val="none"/>
        </w:rPr>
        <w:t>基础通用质量管理</w:t>
      </w:r>
      <w:r>
        <w:rPr>
          <w:rFonts w:hint="eastAsia" w:ascii="仿宋_GB2312" w:eastAsia="仿宋_GB2312"/>
          <w:bCs/>
          <w:color w:val="auto"/>
          <w:sz w:val="32"/>
          <w:szCs w:val="32"/>
          <w:highlight w:val="none"/>
        </w:rPr>
        <w:t>及环境</w:t>
      </w:r>
      <w:r>
        <w:rPr>
          <w:rFonts w:ascii="仿宋_GB2312" w:eastAsia="仿宋_GB2312"/>
          <w:bCs/>
          <w:color w:val="auto"/>
          <w:sz w:val="32"/>
          <w:szCs w:val="32"/>
          <w:highlight w:val="none"/>
        </w:rPr>
        <w:t>体系标准</w:t>
      </w:r>
      <w:r>
        <w:rPr>
          <w:rFonts w:hint="eastAsia" w:ascii="仿宋_GB2312" w:eastAsia="仿宋_GB2312"/>
          <w:bCs/>
          <w:color w:val="auto"/>
          <w:sz w:val="32"/>
          <w:szCs w:val="32"/>
          <w:highlight w:val="none"/>
        </w:rPr>
        <w:t>：ISO 9001、IATF 16949质量控制体系，ISO</w:t>
      </w:r>
      <w:r>
        <w:rPr>
          <w:rFonts w:hint="default" w:ascii="仿宋_GB2312" w:eastAsia="仿宋_GB2312"/>
          <w:bCs/>
          <w:color w:val="auto"/>
          <w:sz w:val="32"/>
          <w:szCs w:val="32"/>
          <w:highlight w:val="none"/>
        </w:rPr>
        <w:t xml:space="preserve"> </w:t>
      </w:r>
      <w:r>
        <w:rPr>
          <w:rFonts w:hint="eastAsia" w:ascii="仿宋_GB2312" w:eastAsia="仿宋_GB2312"/>
          <w:bCs/>
          <w:color w:val="auto"/>
          <w:sz w:val="32"/>
          <w:szCs w:val="32"/>
          <w:highlight w:val="none"/>
        </w:rPr>
        <w:t>14001环境管理体系标准。</w:t>
      </w:r>
    </w:p>
    <w:p>
      <w:pPr>
        <w:widowControl/>
        <w:tabs>
          <w:tab w:val="left" w:pos="7292"/>
        </w:tabs>
        <w:spacing w:line="560" w:lineRule="exact"/>
        <w:ind w:firstLine="640" w:firstLineChars="200"/>
        <w:rPr>
          <w:rFonts w:ascii="仿宋_GB2312" w:eastAsia="仿宋_GB2312"/>
          <w:bCs/>
          <w:color w:val="auto"/>
          <w:sz w:val="32"/>
          <w:szCs w:val="32"/>
          <w:highlight w:val="none"/>
        </w:rPr>
      </w:pPr>
      <w:r>
        <w:rPr>
          <w:rFonts w:hint="eastAsia" w:ascii="仿宋_GB2312" w:eastAsia="仿宋_GB2312"/>
          <w:bCs/>
          <w:color w:val="auto"/>
          <w:sz w:val="32"/>
          <w:szCs w:val="32"/>
          <w:highlight w:val="none"/>
        </w:rPr>
        <w:t>竞买申请人</w:t>
      </w:r>
      <w:r>
        <w:rPr>
          <w:rFonts w:hint="eastAsia" w:ascii="仿宋_GB2312" w:eastAsia="仿宋_GB2312"/>
          <w:bCs/>
          <w:color w:val="auto"/>
          <w:sz w:val="32"/>
          <w:szCs w:val="32"/>
          <w:highlight w:val="none"/>
          <w:lang w:val="en-US" w:eastAsia="zh-CN"/>
        </w:rPr>
        <w:t>符合</w:t>
      </w:r>
      <w:r>
        <w:rPr>
          <w:rFonts w:ascii="仿宋_GB2312" w:eastAsia="仿宋_GB2312"/>
          <w:bCs/>
          <w:color w:val="auto"/>
          <w:sz w:val="32"/>
          <w:szCs w:val="32"/>
          <w:highlight w:val="none"/>
        </w:rPr>
        <w:t>产品安全与性能标准</w:t>
      </w:r>
      <w:r>
        <w:rPr>
          <w:rFonts w:hint="eastAsia" w:ascii="仿宋_GB2312" w:eastAsia="仿宋_GB2312"/>
          <w:bCs/>
          <w:color w:val="auto"/>
          <w:sz w:val="32"/>
          <w:szCs w:val="32"/>
          <w:highlight w:val="none"/>
        </w:rPr>
        <w:t>:</w:t>
      </w:r>
      <w:r>
        <w:rPr>
          <w:rFonts w:ascii="仿宋_GB2312" w:eastAsia="仿宋_GB2312"/>
          <w:bCs/>
          <w:color w:val="auto"/>
          <w:sz w:val="32"/>
          <w:szCs w:val="32"/>
          <w:highlight w:val="none"/>
        </w:rPr>
        <w:t>IEC/EN 60335-1（家用及类似用途电器安全）</w:t>
      </w:r>
    </w:p>
    <w:p>
      <w:pPr>
        <w:widowControl/>
        <w:tabs>
          <w:tab w:val="left" w:pos="7292"/>
        </w:tabs>
        <w:spacing w:line="56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竞买申请人</w:t>
      </w:r>
      <w:r>
        <w:rPr>
          <w:rFonts w:hint="eastAsia" w:ascii="仿宋_GB2312" w:eastAsia="仿宋_GB2312"/>
          <w:bCs/>
          <w:color w:val="auto"/>
          <w:sz w:val="32"/>
          <w:szCs w:val="32"/>
          <w:highlight w:val="none"/>
          <w:lang w:val="en-US" w:eastAsia="zh-CN"/>
        </w:rPr>
        <w:t>符合</w:t>
      </w:r>
      <w:r>
        <w:rPr>
          <w:rFonts w:ascii="仿宋_GB2312" w:eastAsia="仿宋_GB2312"/>
          <w:bCs/>
          <w:color w:val="auto"/>
          <w:sz w:val="32"/>
          <w:szCs w:val="32"/>
          <w:highlight w:val="none"/>
        </w:rPr>
        <w:t>能效与生态设计</w:t>
      </w:r>
      <w:r>
        <w:rPr>
          <w:rFonts w:hint="eastAsia" w:ascii="仿宋_GB2312" w:eastAsia="仿宋_GB2312"/>
          <w:bCs/>
          <w:color w:val="auto"/>
          <w:sz w:val="32"/>
          <w:szCs w:val="32"/>
          <w:highlight w:val="none"/>
        </w:rPr>
        <w:t>标准：</w:t>
      </w:r>
      <w:r>
        <w:rPr>
          <w:rFonts w:ascii="仿宋_GB2312" w:eastAsia="仿宋_GB2312"/>
          <w:bCs/>
          <w:color w:val="auto"/>
          <w:sz w:val="32"/>
          <w:szCs w:val="32"/>
          <w:highlight w:val="none"/>
        </w:rPr>
        <w:t>IEC 60034-30-1（电机能效等级IE代码）</w:t>
      </w:r>
    </w:p>
    <w:p>
      <w:pPr>
        <w:widowControl/>
        <w:tabs>
          <w:tab w:val="left" w:pos="7292"/>
        </w:tabs>
        <w:spacing w:line="560" w:lineRule="exact"/>
        <w:ind w:firstLine="640" w:firstLineChars="200"/>
        <w:rPr>
          <w:rFonts w:hint="eastAsia" w:ascii="仿宋_GB2312" w:eastAsia="仿宋_GB2312"/>
          <w:color w:val="auto"/>
          <w:sz w:val="32"/>
          <w:szCs w:val="32"/>
          <w:highlight w:val="none"/>
        </w:rPr>
      </w:pPr>
      <w:r>
        <w:rPr>
          <w:rFonts w:hint="eastAsia" w:ascii="楷体_GB2312" w:hAnsi="楷体_GB2312" w:eastAsia="楷体_GB2312" w:cs="楷体_GB2312"/>
          <w:color w:val="auto"/>
          <w:kern w:val="0"/>
          <w:sz w:val="32"/>
          <w:szCs w:val="32"/>
          <w:highlight w:val="none"/>
          <w:lang w:bidi="ar"/>
        </w:rPr>
        <w:t>（四）产品品质：</w:t>
      </w:r>
      <w:r>
        <w:rPr>
          <w:rFonts w:hint="eastAsia" w:ascii="仿宋_GB2312" w:hAnsi="仿宋_GB2312" w:eastAsia="仿宋_GB2312" w:cs="仿宋_GB2312"/>
          <w:bCs/>
          <w:color w:val="auto"/>
          <w:sz w:val="32"/>
          <w:szCs w:val="32"/>
          <w:highlight w:val="none"/>
        </w:rPr>
        <w:t>竞买申请人</w:t>
      </w:r>
      <w:r>
        <w:rPr>
          <w:rFonts w:hint="eastAsia" w:ascii="仿宋_GB2312" w:hAnsi="仿宋_GB2312" w:eastAsia="仿宋_GB2312" w:cs="仿宋_GB2312"/>
          <w:bCs/>
          <w:color w:val="auto"/>
          <w:sz w:val="32"/>
          <w:szCs w:val="32"/>
          <w:highlight w:val="none"/>
          <w:lang w:val="en-US" w:eastAsia="zh-CN"/>
        </w:rPr>
        <w:t>的</w:t>
      </w:r>
      <w:r>
        <w:rPr>
          <w:rFonts w:hint="eastAsia" w:ascii="仿宋_GB2312" w:eastAsia="仿宋_GB2312"/>
          <w:color w:val="auto"/>
          <w:sz w:val="32"/>
          <w:szCs w:val="32"/>
          <w:highlight w:val="none"/>
        </w:rPr>
        <w:t>精密微特电机及驱动控制系统产品品质</w:t>
      </w:r>
      <w:r>
        <w:rPr>
          <w:rFonts w:hint="default" w:ascii="仿宋_GB2312" w:eastAsia="仿宋_GB2312"/>
          <w:color w:val="auto"/>
          <w:sz w:val="32"/>
          <w:szCs w:val="32"/>
          <w:highlight w:val="none"/>
        </w:rPr>
        <w:t>应符合</w:t>
      </w:r>
      <w:r>
        <w:rPr>
          <w:rFonts w:hint="eastAsia" w:ascii="仿宋_GB2312" w:eastAsia="仿宋_GB2312"/>
          <w:color w:val="auto"/>
          <w:sz w:val="32"/>
          <w:szCs w:val="32"/>
          <w:highlight w:val="none"/>
        </w:rPr>
        <w:t>ISO 9001与IATF 16949</w:t>
      </w:r>
      <w:r>
        <w:rPr>
          <w:rFonts w:hint="default" w:ascii="仿宋_GB2312" w:eastAsia="仿宋_GB2312"/>
          <w:color w:val="auto"/>
          <w:sz w:val="32"/>
          <w:szCs w:val="32"/>
          <w:highlight w:val="none"/>
        </w:rPr>
        <w:t>等</w:t>
      </w:r>
      <w:r>
        <w:rPr>
          <w:rFonts w:hint="eastAsia" w:ascii="仿宋_GB2312" w:eastAsia="仿宋_GB2312"/>
          <w:color w:val="auto"/>
          <w:sz w:val="32"/>
          <w:szCs w:val="32"/>
          <w:highlight w:val="none"/>
        </w:rPr>
        <w:t>国际认证体系</w:t>
      </w:r>
      <w:r>
        <w:rPr>
          <w:rFonts w:hint="default" w:ascii="仿宋_GB2312" w:eastAsia="仿宋_GB2312"/>
          <w:color w:val="auto"/>
          <w:sz w:val="32"/>
          <w:szCs w:val="32"/>
          <w:highlight w:val="none"/>
        </w:rPr>
        <w:t>的要求</w:t>
      </w:r>
      <w:r>
        <w:rPr>
          <w:rFonts w:hint="eastAsia" w:ascii="仿宋_GB2312" w:eastAsia="仿宋_GB2312"/>
          <w:color w:val="auto"/>
          <w:sz w:val="32"/>
          <w:szCs w:val="32"/>
          <w:highlight w:val="none"/>
        </w:rPr>
        <w:t>，具备高可靠性、高效节能及优异电磁兼容性等核心性能。机电一体化解决方案</w:t>
      </w:r>
      <w:r>
        <w:rPr>
          <w:rFonts w:hint="default" w:ascii="仿宋_GB2312" w:eastAsia="仿宋_GB2312"/>
          <w:color w:val="auto"/>
          <w:sz w:val="32"/>
          <w:szCs w:val="32"/>
          <w:highlight w:val="none"/>
        </w:rPr>
        <w:t>应</w:t>
      </w:r>
      <w:r>
        <w:rPr>
          <w:rFonts w:hint="eastAsia" w:ascii="仿宋_GB2312" w:eastAsia="仿宋_GB2312"/>
          <w:color w:val="auto"/>
          <w:sz w:val="32"/>
          <w:szCs w:val="32"/>
          <w:highlight w:val="none"/>
        </w:rPr>
        <w:t>在安防、热敏打印、机器狗关节等关键领域实现进口替代，并进入了全球高端供应链体系。</w:t>
      </w:r>
    </w:p>
    <w:p>
      <w:pPr>
        <w:widowControl/>
        <w:tabs>
          <w:tab w:val="left" w:pos="7292"/>
        </w:tabs>
        <w:spacing w:line="560" w:lineRule="exact"/>
        <w:ind w:firstLine="640" w:firstLineChars="200"/>
        <w:rPr>
          <w:rFonts w:hint="eastAsia" w:ascii="楷体_GB2312" w:hAnsi="楷体_GB2312" w:eastAsia="楷体_GB2312" w:cs="楷体_GB2312"/>
          <w:color w:val="auto"/>
          <w:kern w:val="0"/>
          <w:sz w:val="32"/>
          <w:szCs w:val="32"/>
          <w:highlight w:val="none"/>
          <w:lang w:bidi="ar"/>
        </w:rPr>
      </w:pPr>
      <w:r>
        <w:rPr>
          <w:rFonts w:hint="eastAsia" w:ascii="楷体_GB2312" w:hAnsi="楷体_GB2312" w:eastAsia="楷体_GB2312" w:cs="楷体_GB2312"/>
          <w:color w:val="auto"/>
          <w:kern w:val="0"/>
          <w:sz w:val="32"/>
          <w:szCs w:val="32"/>
          <w:highlight w:val="none"/>
          <w:lang w:bidi="ar"/>
        </w:rPr>
        <w:t>（五）投产时间：</w:t>
      </w:r>
      <w:bookmarkStart w:id="1" w:name="OLE_LINK3"/>
      <w:r>
        <w:rPr>
          <w:rFonts w:ascii="仿宋_GB2312" w:eastAsia="仿宋_GB2312"/>
          <w:color w:val="auto"/>
          <w:sz w:val="32"/>
          <w:szCs w:val="32"/>
          <w:highlight w:val="none"/>
        </w:rPr>
        <w:t>取得建设用地后36个月（3年）内完成建设并实现投产。</w:t>
      </w:r>
    </w:p>
    <w:bookmarkEnd w:id="1"/>
    <w:p>
      <w:pPr>
        <w:spacing w:line="560" w:lineRule="exact"/>
        <w:ind w:firstLine="640" w:firstLineChars="200"/>
        <w:rPr>
          <w:rFonts w:ascii="仿宋_GB2312" w:eastAsia="仿宋_GB2312"/>
          <w:color w:val="auto"/>
          <w:sz w:val="32"/>
          <w:szCs w:val="32"/>
          <w:highlight w:val="none"/>
        </w:rPr>
      </w:pPr>
      <w:r>
        <w:rPr>
          <w:rFonts w:hint="eastAsia" w:ascii="楷体_GB2312" w:hAnsi="楷体_GB2312" w:eastAsia="楷体_GB2312" w:cs="楷体_GB2312"/>
          <w:color w:val="auto"/>
          <w:kern w:val="0"/>
          <w:sz w:val="32"/>
          <w:szCs w:val="32"/>
          <w:highlight w:val="none"/>
          <w:lang w:bidi="ar"/>
        </w:rPr>
        <w:t>（六）投资总额：</w:t>
      </w:r>
      <w:r>
        <w:rPr>
          <w:rFonts w:hint="eastAsia" w:ascii="仿宋_GB2312" w:eastAsia="仿宋_GB2312"/>
          <w:color w:val="auto"/>
          <w:sz w:val="32"/>
          <w:szCs w:val="32"/>
          <w:highlight w:val="none"/>
        </w:rPr>
        <w:t>项目总固定资产投资额不低于</w:t>
      </w:r>
      <w:r>
        <w:rPr>
          <w:rFonts w:ascii="仿宋_GB2312" w:eastAsia="仿宋_GB2312"/>
          <w:color w:val="auto"/>
          <w:sz w:val="32"/>
          <w:szCs w:val="32"/>
          <w:highlight w:val="none"/>
        </w:rPr>
        <w:t>3.</w:t>
      </w:r>
      <w:r>
        <w:rPr>
          <w:rFonts w:hint="eastAsia" w:ascii="仿宋_GB2312" w:eastAsia="仿宋_GB2312"/>
          <w:color w:val="auto"/>
          <w:sz w:val="32"/>
          <w:szCs w:val="32"/>
          <w:highlight w:val="none"/>
          <w:lang w:val="en-US" w:eastAsia="zh-CN"/>
        </w:rPr>
        <w:t>2512</w:t>
      </w:r>
      <w:r>
        <w:rPr>
          <w:rFonts w:hint="eastAsia" w:ascii="仿宋_GB2312" w:eastAsia="仿宋_GB2312"/>
          <w:color w:val="auto"/>
          <w:sz w:val="32"/>
          <w:szCs w:val="32"/>
          <w:highlight w:val="none"/>
        </w:rPr>
        <w:t>亿元。</w:t>
      </w:r>
    </w:p>
    <w:p>
      <w:pPr>
        <w:spacing w:line="560" w:lineRule="exact"/>
        <w:ind w:firstLine="640" w:firstLineChars="200"/>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（七）产出效率</w:t>
      </w:r>
    </w:p>
    <w:p>
      <w:pPr>
        <w:spacing w:line="560" w:lineRule="exact"/>
        <w:ind w:firstLine="640" w:firstLineChars="200"/>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1.本项目的产出效率应按照本宗用地产业监管协议的有关约定执行。</w:t>
      </w:r>
    </w:p>
    <w:p>
      <w:pPr>
        <w:spacing w:line="560" w:lineRule="exact"/>
        <w:ind w:firstLine="640" w:firstLineChars="200"/>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2.节能环保：</w:t>
      </w:r>
      <w:r>
        <w:rPr>
          <w:rFonts w:hint="eastAsia" w:ascii="仿宋_GB2312" w:hAnsi="华文仿宋" w:eastAsia="仿宋_GB2312"/>
          <w:color w:val="auto"/>
          <w:sz w:val="32"/>
          <w:szCs w:val="32"/>
          <w:highlight w:val="none"/>
        </w:rPr>
        <w:t>新增地块产值能耗（项目年能耗总值÷项目年总产值）≤0.0</w:t>
      </w:r>
      <w:r>
        <w:rPr>
          <w:rFonts w:hint="default" w:ascii="仿宋_GB2312" w:hAnsi="华文仿宋" w:eastAsia="仿宋_GB2312"/>
          <w:color w:val="auto"/>
          <w:sz w:val="32"/>
          <w:szCs w:val="32"/>
          <w:highlight w:val="none"/>
        </w:rPr>
        <w:t>76</w:t>
      </w:r>
      <w:r>
        <w:rPr>
          <w:rFonts w:hint="eastAsia" w:ascii="仿宋_GB2312" w:hAnsi="华文仿宋" w:eastAsia="仿宋_GB2312"/>
          <w:color w:val="auto"/>
          <w:sz w:val="32"/>
          <w:szCs w:val="32"/>
          <w:highlight w:val="none"/>
        </w:rPr>
        <w:t>吨标准煤/万元。</w:t>
      </w:r>
    </w:p>
    <w:p>
      <w:pPr>
        <w:widowControl/>
        <w:tabs>
          <w:tab w:val="left" w:pos="7292"/>
        </w:tabs>
        <w:spacing w:line="560" w:lineRule="exact"/>
        <w:ind w:firstLine="640" w:firstLineChars="200"/>
        <w:outlineLvl w:val="0"/>
        <w:rPr>
          <w:rFonts w:hint="eastAsia" w:ascii="黑体" w:hAnsi="黑体" w:eastAsia="黑体" w:cs="黑体"/>
          <w:color w:val="auto"/>
          <w:kern w:val="0"/>
          <w:sz w:val="32"/>
          <w:szCs w:val="32"/>
          <w:highlight w:val="none"/>
          <w:lang w:bidi="ar"/>
        </w:rPr>
      </w:pPr>
      <w:r>
        <w:rPr>
          <w:rFonts w:hint="eastAsia" w:ascii="黑体" w:hAnsi="黑体" w:eastAsia="黑体" w:cs="黑体"/>
          <w:color w:val="auto"/>
          <w:kern w:val="0"/>
          <w:sz w:val="32"/>
          <w:szCs w:val="32"/>
          <w:highlight w:val="none"/>
          <w:lang w:bidi="ar"/>
        </w:rPr>
        <w:t>五、项目用地情况</w:t>
      </w:r>
    </w:p>
    <w:p>
      <w:pPr>
        <w:widowControl/>
        <w:spacing w:line="560" w:lineRule="exact"/>
        <w:ind w:firstLine="640" w:firstLineChars="200"/>
        <w:rPr>
          <w:rFonts w:hint="eastAsia" w:ascii="仿宋_GB2312" w:hAnsi="仿宋_GB2312" w:eastAsia="仿宋_GB2312" w:cs="仿宋_GB2312"/>
          <w:color w:val="auto"/>
          <w:kern w:val="0"/>
          <w:sz w:val="32"/>
          <w:szCs w:val="32"/>
          <w:highlight w:val="none"/>
          <w:lang w:eastAsia="zh-CN" w:bidi="ar"/>
        </w:rPr>
      </w:pPr>
      <w:r>
        <w:rPr>
          <w:rFonts w:hint="eastAsia" w:ascii="楷体_GB2312" w:hAnsi="楷体_GB2312" w:eastAsia="楷体_GB2312" w:cs="楷体_GB2312"/>
          <w:color w:val="auto"/>
          <w:kern w:val="0"/>
          <w:sz w:val="32"/>
          <w:szCs w:val="32"/>
          <w:highlight w:val="none"/>
          <w:lang w:bidi="ar"/>
        </w:rPr>
        <w:t>（一）用地规模：</w:t>
      </w:r>
      <w:r>
        <w:rPr>
          <w:rFonts w:hint="eastAsia" w:ascii="仿宋_GB2312" w:eastAsia="仿宋_GB2312"/>
          <w:color w:val="auto"/>
          <w:sz w:val="32"/>
          <w:szCs w:val="32"/>
          <w:highlight w:val="none"/>
        </w:rPr>
        <w:t>本项目位于深圳市龙岗区坪地</w:t>
      </w:r>
      <w:r>
        <w:rPr>
          <w:rFonts w:hint="default" w:ascii="仿宋_GB2312" w:eastAsia="仿宋_GB2312"/>
          <w:color w:val="auto"/>
          <w:sz w:val="32"/>
          <w:szCs w:val="32"/>
          <w:highlight w:val="none"/>
        </w:rPr>
        <w:t>街道</w:t>
      </w:r>
      <w:r>
        <w:rPr>
          <w:rFonts w:hint="eastAsia" w:ascii="仿宋_GB2312" w:eastAsia="仿宋_GB2312"/>
          <w:color w:val="auto"/>
          <w:sz w:val="32"/>
          <w:szCs w:val="32"/>
          <w:highlight w:val="none"/>
        </w:rPr>
        <w:t>，</w:t>
      </w:r>
      <w:r>
        <w:rPr>
          <w:rFonts w:hint="default" w:ascii="仿宋_GB2312" w:eastAsia="仿宋_GB2312"/>
          <w:color w:val="auto"/>
          <w:sz w:val="32"/>
          <w:szCs w:val="32"/>
          <w:highlight w:val="none"/>
        </w:rPr>
        <w:t>用地面积约</w:t>
      </w:r>
      <w:r>
        <w:rPr>
          <w:rFonts w:ascii="仿宋_GB2312" w:hAnsi="仿宋_GB2312" w:eastAsia="仿宋_GB2312" w:cs="仿宋_GB2312"/>
          <w:color w:val="auto"/>
          <w:kern w:val="0"/>
          <w:sz w:val="32"/>
          <w:szCs w:val="32"/>
          <w:highlight w:val="none"/>
          <w:lang w:bidi="ar"/>
        </w:rPr>
        <w:t>2万</w:t>
      </w:r>
      <w:r>
        <w:rPr>
          <w:rFonts w:hint="eastAsia" w:ascii="仿宋_GB2312" w:hAnsi="仿宋_GB2312" w:eastAsia="仿宋_GB2312" w:cs="仿宋_GB2312"/>
          <w:color w:val="auto"/>
          <w:kern w:val="0"/>
          <w:sz w:val="32"/>
          <w:szCs w:val="32"/>
          <w:highlight w:val="none"/>
          <w:lang w:bidi="ar"/>
        </w:rPr>
        <w:t>平方米</w:t>
      </w:r>
      <w:r>
        <w:rPr>
          <w:rFonts w:hint="eastAsia" w:ascii="仿宋_GB2312" w:hAnsi="仿宋_GB2312" w:eastAsia="仿宋_GB2312" w:cs="仿宋_GB2312"/>
          <w:color w:val="auto"/>
          <w:kern w:val="0"/>
          <w:sz w:val="31"/>
          <w:szCs w:val="31"/>
          <w:highlight w:val="none"/>
          <w:lang w:eastAsia="zh-CN" w:bidi="ar"/>
        </w:rPr>
        <w:t>；</w:t>
      </w:r>
    </w:p>
    <w:p>
      <w:pPr>
        <w:widowControl/>
        <w:tabs>
          <w:tab w:val="left" w:pos="7292"/>
        </w:tabs>
        <w:spacing w:line="560" w:lineRule="exact"/>
        <w:ind w:firstLine="640" w:firstLineChars="200"/>
        <w:rPr>
          <w:rFonts w:hint="eastAsia" w:ascii="仿宋_GB2312" w:hAnsi="仿宋_GB2312" w:eastAsia="仿宋_GB2312" w:cs="仿宋_GB2312"/>
          <w:color w:val="auto"/>
          <w:kern w:val="0"/>
          <w:sz w:val="32"/>
          <w:szCs w:val="32"/>
          <w:highlight w:val="none"/>
          <w:lang w:eastAsia="zh-CN" w:bidi="ar"/>
        </w:rPr>
      </w:pPr>
      <w:r>
        <w:rPr>
          <w:rFonts w:hint="eastAsia" w:ascii="楷体_GB2312" w:hAnsi="楷体_GB2312" w:eastAsia="楷体_GB2312" w:cs="楷体_GB2312"/>
          <w:color w:val="auto"/>
          <w:kern w:val="0"/>
          <w:sz w:val="32"/>
          <w:szCs w:val="32"/>
          <w:highlight w:val="none"/>
          <w:lang w:bidi="ar"/>
        </w:rPr>
        <w:t>（二）用地功能：</w:t>
      </w:r>
      <w:r>
        <w:rPr>
          <w:rFonts w:hint="eastAsia" w:ascii="仿宋_GB2312" w:hAnsi="仿宋_GB2312" w:eastAsia="仿宋_GB2312" w:cs="仿宋_GB2312"/>
          <w:color w:val="auto"/>
          <w:kern w:val="0"/>
          <w:sz w:val="32"/>
          <w:szCs w:val="32"/>
          <w:highlight w:val="none"/>
          <w:lang w:bidi="ar"/>
        </w:rPr>
        <w:t>普通工业用地（M1）</w:t>
      </w:r>
      <w:r>
        <w:rPr>
          <w:rFonts w:hint="eastAsia" w:ascii="仿宋_GB2312" w:hAnsi="仿宋_GB2312" w:eastAsia="仿宋_GB2312" w:cs="仿宋_GB2312"/>
          <w:color w:val="auto"/>
          <w:kern w:val="0"/>
          <w:sz w:val="32"/>
          <w:szCs w:val="32"/>
          <w:highlight w:val="none"/>
          <w:lang w:eastAsia="zh-CN" w:bidi="ar"/>
        </w:rPr>
        <w:t>；</w:t>
      </w:r>
    </w:p>
    <w:p>
      <w:pPr>
        <w:widowControl/>
        <w:tabs>
          <w:tab w:val="left" w:pos="7292"/>
        </w:tabs>
        <w:spacing w:line="560" w:lineRule="exact"/>
        <w:ind w:firstLine="640" w:firstLineChars="200"/>
        <w:rPr>
          <w:rFonts w:hint="eastAsia" w:ascii="仿宋_GB2312" w:hAnsi="仿宋_GB2312" w:eastAsia="仿宋_GB2312" w:cs="仿宋_GB2312"/>
          <w:color w:val="auto"/>
          <w:kern w:val="0"/>
          <w:sz w:val="32"/>
          <w:szCs w:val="32"/>
          <w:highlight w:val="none"/>
          <w:lang w:eastAsia="zh-CN" w:bidi="ar"/>
        </w:rPr>
      </w:pPr>
      <w:r>
        <w:rPr>
          <w:rFonts w:hint="eastAsia" w:ascii="楷体_GB2312" w:hAnsi="楷体_GB2312" w:eastAsia="楷体_GB2312" w:cs="楷体_GB2312"/>
          <w:color w:val="auto"/>
          <w:kern w:val="0"/>
          <w:sz w:val="32"/>
          <w:szCs w:val="32"/>
          <w:highlight w:val="none"/>
          <w:lang w:bidi="ar"/>
        </w:rPr>
        <w:t>（三）建筑规模：</w:t>
      </w:r>
      <w:r>
        <w:rPr>
          <w:rFonts w:hint="eastAsia" w:ascii="仿宋_GB2312" w:hAnsi="仿宋_GB2312" w:eastAsia="仿宋_GB2312" w:cs="仿宋_GB2312"/>
          <w:color w:val="auto"/>
          <w:kern w:val="0"/>
          <w:sz w:val="32"/>
          <w:szCs w:val="32"/>
          <w:highlight w:val="none"/>
          <w:lang w:bidi="ar"/>
        </w:rPr>
        <w:t>约</w:t>
      </w:r>
      <w:r>
        <w:rPr>
          <w:rFonts w:ascii="仿宋_GB2312" w:hAnsi="仿宋_GB2312" w:eastAsia="仿宋_GB2312" w:cs="仿宋_GB2312"/>
          <w:color w:val="auto"/>
          <w:kern w:val="0"/>
          <w:sz w:val="32"/>
          <w:szCs w:val="32"/>
          <w:highlight w:val="none"/>
          <w:lang w:bidi="ar"/>
        </w:rPr>
        <w:t>6.1</w:t>
      </w:r>
      <w:r>
        <w:rPr>
          <w:rFonts w:hint="eastAsia" w:ascii="仿宋_GB2312" w:hAnsi="仿宋_GB2312" w:eastAsia="仿宋_GB2312" w:cs="仿宋_GB2312"/>
          <w:color w:val="auto"/>
          <w:kern w:val="0"/>
          <w:sz w:val="32"/>
          <w:szCs w:val="32"/>
          <w:highlight w:val="none"/>
          <w:lang w:bidi="ar"/>
        </w:rPr>
        <w:t>万平方米</w:t>
      </w:r>
      <w:r>
        <w:rPr>
          <w:rFonts w:ascii="仿宋_GB2312" w:hAnsi="仿宋_GB2312" w:eastAsia="仿宋_GB2312" w:cs="仿宋_GB2312"/>
          <w:color w:val="auto"/>
          <w:kern w:val="0"/>
          <w:sz w:val="31"/>
          <w:szCs w:val="31"/>
          <w:highlight w:val="none"/>
          <w:lang w:bidi="ar"/>
        </w:rPr>
        <w:t>（最终以土地使用权出让合同书为准）</w:t>
      </w:r>
      <w:r>
        <w:rPr>
          <w:rFonts w:hint="eastAsia" w:ascii="仿宋_GB2312" w:hAnsi="仿宋_GB2312" w:eastAsia="仿宋_GB2312" w:cs="仿宋_GB2312"/>
          <w:color w:val="auto"/>
          <w:kern w:val="0"/>
          <w:sz w:val="32"/>
          <w:szCs w:val="32"/>
          <w:highlight w:val="none"/>
          <w:lang w:eastAsia="zh-CN" w:bidi="ar"/>
        </w:rPr>
        <w:t>；</w:t>
      </w:r>
    </w:p>
    <w:p>
      <w:pPr>
        <w:widowControl/>
        <w:tabs>
          <w:tab w:val="left" w:pos="7292"/>
        </w:tabs>
        <w:spacing w:line="560" w:lineRule="exact"/>
        <w:ind w:firstLine="640" w:firstLineChars="200"/>
        <w:rPr>
          <w:rFonts w:hint="eastAsia" w:ascii="仿宋_GB2312" w:hAnsi="仿宋_GB2312" w:eastAsia="仿宋_GB2312" w:cs="仿宋_GB2312"/>
          <w:color w:val="auto"/>
          <w:kern w:val="0"/>
          <w:sz w:val="32"/>
          <w:szCs w:val="32"/>
          <w:highlight w:val="none"/>
          <w:lang w:eastAsia="zh-CN" w:bidi="ar"/>
        </w:rPr>
      </w:pPr>
      <w:r>
        <w:rPr>
          <w:rFonts w:hint="eastAsia" w:ascii="楷体_GB2312" w:hAnsi="楷体_GB2312" w:eastAsia="楷体_GB2312" w:cs="楷体_GB2312"/>
          <w:color w:val="auto"/>
          <w:kern w:val="0"/>
          <w:sz w:val="32"/>
          <w:szCs w:val="32"/>
          <w:highlight w:val="none"/>
          <w:lang w:bidi="ar"/>
        </w:rPr>
        <w:t>（四）土地供应方式：</w:t>
      </w:r>
      <w:r>
        <w:rPr>
          <w:rFonts w:hint="eastAsia" w:ascii="仿宋_GB2312" w:hAnsi="仿宋_GB2312" w:eastAsia="仿宋_GB2312" w:cs="仿宋_GB2312"/>
          <w:color w:val="auto"/>
          <w:kern w:val="0"/>
          <w:sz w:val="32"/>
          <w:szCs w:val="32"/>
          <w:highlight w:val="none"/>
          <w:lang w:bidi="ar"/>
        </w:rPr>
        <w:t>“带产业项目”挂牌出让</w:t>
      </w:r>
      <w:r>
        <w:rPr>
          <w:rFonts w:hint="eastAsia" w:ascii="仿宋_GB2312" w:hAnsi="仿宋_GB2312" w:eastAsia="仿宋_GB2312" w:cs="仿宋_GB2312"/>
          <w:color w:val="auto"/>
          <w:kern w:val="0"/>
          <w:sz w:val="32"/>
          <w:szCs w:val="32"/>
          <w:highlight w:val="none"/>
          <w:lang w:eastAsia="zh-CN" w:bidi="ar"/>
        </w:rPr>
        <w:t>；</w:t>
      </w:r>
    </w:p>
    <w:p>
      <w:pPr>
        <w:widowControl/>
        <w:tabs>
          <w:tab w:val="left" w:pos="7292"/>
        </w:tabs>
        <w:spacing w:line="560" w:lineRule="exact"/>
        <w:ind w:firstLine="640" w:firstLineChars="200"/>
        <w:rPr>
          <w:rFonts w:hint="eastAsia" w:ascii="仿宋_GB2312" w:hAnsi="仿宋_GB2312" w:eastAsia="仿宋_GB2312" w:cs="仿宋_GB2312"/>
          <w:color w:val="auto"/>
          <w:kern w:val="0"/>
          <w:sz w:val="32"/>
          <w:szCs w:val="32"/>
          <w:highlight w:val="none"/>
          <w:lang w:eastAsia="zh-CN" w:bidi="ar"/>
        </w:rPr>
      </w:pPr>
      <w:r>
        <w:rPr>
          <w:rFonts w:hint="eastAsia" w:ascii="楷体_GB2312" w:hAnsi="楷体_GB2312" w:eastAsia="楷体_GB2312" w:cs="楷体_GB2312"/>
          <w:color w:val="auto"/>
          <w:kern w:val="0"/>
          <w:sz w:val="32"/>
          <w:szCs w:val="32"/>
          <w:highlight w:val="none"/>
          <w:lang w:bidi="ar"/>
        </w:rPr>
        <w:t>（五）期限：</w:t>
      </w:r>
      <w:r>
        <w:rPr>
          <w:rFonts w:hint="eastAsia" w:ascii="仿宋_GB2312" w:hAnsi="仿宋_GB2312" w:eastAsia="仿宋_GB2312" w:cs="仿宋_GB2312"/>
          <w:color w:val="auto"/>
          <w:kern w:val="0"/>
          <w:sz w:val="32"/>
          <w:szCs w:val="32"/>
          <w:highlight w:val="none"/>
          <w:lang w:bidi="ar"/>
        </w:rPr>
        <w:t>30年</w:t>
      </w:r>
      <w:r>
        <w:rPr>
          <w:rFonts w:hint="eastAsia" w:ascii="仿宋_GB2312" w:hAnsi="仿宋_GB2312" w:eastAsia="仿宋_GB2312" w:cs="仿宋_GB2312"/>
          <w:color w:val="auto"/>
          <w:kern w:val="0"/>
          <w:sz w:val="32"/>
          <w:szCs w:val="32"/>
          <w:highlight w:val="none"/>
          <w:lang w:eastAsia="zh-CN" w:bidi="ar"/>
        </w:rPr>
        <w:t>；</w:t>
      </w:r>
    </w:p>
    <w:p>
      <w:pPr>
        <w:widowControl/>
        <w:spacing w:line="560" w:lineRule="exact"/>
        <w:ind w:firstLine="640" w:firstLineChars="200"/>
        <w:rPr>
          <w:rFonts w:hint="eastAsia" w:ascii="楷体_GB2312" w:hAnsi="楷体_GB2312" w:eastAsia="楷体_GB2312" w:cs="楷体_GB2312"/>
          <w:color w:val="auto"/>
          <w:kern w:val="0"/>
          <w:sz w:val="32"/>
          <w:szCs w:val="32"/>
          <w:highlight w:val="none"/>
          <w:lang w:bidi="ar"/>
        </w:rPr>
      </w:pPr>
      <w:r>
        <w:rPr>
          <w:rFonts w:hint="eastAsia" w:ascii="楷体_GB2312" w:hAnsi="楷体_GB2312" w:eastAsia="楷体_GB2312" w:cs="楷体_GB2312"/>
          <w:color w:val="auto"/>
          <w:kern w:val="0"/>
          <w:sz w:val="32"/>
          <w:szCs w:val="32"/>
          <w:highlight w:val="none"/>
          <w:lang w:bidi="ar"/>
        </w:rPr>
        <w:t>（六）权利限制</w:t>
      </w:r>
    </w:p>
    <w:p>
      <w:pPr>
        <w:spacing w:line="560" w:lineRule="exact"/>
        <w:ind w:firstLine="642" w:firstLineChars="200"/>
        <w:rPr>
          <w:rFonts w:hint="eastAsia" w:ascii="仿宋_GB2312" w:hAnsi="宋体" w:eastAsia="仿宋_GB2312"/>
          <w:color w:val="auto"/>
          <w:sz w:val="32"/>
          <w:szCs w:val="32"/>
          <w:highlight w:val="none"/>
        </w:rPr>
      </w:pPr>
      <w:r>
        <w:rPr>
          <w:rFonts w:hint="eastAsia" w:ascii="楷体_GB2312" w:hAnsi="宋体" w:eastAsia="楷体_GB2312"/>
          <w:b/>
          <w:color w:val="auto"/>
          <w:sz w:val="32"/>
          <w:szCs w:val="32"/>
          <w:highlight w:val="none"/>
        </w:rPr>
        <w:t>1.转让或出租限制：</w:t>
      </w:r>
      <w:r>
        <w:rPr>
          <w:rFonts w:hint="eastAsia" w:ascii="仿宋_GB2312" w:hAnsi="宋体" w:eastAsia="仿宋_GB2312"/>
          <w:color w:val="auto"/>
          <w:sz w:val="32"/>
          <w:szCs w:val="32"/>
          <w:highlight w:val="none"/>
        </w:rPr>
        <w:t>本宗项目用地以宗地为单位，不得改变土地用途，</w:t>
      </w:r>
      <w:r>
        <w:rPr>
          <w:rFonts w:hint="eastAsia" w:ascii="仿宋_GB2312" w:hAnsi="仿宋_GB2312" w:eastAsia="仿宋_GB2312" w:cs="仿宋_GB2312"/>
          <w:color w:val="auto"/>
          <w:sz w:val="32"/>
          <w:szCs w:val="32"/>
          <w:highlight w:val="none"/>
        </w:rPr>
        <w:t>建设用地使用权及建筑物100%的建筑面积在全年期内不得转让；初始登记后不得办理分证；如</w:t>
      </w:r>
      <w:r>
        <w:rPr>
          <w:rFonts w:hint="eastAsia" w:ascii="仿宋_GB2312" w:hAnsi="宋体" w:eastAsia="仿宋_GB2312"/>
          <w:color w:val="auto"/>
          <w:sz w:val="32"/>
          <w:szCs w:val="32"/>
          <w:highlight w:val="none"/>
        </w:rPr>
        <w:t>确有出租需要的，在满足本方案约定的相关经济指标、经区产业部门批准后，</w:t>
      </w:r>
      <w:r>
        <w:rPr>
          <w:rFonts w:hint="eastAsia" w:ascii="仿宋_GB2312" w:hAnsi="仿宋_GB2312" w:eastAsia="仿宋_GB2312" w:cs="仿宋_GB2312"/>
          <w:color w:val="auto"/>
          <w:sz w:val="32"/>
          <w:szCs w:val="32"/>
          <w:highlight w:val="none"/>
        </w:rPr>
        <w:t>允许一定比例用房租赁给产业链相关企业，</w:t>
      </w:r>
      <w:r>
        <w:rPr>
          <w:rFonts w:hint="eastAsia" w:ascii="仿宋_GB2312" w:hAnsi="宋体" w:eastAsia="仿宋_GB2312"/>
          <w:color w:val="auto"/>
          <w:sz w:val="32"/>
          <w:szCs w:val="32"/>
          <w:highlight w:val="none"/>
        </w:rPr>
        <w:t>可出租比例原则上不超过建筑面积的20%，且租金标准、租赁对象等均按产业发展监管协议有关约定执行。</w:t>
      </w:r>
    </w:p>
    <w:p>
      <w:pPr>
        <w:spacing w:line="560" w:lineRule="exact"/>
        <w:ind w:firstLine="642" w:firstLineChars="200"/>
        <w:rPr>
          <w:rFonts w:hint="eastAsia" w:ascii="仿宋_GB2312" w:hAnsi="宋体" w:eastAsia="仿宋_GB2312"/>
          <w:color w:val="auto"/>
          <w:sz w:val="32"/>
          <w:szCs w:val="32"/>
          <w:highlight w:val="none"/>
        </w:rPr>
      </w:pPr>
      <w:r>
        <w:rPr>
          <w:rFonts w:hint="eastAsia" w:ascii="楷体_GB2312" w:hAnsi="宋体" w:eastAsia="楷体_GB2312"/>
          <w:b/>
          <w:color w:val="auto"/>
          <w:sz w:val="32"/>
          <w:szCs w:val="32"/>
          <w:highlight w:val="none"/>
        </w:rPr>
        <w:t>2.股权变更限制：</w:t>
      </w:r>
      <w:r>
        <w:rPr>
          <w:rFonts w:hint="eastAsia" w:ascii="仿宋_GB2312" w:hAnsi="宋体" w:eastAsia="仿宋_GB2312"/>
          <w:color w:val="auto"/>
          <w:sz w:val="32"/>
          <w:szCs w:val="32"/>
          <w:highlight w:val="none"/>
        </w:rPr>
        <w:t>在土地使用权出让年限内不得以股权转让(根据《深圳市工业及其他产业用地供应管理办法》第三十七条“股权转让是指导致企业控股权或实际控制权发生变更的转让”)或变更的方式变相转让建设用地使用权以及附着于该土地上的建（构）筑物及其附属设施。</w:t>
      </w:r>
    </w:p>
    <w:p>
      <w:pPr>
        <w:spacing w:line="560" w:lineRule="exact"/>
        <w:ind w:firstLine="642" w:firstLineChars="200"/>
        <w:jc w:val="left"/>
        <w:rPr>
          <w:rFonts w:hint="eastAsia" w:ascii="仿宋_GB2312" w:hAnsi="仿宋_GB2312" w:eastAsia="仿宋_GB2312" w:cs="仿宋_GB2312"/>
          <w:color w:val="auto"/>
          <w:kern w:val="0"/>
          <w:sz w:val="32"/>
          <w:szCs w:val="32"/>
          <w:highlight w:val="none"/>
          <w:lang w:bidi="ar"/>
        </w:rPr>
      </w:pPr>
      <w:r>
        <w:rPr>
          <w:rFonts w:hint="eastAsia" w:ascii="楷体_GB2312" w:hAnsi="宋体" w:eastAsia="楷体_GB2312"/>
          <w:b/>
          <w:color w:val="auto"/>
          <w:sz w:val="32"/>
          <w:szCs w:val="32"/>
          <w:highlight w:val="none"/>
        </w:rPr>
        <w:t>3.抵押限制：</w:t>
      </w:r>
      <w:r>
        <w:rPr>
          <w:rFonts w:hint="eastAsia" w:ascii="仿宋_GB2312" w:hAnsi="宋体" w:eastAsia="仿宋_GB2312"/>
          <w:color w:val="auto"/>
          <w:sz w:val="32"/>
          <w:szCs w:val="32"/>
          <w:highlight w:val="none"/>
        </w:rPr>
        <w:t>竞买申请人取得的建设用地使用权及建筑物允许抵押，但抵押金额不得超出土地使用权出让合同剩余年期地价与建筑物残值之和。</w:t>
      </w:r>
    </w:p>
    <w:p>
      <w:pPr>
        <w:widowControl/>
        <w:tabs>
          <w:tab w:val="left" w:pos="7292"/>
        </w:tabs>
        <w:spacing w:line="560" w:lineRule="exact"/>
        <w:ind w:firstLine="640" w:firstLineChars="200"/>
        <w:rPr>
          <w:rFonts w:hint="eastAsia" w:ascii="楷体_GB2312" w:hAnsi="楷体_GB2312" w:eastAsia="楷体_GB2312" w:cs="楷体_GB2312"/>
          <w:color w:val="auto"/>
          <w:kern w:val="0"/>
          <w:sz w:val="32"/>
          <w:szCs w:val="32"/>
          <w:highlight w:val="none"/>
          <w:lang w:bidi="ar"/>
        </w:rPr>
      </w:pPr>
      <w:r>
        <w:rPr>
          <w:rFonts w:hint="eastAsia" w:ascii="楷体_GB2312" w:hAnsi="楷体_GB2312" w:eastAsia="楷体_GB2312" w:cs="楷体_GB2312"/>
          <w:color w:val="auto"/>
          <w:kern w:val="0"/>
          <w:sz w:val="32"/>
          <w:szCs w:val="32"/>
          <w:highlight w:val="none"/>
          <w:lang w:bidi="ar"/>
        </w:rPr>
        <w:t>（七）竞买资格条件</w:t>
      </w:r>
    </w:p>
    <w:p>
      <w:pPr>
        <w:spacing w:line="560" w:lineRule="exact"/>
        <w:ind w:firstLine="640" w:firstLineChars="200"/>
        <w:rPr>
          <w:rFonts w:hint="eastAsia"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具备下列条件的，可申请竞买（不接受联合竞买）本宗地：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1.竞买申请人为中华人民共和国境内法人企业。</w:t>
      </w:r>
    </w:p>
    <w:p>
      <w:pPr>
        <w:spacing w:line="560" w:lineRule="exact"/>
        <w:ind w:firstLine="640" w:firstLineChars="200"/>
        <w:rPr>
          <w:rFonts w:hint="eastAsia"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2.竞买申请人应当符合《深圳市人民政府关于延长工业及其他产业用地供应管理办法有效期的通知》（深府规〔2025〕1号）中规定的遴选要求，并通过重点产业项目遴选。</w:t>
      </w:r>
    </w:p>
    <w:p>
      <w:pPr>
        <w:widowControl/>
        <w:tabs>
          <w:tab w:val="left" w:pos="7292"/>
        </w:tabs>
        <w:spacing w:line="560" w:lineRule="exact"/>
        <w:ind w:firstLine="640" w:firstLineChars="200"/>
        <w:outlineLvl w:val="0"/>
        <w:rPr>
          <w:rFonts w:hint="eastAsia" w:ascii="仿宋_GB2312" w:hAnsi="仿宋_GB2312" w:eastAsia="仿宋_GB2312" w:cs="仿宋_GB2312"/>
          <w:color w:val="auto"/>
          <w:kern w:val="0"/>
          <w:sz w:val="32"/>
          <w:szCs w:val="32"/>
          <w:highlight w:val="none"/>
          <w:lang w:bidi="ar"/>
        </w:rPr>
      </w:pPr>
      <w:r>
        <w:rPr>
          <w:rFonts w:hint="eastAsia" w:ascii="黑体" w:hAnsi="黑体" w:eastAsia="黑体" w:cs="黑体"/>
          <w:color w:val="auto"/>
          <w:kern w:val="0"/>
          <w:sz w:val="32"/>
          <w:szCs w:val="32"/>
          <w:highlight w:val="none"/>
          <w:lang w:bidi="ar"/>
        </w:rPr>
        <w:t>六、环境保护要求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1.本项目在生产过程中，粉尘、废气、废水、废渣、磁辐射污染、噪声等的排放和产生符合国家、省、市环保政策和法律法规的标准和要求。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华文仿宋" w:eastAsia="仿宋_GB2312"/>
          <w:color w:val="auto"/>
          <w:sz w:val="32"/>
          <w:szCs w:val="32"/>
          <w:highlight w:val="none"/>
        </w:rPr>
      </w:pPr>
      <w:r>
        <w:rPr>
          <w:rFonts w:hint="default" w:ascii="仿宋_GB2312" w:hAnsi="华文仿宋" w:eastAsia="仿宋_GB2312"/>
          <w:color w:val="auto"/>
          <w:sz w:val="32"/>
          <w:szCs w:val="32"/>
          <w:highlight w:val="none"/>
        </w:rPr>
        <w:t>2.</w:t>
      </w:r>
      <w:r>
        <w:rPr>
          <w:rFonts w:hint="eastAsia" w:ascii="仿宋_GB2312" w:hAnsi="华文仿宋" w:eastAsia="仿宋_GB2312"/>
          <w:color w:val="auto"/>
          <w:sz w:val="32"/>
          <w:szCs w:val="32"/>
          <w:highlight w:val="none"/>
        </w:rPr>
        <w:t>本项目的建筑设计必须符合国家标准《绿色工业建筑评价标准》（GB/T 50878-2013）、《绿色建筑评价标准》（GB/T 50378-2019 2024年局部条文修订版）、深圳市地方标准《公共建筑节能设计标准》（SJG 44-2025）、《居住建筑节能设计标准》（SJG 45-2025）及《深圳经济特区绿色建筑条例》等法规政策和标准规范执行，落实绿色低碳建设和绿色建筑高质量发展要求，按规定实施绿色建筑、装配式建筑和分布式光伏建筑应用。</w:t>
      </w:r>
    </w:p>
    <w:p>
      <w:pPr>
        <w:spacing w:line="560" w:lineRule="exact"/>
        <w:ind w:firstLine="640" w:firstLineChars="200"/>
        <w:rPr>
          <w:rFonts w:hint="eastAsia"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备注：具体的用地规模、建筑规模、土地用途、规划设计要点、建设时限等以《国有建设用地使用权出让合同》为准，经济贡献指标可根据实际用地规模进行调整。</w:t>
      </w:r>
    </w:p>
    <w:p>
      <w:pPr>
        <w:spacing w:line="560" w:lineRule="exact"/>
        <w:ind w:firstLine="640" w:firstLineChars="200"/>
        <w:rPr>
          <w:rFonts w:hint="eastAsia"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根据《管理办法》规定，现就该方案予以公示，公示时间为2026年</w:t>
      </w:r>
      <w:r>
        <w:rPr>
          <w:rFonts w:hint="default" w:ascii="仿宋_GB2312" w:hAnsi="华文仿宋" w:eastAsia="仿宋_GB2312"/>
          <w:color w:val="auto"/>
          <w:sz w:val="32"/>
          <w:szCs w:val="32"/>
          <w:highlight w:val="none"/>
        </w:rPr>
        <w:t>4</w:t>
      </w:r>
      <w:r>
        <w:rPr>
          <w:rFonts w:hint="eastAsia" w:ascii="仿宋_GB2312" w:hAnsi="华文仿宋" w:eastAsia="仿宋_GB2312"/>
          <w:color w:val="auto"/>
          <w:sz w:val="32"/>
          <w:szCs w:val="32"/>
          <w:highlight w:val="none"/>
        </w:rPr>
        <w:t>月</w:t>
      </w:r>
      <w:r>
        <w:rPr>
          <w:rFonts w:hint="default" w:ascii="仿宋_GB2312" w:hAnsi="华文仿宋" w:eastAsia="仿宋_GB2312"/>
          <w:color w:val="auto"/>
          <w:sz w:val="32"/>
          <w:szCs w:val="32"/>
          <w:highlight w:val="none"/>
        </w:rPr>
        <w:t>13</w:t>
      </w:r>
      <w:r>
        <w:rPr>
          <w:rFonts w:hint="eastAsia" w:ascii="仿宋_GB2312" w:hAnsi="华文仿宋" w:eastAsia="仿宋_GB2312"/>
          <w:color w:val="auto"/>
          <w:sz w:val="32"/>
          <w:szCs w:val="32"/>
          <w:highlight w:val="none"/>
        </w:rPr>
        <w:t>日至</w:t>
      </w:r>
      <w:r>
        <w:rPr>
          <w:rFonts w:hint="default" w:ascii="仿宋_GB2312" w:hAnsi="华文仿宋" w:eastAsia="仿宋_GB2312"/>
          <w:color w:val="auto"/>
          <w:sz w:val="32"/>
          <w:szCs w:val="32"/>
          <w:highlight w:val="none"/>
        </w:rPr>
        <w:t>4</w:t>
      </w:r>
      <w:r>
        <w:rPr>
          <w:rFonts w:hint="eastAsia" w:ascii="仿宋_GB2312" w:hAnsi="华文仿宋" w:eastAsia="仿宋_GB2312"/>
          <w:color w:val="auto"/>
          <w:sz w:val="32"/>
          <w:szCs w:val="32"/>
          <w:highlight w:val="none"/>
        </w:rPr>
        <w:t>月</w:t>
      </w:r>
      <w:r>
        <w:rPr>
          <w:rFonts w:hint="default" w:ascii="仿宋_GB2312" w:hAnsi="华文仿宋" w:eastAsia="仿宋_GB2312"/>
          <w:color w:val="auto"/>
          <w:sz w:val="32"/>
          <w:szCs w:val="32"/>
          <w:highlight w:val="none"/>
        </w:rPr>
        <w:t>17</w:t>
      </w:r>
      <w:r>
        <w:rPr>
          <w:rFonts w:hint="eastAsia" w:ascii="仿宋_GB2312" w:hAnsi="华文仿宋" w:eastAsia="仿宋_GB2312"/>
          <w:color w:val="auto"/>
          <w:sz w:val="32"/>
          <w:szCs w:val="32"/>
          <w:highlight w:val="none"/>
        </w:rPr>
        <w:t>日。</w:t>
      </w:r>
    </w:p>
    <w:p>
      <w:pPr>
        <w:spacing w:line="560" w:lineRule="exact"/>
        <w:ind w:firstLine="640" w:firstLineChars="200"/>
        <w:rPr>
          <w:rFonts w:hint="eastAsia"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在公示期内，如对上述方案有意见和建议，请使用真实姓名及联系方式与龙岗区工业和信息化局联系，逾期视为无异议，本公告自公示之日起，将在《深圳特区报》、龙岗政府在线同时发布。</w:t>
      </w:r>
    </w:p>
    <w:p>
      <w:pPr>
        <w:spacing w:line="560" w:lineRule="exact"/>
        <w:ind w:firstLine="640" w:firstLineChars="200"/>
        <w:rPr>
          <w:rFonts w:hint="eastAsia"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联系人：</w:t>
      </w:r>
      <w:r>
        <w:rPr>
          <w:rFonts w:hint="default" w:ascii="仿宋_GB2312" w:hAnsi="华文仿宋" w:eastAsia="仿宋_GB2312"/>
          <w:color w:val="auto"/>
          <w:sz w:val="32"/>
          <w:szCs w:val="32"/>
          <w:highlight w:val="none"/>
        </w:rPr>
        <w:t>余</w:t>
      </w:r>
      <w:r>
        <w:rPr>
          <w:rFonts w:hint="eastAsia" w:ascii="仿宋_GB2312" w:hAnsi="华文仿宋" w:eastAsia="仿宋_GB2312"/>
          <w:color w:val="auto"/>
          <w:sz w:val="32"/>
          <w:szCs w:val="32"/>
          <w:highlight w:val="none"/>
        </w:rPr>
        <w:t>先生，联系电话：28948323。</w:t>
      </w: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深圳市龙岗区工业和信息化局</w:t>
      </w: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outlineLvl w:val="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lang w:val="en-US"/>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eastAsia="zh-CN"/>
        </w:rPr>
        <w:t>12</w:t>
      </w:r>
      <w:r>
        <w:rPr>
          <w:rFonts w:hint="eastAsia" w:ascii="仿宋_GB2312" w:hAnsi="仿宋_GB2312" w:eastAsia="仿宋_GB2312" w:cs="仿宋_GB2312"/>
          <w:sz w:val="32"/>
          <w:szCs w:val="32"/>
        </w:rPr>
        <w:t>日</w:t>
      </w:r>
      <w:r>
        <w:rPr>
          <w:rFonts w:hint="default" w:ascii="仿宋_GB2312" w:hAnsi="仿宋_GB2312" w:eastAsia="仿宋_GB2312" w:cs="仿宋_GB2312"/>
          <w:sz w:val="32"/>
          <w:szCs w:val="32"/>
          <w:lang w:val="en-US"/>
        </w:rPr>
        <w:t xml:space="preserve">     </w:t>
      </w:r>
    </w:p>
    <w:p>
      <w:pPr>
        <w:pStyle w:val="2"/>
      </w:pPr>
    </w:p>
    <w:sectPr>
      <w:footerReference r:id="rId3" w:type="default"/>
      <w:pgSz w:w="11906" w:h="16838"/>
      <w:pgMar w:top="2041" w:right="2041" w:bottom="1984" w:left="1587" w:header="851" w:footer="147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AAA"/>
    <w:rsid w:val="00066971"/>
    <w:rsid w:val="000C628F"/>
    <w:rsid w:val="00131D97"/>
    <w:rsid w:val="00246510"/>
    <w:rsid w:val="00255ED1"/>
    <w:rsid w:val="002631CC"/>
    <w:rsid w:val="002B1F38"/>
    <w:rsid w:val="00352CA3"/>
    <w:rsid w:val="00377736"/>
    <w:rsid w:val="00391AAA"/>
    <w:rsid w:val="003A7352"/>
    <w:rsid w:val="00412F19"/>
    <w:rsid w:val="00447D6D"/>
    <w:rsid w:val="004664F4"/>
    <w:rsid w:val="004E1161"/>
    <w:rsid w:val="004E6950"/>
    <w:rsid w:val="00555B59"/>
    <w:rsid w:val="005E1BB8"/>
    <w:rsid w:val="006779DA"/>
    <w:rsid w:val="006E0E31"/>
    <w:rsid w:val="006E6BA7"/>
    <w:rsid w:val="00795466"/>
    <w:rsid w:val="007A6171"/>
    <w:rsid w:val="007C6005"/>
    <w:rsid w:val="007D14D7"/>
    <w:rsid w:val="007F7D74"/>
    <w:rsid w:val="008212C8"/>
    <w:rsid w:val="00866184"/>
    <w:rsid w:val="00887A1C"/>
    <w:rsid w:val="008B3143"/>
    <w:rsid w:val="008E2F2E"/>
    <w:rsid w:val="00942493"/>
    <w:rsid w:val="00AF5767"/>
    <w:rsid w:val="00B90BA3"/>
    <w:rsid w:val="00C246B3"/>
    <w:rsid w:val="00C43415"/>
    <w:rsid w:val="00C44BD8"/>
    <w:rsid w:val="00C87658"/>
    <w:rsid w:val="00CE1A93"/>
    <w:rsid w:val="00D00FCD"/>
    <w:rsid w:val="00D05F9C"/>
    <w:rsid w:val="00D42345"/>
    <w:rsid w:val="00D6705D"/>
    <w:rsid w:val="00D80341"/>
    <w:rsid w:val="00E805B5"/>
    <w:rsid w:val="00F8132F"/>
    <w:rsid w:val="0CFFBF88"/>
    <w:rsid w:val="0EF77E73"/>
    <w:rsid w:val="16E0731C"/>
    <w:rsid w:val="19FB6B8D"/>
    <w:rsid w:val="255B710B"/>
    <w:rsid w:val="27FC6F18"/>
    <w:rsid w:val="2BDF55D7"/>
    <w:rsid w:val="32FBDC9F"/>
    <w:rsid w:val="33F7EE92"/>
    <w:rsid w:val="33FFF521"/>
    <w:rsid w:val="347CD8B1"/>
    <w:rsid w:val="35FDD3AB"/>
    <w:rsid w:val="3D6DE52C"/>
    <w:rsid w:val="3FBEFE2A"/>
    <w:rsid w:val="3FCEE070"/>
    <w:rsid w:val="3FCF01F3"/>
    <w:rsid w:val="41358A08"/>
    <w:rsid w:val="4BEE2215"/>
    <w:rsid w:val="52FF6BBB"/>
    <w:rsid w:val="56FB613E"/>
    <w:rsid w:val="57FF3E5C"/>
    <w:rsid w:val="5ABFAA8A"/>
    <w:rsid w:val="5D7F1450"/>
    <w:rsid w:val="5E9E8AC4"/>
    <w:rsid w:val="5F7E106D"/>
    <w:rsid w:val="5FFB248E"/>
    <w:rsid w:val="5FFB4CA2"/>
    <w:rsid w:val="65FAA5AC"/>
    <w:rsid w:val="66BFF1B2"/>
    <w:rsid w:val="6AEFDB22"/>
    <w:rsid w:val="6BAD0129"/>
    <w:rsid w:val="6CBCD28B"/>
    <w:rsid w:val="70EB9898"/>
    <w:rsid w:val="71CEDC87"/>
    <w:rsid w:val="730C38EF"/>
    <w:rsid w:val="75779F11"/>
    <w:rsid w:val="76D7D54C"/>
    <w:rsid w:val="77EB62D5"/>
    <w:rsid w:val="77FFB550"/>
    <w:rsid w:val="79FFF144"/>
    <w:rsid w:val="7AFC90EA"/>
    <w:rsid w:val="7BBFE5E0"/>
    <w:rsid w:val="7BDFFF3D"/>
    <w:rsid w:val="7BFE0579"/>
    <w:rsid w:val="7C6F3CD7"/>
    <w:rsid w:val="7CED4FD4"/>
    <w:rsid w:val="7D77AD60"/>
    <w:rsid w:val="7DA5C7D8"/>
    <w:rsid w:val="7DF76822"/>
    <w:rsid w:val="7DFAC93E"/>
    <w:rsid w:val="7EAF8CB6"/>
    <w:rsid w:val="7EFDC468"/>
    <w:rsid w:val="7F9BF3C9"/>
    <w:rsid w:val="7FAF23C7"/>
    <w:rsid w:val="7FB7F938"/>
    <w:rsid w:val="7FC27767"/>
    <w:rsid w:val="7FE783DC"/>
    <w:rsid w:val="7FFF46A9"/>
    <w:rsid w:val="7FFFAF24"/>
    <w:rsid w:val="99C7A2FC"/>
    <w:rsid w:val="9BF6ADE9"/>
    <w:rsid w:val="9CDBFEF5"/>
    <w:rsid w:val="9DDBD464"/>
    <w:rsid w:val="9FE35044"/>
    <w:rsid w:val="9FFEE1CE"/>
    <w:rsid w:val="A7BFF0CD"/>
    <w:rsid w:val="AA9F94E8"/>
    <w:rsid w:val="AF57E07D"/>
    <w:rsid w:val="AFF34E0C"/>
    <w:rsid w:val="B417BD63"/>
    <w:rsid w:val="B8570DEC"/>
    <w:rsid w:val="BE96070A"/>
    <w:rsid w:val="BEC7B63F"/>
    <w:rsid w:val="BFF304B5"/>
    <w:rsid w:val="C7FDBFD5"/>
    <w:rsid w:val="CBB73F36"/>
    <w:rsid w:val="CFFF0B49"/>
    <w:rsid w:val="D3FF04E3"/>
    <w:rsid w:val="D5EC1037"/>
    <w:rsid w:val="D75C513E"/>
    <w:rsid w:val="D75F8854"/>
    <w:rsid w:val="DBE74D18"/>
    <w:rsid w:val="DC5F25AD"/>
    <w:rsid w:val="DEFF0F53"/>
    <w:rsid w:val="DFEFDD4D"/>
    <w:rsid w:val="DFFF7954"/>
    <w:rsid w:val="E7FBD8AA"/>
    <w:rsid w:val="E8FFE79B"/>
    <w:rsid w:val="E93FEC49"/>
    <w:rsid w:val="EB7FBD9A"/>
    <w:rsid w:val="EFDD9AF5"/>
    <w:rsid w:val="EFEB5507"/>
    <w:rsid w:val="EFFEF7A7"/>
    <w:rsid w:val="F6770BC0"/>
    <w:rsid w:val="F69FAC57"/>
    <w:rsid w:val="F6BDE175"/>
    <w:rsid w:val="F77B863B"/>
    <w:rsid w:val="F77CB21E"/>
    <w:rsid w:val="F7FB6ED9"/>
    <w:rsid w:val="FBBFD592"/>
    <w:rsid w:val="FD3E4260"/>
    <w:rsid w:val="FD7FD471"/>
    <w:rsid w:val="FD8B4F1F"/>
    <w:rsid w:val="FDDFC176"/>
    <w:rsid w:val="FE3F594E"/>
    <w:rsid w:val="FF7A1A19"/>
    <w:rsid w:val="FF7E29F1"/>
    <w:rsid w:val="FFA3D024"/>
    <w:rsid w:val="FFF35644"/>
    <w:rsid w:val="FFFD7CCF"/>
    <w:rsid w:val="FFFFB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5">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afterLines="0" w:afterAutospacing="0"/>
      <w:ind w:left="420" w:leftChars="200" w:firstLine="420" w:firstLineChars="200"/>
      <w:jc w:val="both"/>
    </w:pPr>
    <w:rPr>
      <w:rFonts w:asciiTheme="minorHAnsi" w:hAnsiTheme="minorHAnsi" w:eastAsiaTheme="minorEastAsia" w:cstheme="minorBidi"/>
      <w:kern w:val="2"/>
      <w:sz w:val="21"/>
      <w:szCs w:val="22"/>
      <w:lang w:val="en-US" w:eastAsia="zh-CN" w:bidi="ar-SA"/>
    </w:rPr>
  </w:style>
  <w:style w:type="paragraph" w:styleId="3">
    <w:name w:val="Body Text Indent"/>
    <w:basedOn w:val="1"/>
    <w:qFormat/>
    <w:uiPriority w:val="0"/>
    <w:pPr>
      <w:spacing w:after="120" w:afterLines="0" w:afterAutospacing="0"/>
      <w:ind w:left="420" w:leftChars="200"/>
    </w:pPr>
  </w:style>
  <w:style w:type="paragraph" w:styleId="6">
    <w:name w:val="annotation text"/>
    <w:basedOn w:val="1"/>
    <w:link w:val="20"/>
    <w:semiHidden/>
    <w:unhideWhenUsed/>
    <w:qFormat/>
    <w:uiPriority w:val="99"/>
    <w:pPr>
      <w:jc w:val="left"/>
    </w:pPr>
  </w:style>
  <w:style w:type="paragraph" w:styleId="7">
    <w:name w:val="Balloon Text"/>
    <w:basedOn w:val="1"/>
    <w:link w:val="22"/>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footnote text"/>
    <w:basedOn w:val="1"/>
    <w:semiHidden/>
    <w:unhideWhenUsed/>
    <w:qFormat/>
    <w:uiPriority w:val="99"/>
    <w:pPr>
      <w:snapToGrid w:val="0"/>
      <w:jc w:val="left"/>
    </w:pPr>
    <w:rPr>
      <w:sz w:val="18"/>
    </w:rPr>
  </w:style>
  <w:style w:type="paragraph" w:styleId="11">
    <w:name w:val="toc 2"/>
    <w:basedOn w:val="1"/>
    <w:next w:val="1"/>
    <w:semiHidden/>
    <w:unhideWhenUsed/>
    <w:qFormat/>
    <w:uiPriority w:val="0"/>
    <w:pPr>
      <w:ind w:left="420" w:leftChars="200"/>
    </w:pPr>
  </w:style>
  <w:style w:type="paragraph" w:styleId="12">
    <w:name w:val="annotation subject"/>
    <w:basedOn w:val="6"/>
    <w:next w:val="6"/>
    <w:link w:val="21"/>
    <w:semiHidden/>
    <w:unhideWhenUsed/>
    <w:qFormat/>
    <w:uiPriority w:val="99"/>
    <w:rPr>
      <w:b/>
      <w:bCs/>
    </w:rPr>
  </w:style>
  <w:style w:type="character" w:styleId="15">
    <w:name w:val="annotation reference"/>
    <w:basedOn w:val="14"/>
    <w:semiHidden/>
    <w:unhideWhenUsed/>
    <w:qFormat/>
    <w:uiPriority w:val="99"/>
    <w:rPr>
      <w:sz w:val="21"/>
      <w:szCs w:val="21"/>
    </w:rPr>
  </w:style>
  <w:style w:type="character" w:styleId="16">
    <w:name w:val="footnote reference"/>
    <w:basedOn w:val="14"/>
    <w:semiHidden/>
    <w:unhideWhenUsed/>
    <w:qFormat/>
    <w:uiPriority w:val="99"/>
    <w:rPr>
      <w:vertAlign w:val="superscript"/>
    </w:rPr>
  </w:style>
  <w:style w:type="character" w:customStyle="1" w:styleId="17">
    <w:name w:val="页眉 字符"/>
    <w:basedOn w:val="14"/>
    <w:link w:val="9"/>
    <w:qFormat/>
    <w:uiPriority w:val="99"/>
    <w:rPr>
      <w:sz w:val="18"/>
      <w:szCs w:val="18"/>
    </w:rPr>
  </w:style>
  <w:style w:type="character" w:customStyle="1" w:styleId="18">
    <w:name w:val="页脚 字符"/>
    <w:basedOn w:val="14"/>
    <w:link w:val="8"/>
    <w:qFormat/>
    <w:uiPriority w:val="99"/>
    <w:rPr>
      <w:sz w:val="18"/>
      <w:szCs w:val="18"/>
    </w:rPr>
  </w:style>
  <w:style w:type="character" w:customStyle="1" w:styleId="19">
    <w:name w:val="标题 1 字符"/>
    <w:basedOn w:val="14"/>
    <w:link w:val="4"/>
    <w:qFormat/>
    <w:uiPriority w:val="9"/>
    <w:rPr>
      <w:rFonts w:ascii="Calibri" w:hAnsi="Calibri" w:eastAsia="宋体" w:cs="Times New Roman"/>
      <w:b/>
      <w:bCs/>
      <w:kern w:val="44"/>
      <w:sz w:val="44"/>
      <w:szCs w:val="44"/>
    </w:rPr>
  </w:style>
  <w:style w:type="character" w:customStyle="1" w:styleId="20">
    <w:name w:val="批注文字 字符"/>
    <w:basedOn w:val="14"/>
    <w:link w:val="6"/>
    <w:semiHidden/>
    <w:qFormat/>
    <w:uiPriority w:val="99"/>
    <w:rPr>
      <w:rFonts w:ascii="Calibri" w:hAnsi="Calibri" w:eastAsia="宋体" w:cs="Times New Roman"/>
      <w:szCs w:val="24"/>
    </w:rPr>
  </w:style>
  <w:style w:type="character" w:customStyle="1" w:styleId="21">
    <w:name w:val="批注主题 字符"/>
    <w:basedOn w:val="20"/>
    <w:link w:val="12"/>
    <w:semiHidden/>
    <w:qFormat/>
    <w:uiPriority w:val="99"/>
    <w:rPr>
      <w:rFonts w:ascii="Calibri" w:hAnsi="Calibri" w:eastAsia="宋体" w:cs="Times New Roman"/>
      <w:b/>
      <w:bCs/>
      <w:szCs w:val="24"/>
    </w:rPr>
  </w:style>
  <w:style w:type="character" w:customStyle="1" w:styleId="22">
    <w:name w:val="批注框文本 字符"/>
    <w:basedOn w:val="14"/>
    <w:link w:val="7"/>
    <w:semiHidden/>
    <w:qFormat/>
    <w:uiPriority w:val="99"/>
    <w:rPr>
      <w:rFonts w:ascii="Calibri" w:hAnsi="Calibri" w:eastAsia="宋体" w:cs="Times New Roman"/>
      <w:sz w:val="18"/>
      <w:szCs w:val="18"/>
    </w:rPr>
  </w:style>
  <w:style w:type="paragraph" w:customStyle="1" w:styleId="23">
    <w:name w:val="Revision"/>
    <w:hidden/>
    <w:unhideWhenUsed/>
    <w:qFormat/>
    <w:uiPriority w:val="99"/>
    <w:rPr>
      <w:rFonts w:ascii="Calibri" w:hAnsi="Calibri" w:eastAsia="宋体" w:cs="Times New Roman"/>
      <w:kern w:val="2"/>
      <w:sz w:val="21"/>
      <w:szCs w:val="24"/>
      <w:lang w:val="en-US" w:eastAsia="zh-CN" w:bidi="ar-SA"/>
    </w:rPr>
  </w:style>
  <w:style w:type="character" w:customStyle="1" w:styleId="24">
    <w:name w:val="标题 3 字符"/>
    <w:basedOn w:val="14"/>
    <w:link w:val="5"/>
    <w:semiHidden/>
    <w:qFormat/>
    <w:uiPriority w:val="9"/>
    <w:rPr>
      <w:rFonts w:ascii="Calibri" w:hAnsi="Calibr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3069</Words>
  <Characters>3246</Characters>
  <Lines>20</Lines>
  <Paragraphs>5</Paragraphs>
  <TotalTime>5</TotalTime>
  <ScaleCrop>false</ScaleCrop>
  <LinksUpToDate>false</LinksUpToDate>
  <CharactersWithSpaces>3268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2025-08-09T00:28:00Z</dcterms:created>
  <dc:creator>罗晔</dc:creator>
  <cp:lastModifiedBy>杨晨曦</cp:lastModifiedBy>
  <dcterms:modified xsi:type="dcterms:W3CDTF">2026-04-10T16:54:32Z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8B2A61A59525FD92727B3669C32F4D88</vt:lpwstr>
  </property>
  <property fmtid="{D5CDD505-2E9C-101B-9397-08002B2CF9AE}" pid="4" name="KSOTemplateDocerSaveRecord">
    <vt:lpwstr>eyJoZGlkIjoiNGJkMGRmZTJhNjkzYjcwMjdiYmYwYjM5NTUxNGVkOWYiLCJ1c2VySWQiOiIyNjc4NDYzNzcifQ==</vt:lpwstr>
  </property>
</Properties>
</file>