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jc w:val="center"/>
        <w:textAlignment w:val="auto"/>
        <w:outlineLvl w:val="0"/>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深圳市高精密光学感知核心部件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jc w:val="center"/>
        <w:textAlignment w:val="auto"/>
        <w:outlineLvl w:val="0"/>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智造基地项目遴选方案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80" w:firstLineChars="200"/>
        <w:jc w:val="center"/>
        <w:textAlignment w:val="auto"/>
        <w:rPr>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color w:val="auto"/>
          <w:sz w:val="32"/>
          <w:szCs w:val="32"/>
          <w:highlight w:val="none"/>
        </w:rPr>
      </w:pPr>
      <w:r>
        <w:rPr>
          <w:rFonts w:hint="eastAsia" w:ascii="仿宋_GB2312" w:hAnsi="仿宋_GB2312" w:eastAsia="仿宋_GB2312" w:cs="仿宋_GB2312"/>
          <w:color w:val="auto"/>
          <w:kern w:val="0"/>
          <w:sz w:val="32"/>
          <w:szCs w:val="32"/>
          <w:highlight w:val="none"/>
        </w:rPr>
        <w:t>根据</w:t>
      </w:r>
      <w:r>
        <w:rPr>
          <w:rFonts w:hint="eastAsia" w:ascii="仿宋_GB2312" w:hAnsi="仿宋_GB2312" w:eastAsia="仿宋_GB2312" w:cs="仿宋_GB2312"/>
          <w:color w:val="auto"/>
          <w:sz w:val="32"/>
          <w:szCs w:val="32"/>
          <w:highlight w:val="none"/>
        </w:rPr>
        <w:t>《深圳市人民政府关于延长工业及其他产业用地供应管理办法有效期的通知》（深府规</w:t>
      </w:r>
      <w:r>
        <w:rPr>
          <w:rFonts w:hint="eastAsia" w:ascii="仿宋_GB2312" w:hAnsi="仿宋_GB2312" w:eastAsia="仿宋_GB2312" w:cs="仿宋_GB2312"/>
          <w:color w:val="auto"/>
          <w:sz w:val="32"/>
          <w:szCs w:val="32"/>
          <w:highlight w:val="none"/>
          <w:lang w:bidi="ar"/>
        </w:rPr>
        <w:t>〔20</w:t>
      </w:r>
      <w:r>
        <w:rPr>
          <w:rFonts w:hint="eastAsia" w:ascii="仿宋_GB2312" w:hAnsi="仿宋_GB2312" w:eastAsia="仿宋_GB2312" w:cs="仿宋_GB2312"/>
          <w:color w:val="auto"/>
          <w:sz w:val="32"/>
          <w:szCs w:val="32"/>
          <w:highlight w:val="none"/>
          <w:lang w:val="en-US" w:eastAsia="zh-CN" w:bidi="ar"/>
        </w:rPr>
        <w:t>25</w:t>
      </w:r>
      <w:r>
        <w:rPr>
          <w:rFonts w:hint="eastAsia" w:ascii="仿宋_GB2312" w:hAnsi="仿宋_GB2312" w:eastAsia="仿宋_GB2312" w:cs="仿宋_GB2312"/>
          <w:color w:val="auto"/>
          <w:sz w:val="32"/>
          <w:szCs w:val="32"/>
          <w:highlight w:val="none"/>
          <w:lang w:bidi="ar"/>
        </w:rPr>
        <w:t>〕</w:t>
      </w:r>
      <w:r>
        <w:rPr>
          <w:rFonts w:hint="eastAsia" w:ascii="仿宋_GB2312" w:hAnsi="仿宋_GB2312" w:eastAsia="仿宋_GB2312" w:cs="仿宋_GB2312"/>
          <w:color w:val="auto"/>
          <w:sz w:val="32"/>
          <w:szCs w:val="32"/>
          <w:highlight w:val="none"/>
          <w:lang w:val="en-US" w:eastAsia="zh-CN" w:bidi="ar"/>
        </w:rPr>
        <w:t>1</w:t>
      </w:r>
      <w:r>
        <w:rPr>
          <w:rFonts w:hint="eastAsia" w:ascii="仿宋_GB2312" w:hAnsi="仿宋_GB2312" w:eastAsia="仿宋_GB2312" w:cs="仿宋_GB2312"/>
          <w:color w:val="auto"/>
          <w:sz w:val="32"/>
          <w:szCs w:val="32"/>
          <w:highlight w:val="none"/>
          <w:lang w:bidi="ar"/>
        </w:rPr>
        <w:t>号</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kern w:val="0"/>
          <w:sz w:val="32"/>
          <w:szCs w:val="32"/>
          <w:highlight w:val="none"/>
        </w:rPr>
        <w:t>《深圳市工业及其他产业用地供应管理办法》（深府规〔20</w:t>
      </w:r>
      <w:r>
        <w:rPr>
          <w:rFonts w:hint="eastAsia" w:ascii="仿宋_GB2312" w:hAnsi="仿宋_GB2312" w:eastAsia="仿宋_GB2312" w:cs="仿宋_GB2312"/>
          <w:color w:val="auto"/>
          <w:kern w:val="0"/>
          <w:sz w:val="32"/>
          <w:szCs w:val="32"/>
          <w:highlight w:val="none"/>
          <w:lang w:val="en-US" w:eastAsia="zh-CN"/>
        </w:rPr>
        <w:t>19</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号</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sz w:val="32"/>
          <w:szCs w:val="32"/>
          <w:highlight w:val="none"/>
        </w:rPr>
        <w:t>以下简称《管理办法》）</w:t>
      </w:r>
      <w:r>
        <w:rPr>
          <w:rFonts w:hint="eastAsia" w:ascii="仿宋_GB2312" w:hAnsi="仿宋_GB2312" w:eastAsia="仿宋_GB2312" w:cs="仿宋_GB2312"/>
          <w:color w:val="auto"/>
          <w:kern w:val="0"/>
          <w:sz w:val="32"/>
          <w:szCs w:val="32"/>
          <w:highlight w:val="none"/>
          <w:lang w:eastAsia="zh-CN"/>
        </w:rPr>
        <w:t>，</w:t>
      </w:r>
      <w:r>
        <w:rPr>
          <w:rFonts w:hint="eastAsia" w:ascii="仿宋_GB2312" w:eastAsia="仿宋_GB2312"/>
          <w:color w:val="auto"/>
          <w:sz w:val="32"/>
          <w:szCs w:val="32"/>
          <w:highlight w:val="none"/>
        </w:rPr>
        <w:t>为了增强深圳市高新技术产业核心竞争力，提升产业整体自主生产能力，结合深圳市及龙岗区产业发展布局规划，现就深圳市高精密光学感知核心部件智造基地项目（以下简称“本项目”）制定如下重点产业项目遴选方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0"/>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一、项目名称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color w:val="auto"/>
          <w:sz w:val="32"/>
          <w:szCs w:val="32"/>
          <w:highlight w:val="none"/>
        </w:rPr>
      </w:pPr>
      <w:r>
        <w:rPr>
          <w:rFonts w:hint="eastAsia" w:ascii="仿宋_GB2312" w:hAnsi="仿宋_GB2312" w:eastAsia="仿宋_GB2312" w:cs="仿宋_GB2312"/>
          <w:color w:val="auto"/>
          <w:sz w:val="32"/>
          <w:szCs w:val="32"/>
          <w:highlight w:val="none"/>
        </w:rPr>
        <w:t>深圳市高精密光学感知核心部件智造基地</w:t>
      </w:r>
      <w:r>
        <w:rPr>
          <w:rFonts w:hint="eastAsia" w:ascii="仿宋_GB2312" w:eastAsia="仿宋_GB2312"/>
          <w:color w:val="auto"/>
          <w:sz w:val="32"/>
          <w:szCs w:val="32"/>
          <w:highlight w:val="none"/>
        </w:rPr>
        <w:t>项目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0"/>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二、意向用地单位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olor w:val="auto"/>
          <w:sz w:val="32"/>
          <w:szCs w:val="32"/>
          <w:highlight w:val="none"/>
        </w:rPr>
      </w:pPr>
      <w:r>
        <w:rPr>
          <w:rFonts w:hint="eastAsia" w:ascii="仿宋_GB2312" w:eastAsia="仿宋_GB2312"/>
          <w:color w:val="auto"/>
          <w:sz w:val="32"/>
          <w:szCs w:val="32"/>
          <w:highlight w:val="none"/>
        </w:rPr>
        <w:t>深圳市</w:t>
      </w:r>
      <w:r>
        <w:rPr>
          <w:rFonts w:hint="eastAsia" w:ascii="仿宋_GB2312" w:hAnsi="仿宋_GB2312" w:eastAsia="仿宋_GB2312" w:cs="仿宋_GB2312"/>
          <w:color w:val="auto"/>
          <w:sz w:val="32"/>
          <w:szCs w:val="32"/>
          <w:highlight w:val="none"/>
        </w:rPr>
        <w:t>欣茂鑫</w:t>
      </w:r>
      <w:r>
        <w:rPr>
          <w:rFonts w:hint="eastAsia" w:ascii="仿宋_GB2312" w:hAnsi="仿宋_GB2312" w:eastAsia="仿宋_GB2312" w:cs="仿宋_GB2312"/>
          <w:color w:val="auto"/>
          <w:sz w:val="32"/>
          <w:szCs w:val="32"/>
          <w:highlight w:val="none"/>
          <w:lang w:eastAsia="zh-CN"/>
        </w:rPr>
        <w:t>实业有限</w:t>
      </w:r>
      <w:r>
        <w:rPr>
          <w:rFonts w:hint="eastAsia" w:ascii="仿宋_GB2312" w:eastAsia="仿宋_GB2312"/>
          <w:color w:val="auto"/>
          <w:sz w:val="32"/>
          <w:szCs w:val="32"/>
          <w:highlight w:val="none"/>
        </w:rPr>
        <w:t>公司</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0"/>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三、项目可行性研究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1"/>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（一）必要性</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eastAsia="仿宋_GB2312" w:cs="宋体"/>
          <w:color w:val="auto"/>
          <w:sz w:val="32"/>
          <w:szCs w:val="32"/>
          <w:highlight w:val="none"/>
        </w:rPr>
      </w:pPr>
      <w:r>
        <w:rPr>
          <w:rFonts w:hint="eastAsia" w:ascii="仿宋_GB2312" w:eastAsia="仿宋_GB2312" w:cs="宋体"/>
          <w:color w:val="auto"/>
          <w:sz w:val="32"/>
          <w:szCs w:val="32"/>
          <w:highlight w:val="none"/>
        </w:rPr>
        <w:t>本项目的建设契合深圳市大力发展“20+8”战略性新兴产业和未来产业集群的战略部署，属于重点鼓励发展的智能网联汽车核心零部件领域。意向用地单位深圳市欣茂鑫实业有限公司是国家高新技术企业、国家专精特新“小巨人”企业、龙岗区工业百强企业，专注于高精密车载摄像头支架、超精密锻压汽车镜筒、低反射率高端激光雷达支架等车载光学结构件的研发、生产及销售，核心产品为华为M系列车型、蔚来摄像头支架独供，车载摄像头支架、汽车配件、激光雷达支架等产品市场占有率位居国内前列。公司累计获得中国知识产权64项、PCT专利3项，其中发明专利38项，参与2项国家标准制定，研发投入强度8.05%，高于同行水平，解决激光雷达镜片碳化粉尘等行业难题，技术实力处于国内先进水平。</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1"/>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（二）可行性</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本项目符合国家、广东省、深圳市战略性新兴产业发展规划及政策要求，并聚焦龙岗区重点发展的产业方向。</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项目意向用地位于深圳市龙岗区坪地街道，区内已具备良好的智能网联汽车产业生态基础。依托意向用地单位在高精密车载光学结构件领域的行业地位和技术实力，项目的建设将提升龙岗区在智能网联汽车感知层核心部件领域的产业规模与能级。项目落地将增强龙岗区在珠三角及全国的智能网联汽车产业竞争力，与区内比亚迪、华为等整车及智能驾驶技术供应商形成配套，完善产业链完整性与韧性，降低关键零部件对外依赖度，把握智能驾驶技术迭代机遇，提升区域竞争优势。</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1"/>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（三）建设内容及初步建设规模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本项目</w:t>
      </w:r>
      <w:r>
        <w:rPr>
          <w:rFonts w:hint="eastAsia" w:ascii="仿宋_GB2312" w:eastAsia="仿宋_GB2312"/>
          <w:i w:val="0"/>
          <w:iCs w:val="0"/>
          <w:color w:val="auto"/>
          <w:sz w:val="32"/>
          <w:szCs w:val="32"/>
          <w:highlight w:val="none"/>
        </w:rPr>
        <w:t>拟打造</w:t>
      </w:r>
      <w:r>
        <w:rPr>
          <w:rFonts w:hint="eastAsia" w:ascii="仿宋_GB2312" w:eastAsia="仿宋_GB2312"/>
          <w:i w:val="0"/>
          <w:iCs w:val="0"/>
          <w:color w:val="auto"/>
          <w:sz w:val="32"/>
          <w:szCs w:val="32"/>
          <w:highlight w:val="none"/>
          <w:lang w:eastAsia="zh-CN"/>
        </w:rPr>
        <w:t>企业总部及智能制造中心，</w:t>
      </w:r>
      <w:r>
        <w:rPr>
          <w:rFonts w:hint="eastAsia" w:ascii="仿宋_GB2312" w:eastAsia="仿宋_GB2312"/>
          <w:i w:val="0"/>
          <w:iCs w:val="0"/>
          <w:color w:val="auto"/>
          <w:sz w:val="32"/>
          <w:szCs w:val="32"/>
          <w:highlight w:val="none"/>
        </w:rPr>
        <w:t>含建设生产厂房及配套用房等。</w:t>
      </w:r>
      <w:r>
        <w:rPr>
          <w:rFonts w:hint="eastAsia" w:ascii="仿宋_GB2312" w:eastAsia="仿宋_GB2312"/>
          <w:color w:val="auto"/>
          <w:sz w:val="32"/>
          <w:szCs w:val="32"/>
          <w:highlight w:val="none"/>
          <w:lang w:eastAsia="zh-CN"/>
        </w:rPr>
        <w:t>用地</w:t>
      </w:r>
      <w:r>
        <w:rPr>
          <w:rFonts w:hint="eastAsia" w:ascii="仿宋_GB2312" w:eastAsia="仿宋_GB2312"/>
          <w:color w:val="auto"/>
          <w:sz w:val="32"/>
          <w:szCs w:val="32"/>
          <w:highlight w:val="none"/>
        </w:rPr>
        <w:t>面积约</w:t>
      </w:r>
      <w:r>
        <w:rPr>
          <w:rFonts w:hint="eastAsia" w:ascii="仿宋_GB2312" w:eastAsia="仿宋_GB2312"/>
          <w:color w:val="auto"/>
          <w:sz w:val="32"/>
          <w:szCs w:val="32"/>
          <w:highlight w:val="none"/>
          <w:lang w:val="en-US" w:eastAsia="zh-CN"/>
        </w:rPr>
        <w:t>3</w:t>
      </w:r>
      <w:r>
        <w:rPr>
          <w:rFonts w:hint="default"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3</w:t>
      </w:r>
      <w:r>
        <w:rPr>
          <w:rFonts w:hint="default" w:ascii="仿宋_GB2312" w:eastAsia="仿宋_GB2312"/>
          <w:color w:val="auto"/>
          <w:sz w:val="32"/>
          <w:szCs w:val="32"/>
          <w:highlight w:val="none"/>
          <w:lang w:eastAsia="zh-CN"/>
        </w:rPr>
        <w:t>万</w:t>
      </w:r>
      <w:r>
        <w:rPr>
          <w:rFonts w:hint="eastAsia" w:ascii="仿宋_GB2312" w:eastAsia="仿宋_GB2312"/>
          <w:color w:val="auto"/>
          <w:sz w:val="32"/>
          <w:szCs w:val="32"/>
          <w:highlight w:val="none"/>
        </w:rPr>
        <w:t>㎡，计容建筑面积约</w:t>
      </w:r>
      <w:r>
        <w:rPr>
          <w:rFonts w:hint="eastAsia" w:ascii="仿宋_GB2312" w:eastAsia="仿宋_GB2312"/>
          <w:color w:val="auto"/>
          <w:sz w:val="32"/>
          <w:szCs w:val="32"/>
          <w:highlight w:val="none"/>
          <w:lang w:val="en-US" w:eastAsia="zh-CN"/>
        </w:rPr>
        <w:t>12</w:t>
      </w:r>
      <w:r>
        <w:rPr>
          <w:rFonts w:hint="default"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5</w:t>
      </w:r>
      <w:r>
        <w:rPr>
          <w:rFonts w:hint="default" w:ascii="仿宋_GB2312" w:eastAsia="仿宋_GB2312"/>
          <w:color w:val="auto"/>
          <w:sz w:val="32"/>
          <w:szCs w:val="32"/>
          <w:highlight w:val="none"/>
          <w:lang w:eastAsia="zh-CN"/>
        </w:rPr>
        <w:t>万</w:t>
      </w:r>
      <w:r>
        <w:rPr>
          <w:rFonts w:hint="eastAsia" w:ascii="仿宋_GB2312" w:eastAsia="仿宋_GB2312"/>
          <w:color w:val="auto"/>
          <w:sz w:val="32"/>
          <w:szCs w:val="32"/>
          <w:highlight w:val="none"/>
        </w:rPr>
        <w:t>㎡其中厂房建筑面积比例不少于总建筑面积</w:t>
      </w:r>
      <w:r>
        <w:rPr>
          <w:rFonts w:hint="eastAsia" w:ascii="仿宋_GB2312" w:eastAsia="仿宋_GB2312"/>
          <w:color w:val="auto"/>
          <w:sz w:val="32"/>
          <w:szCs w:val="32"/>
          <w:highlight w:val="none"/>
          <w:lang w:val="en-US" w:eastAsia="zh-CN"/>
        </w:rPr>
        <w:t>70%</w:t>
      </w:r>
      <w:r>
        <w:rPr>
          <w:rFonts w:hint="eastAsia" w:ascii="仿宋_GB2312" w:eastAsia="仿宋_GB2312"/>
          <w:color w:val="auto"/>
          <w:sz w:val="32"/>
          <w:szCs w:val="32"/>
          <w:highlight w:val="none"/>
        </w:rPr>
        <w:t>，宿舍及食堂等配套设施建筑面积不超过总建筑面积的</w:t>
      </w:r>
      <w:r>
        <w:rPr>
          <w:rFonts w:hint="eastAsia" w:ascii="仿宋_GB2312" w:eastAsia="仿宋_GB2312"/>
          <w:color w:val="auto"/>
          <w:sz w:val="32"/>
          <w:szCs w:val="32"/>
          <w:highlight w:val="none"/>
          <w:lang w:val="en-US" w:eastAsia="zh-CN"/>
        </w:rPr>
        <w:t>30%</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0"/>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四、产业项目类型及要求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color w:val="auto"/>
          <w:sz w:val="32"/>
          <w:szCs w:val="32"/>
          <w:highlight w:val="none"/>
        </w:rPr>
      </w:pPr>
      <w:r>
        <w:rPr>
          <w:rFonts w:hint="eastAsia" w:ascii="楷体_GB2312" w:hAnsi="楷体_GB2312" w:eastAsia="楷体_GB2312" w:cs="楷体_GB2312"/>
          <w:b w:val="0"/>
          <w:bCs/>
          <w:color w:val="auto"/>
          <w:sz w:val="32"/>
          <w:szCs w:val="32"/>
          <w:highlight w:val="none"/>
        </w:rPr>
        <w:t>（一）产业类型</w:t>
      </w:r>
      <w:r>
        <w:rPr>
          <w:rFonts w:hint="eastAsia" w:ascii="仿宋_GB2312" w:eastAsia="仿宋_GB2312"/>
          <w:b/>
          <w:color w:val="auto"/>
          <w:sz w:val="32"/>
          <w:szCs w:val="32"/>
          <w:highlight w:val="none"/>
        </w:rPr>
        <w:t>：</w:t>
      </w:r>
      <w:r>
        <w:rPr>
          <w:rFonts w:hint="eastAsia" w:ascii="仿宋_GB2312" w:eastAsia="仿宋_GB2312"/>
          <w:b w:val="0"/>
          <w:bCs/>
          <w:color w:val="auto"/>
          <w:sz w:val="32"/>
          <w:szCs w:val="32"/>
          <w:highlight w:val="none"/>
          <w:lang w:eastAsia="zh-CN"/>
        </w:rPr>
        <w:t>竞买申请人</w:t>
      </w:r>
      <w:r>
        <w:rPr>
          <w:rFonts w:hint="eastAsia" w:ascii="仿宋_GB2312" w:eastAsia="仿宋_GB2312"/>
          <w:b w:val="0"/>
          <w:bCs/>
          <w:color w:val="auto"/>
          <w:sz w:val="32"/>
          <w:szCs w:val="32"/>
          <w:highlight w:val="none"/>
          <w:lang w:val="en-US" w:eastAsia="zh-CN"/>
        </w:rPr>
        <w:t>的</w:t>
      </w:r>
      <w:r>
        <w:rPr>
          <w:rFonts w:hint="eastAsia" w:ascii="仿宋_GB2312" w:eastAsia="仿宋_GB2312"/>
          <w:b w:val="0"/>
          <w:bCs/>
          <w:color w:val="auto"/>
          <w:sz w:val="32"/>
          <w:szCs w:val="32"/>
          <w:highlight w:val="none"/>
          <w:lang w:eastAsia="zh-CN"/>
        </w:rPr>
        <w:t>产业类别为《产业结构调整指导目录(2024年本)》(中华人民共和国国家发展和改革委员会令第7号)中鼓励类第</w:t>
      </w:r>
      <w:r>
        <w:rPr>
          <w:rFonts w:hint="eastAsia" w:ascii="仿宋_GB2312" w:eastAsia="仿宋_GB2312"/>
          <w:b w:val="0"/>
          <w:bCs/>
          <w:color w:val="auto"/>
          <w:sz w:val="32"/>
          <w:szCs w:val="32"/>
          <w:highlight w:val="none"/>
          <w:lang w:val="en-US" w:eastAsia="zh-CN"/>
        </w:rPr>
        <w:t>十六</w:t>
      </w:r>
      <w:r>
        <w:rPr>
          <w:rFonts w:hint="eastAsia" w:ascii="仿宋_GB2312" w:eastAsia="仿宋_GB2312"/>
          <w:b w:val="0"/>
          <w:bCs/>
          <w:color w:val="auto"/>
          <w:sz w:val="32"/>
          <w:szCs w:val="32"/>
          <w:highlight w:val="none"/>
          <w:lang w:eastAsia="zh-CN"/>
        </w:rPr>
        <w:t>条“</w:t>
      </w:r>
      <w:r>
        <w:rPr>
          <w:rFonts w:hint="eastAsia" w:ascii="仿宋_GB2312" w:eastAsia="仿宋_GB2312"/>
          <w:b w:val="0"/>
          <w:bCs/>
          <w:color w:val="auto"/>
          <w:sz w:val="32"/>
          <w:szCs w:val="32"/>
          <w:highlight w:val="none"/>
          <w:lang w:val="en-US" w:eastAsia="zh-CN"/>
        </w:rPr>
        <w:t>汽车</w:t>
      </w:r>
      <w:r>
        <w:rPr>
          <w:rFonts w:hint="eastAsia" w:ascii="仿宋_GB2312" w:eastAsia="仿宋_GB2312"/>
          <w:b w:val="0"/>
          <w:bCs/>
          <w:color w:val="auto"/>
          <w:sz w:val="32"/>
          <w:szCs w:val="32"/>
          <w:highlight w:val="none"/>
          <w:lang w:eastAsia="zh-CN"/>
        </w:rPr>
        <w:t>”的第</w:t>
      </w:r>
      <w:r>
        <w:rPr>
          <w:rFonts w:hint="eastAsia" w:ascii="仿宋_GB2312" w:eastAsia="仿宋_GB2312"/>
          <w:b w:val="0"/>
          <w:bCs/>
          <w:color w:val="auto"/>
          <w:sz w:val="32"/>
          <w:szCs w:val="32"/>
          <w:highlight w:val="none"/>
          <w:lang w:val="en-US" w:eastAsia="zh-CN"/>
        </w:rPr>
        <w:t>7</w:t>
      </w:r>
      <w:r>
        <w:rPr>
          <w:rFonts w:hint="eastAsia" w:ascii="仿宋_GB2312" w:eastAsia="仿宋_GB2312"/>
          <w:b w:val="0"/>
          <w:bCs/>
          <w:color w:val="auto"/>
          <w:sz w:val="32"/>
          <w:szCs w:val="32"/>
          <w:highlight w:val="none"/>
          <w:lang w:eastAsia="zh-CN"/>
        </w:rPr>
        <w:t>项</w:t>
      </w:r>
      <w:r>
        <w:rPr>
          <w:rFonts w:hint="eastAsia" w:ascii="仿宋_GB2312" w:eastAsia="仿宋_GB2312"/>
          <w:bCs/>
          <w:i w:val="0"/>
          <w:iCs w:val="0"/>
          <w:color w:val="auto"/>
          <w:sz w:val="32"/>
          <w:szCs w:val="32"/>
          <w:highlight w:val="none"/>
          <w:lang w:val="en-US" w:eastAsia="zh-CN"/>
        </w:rPr>
        <w:t>“</w:t>
      </w:r>
      <w:r>
        <w:rPr>
          <w:rFonts w:hint="eastAsia" w:ascii="仿宋_GB2312" w:eastAsia="仿宋_GB2312"/>
          <w:bCs/>
          <w:color w:val="auto"/>
          <w:sz w:val="32"/>
          <w:szCs w:val="32"/>
          <w:highlight w:val="none"/>
        </w:rPr>
        <w:t>智能汽车关键零部件及技术</w:t>
      </w:r>
      <w:r>
        <w:rPr>
          <w:rFonts w:hint="default" w:ascii="仿宋_GB2312" w:eastAsia="仿宋_GB2312"/>
          <w:bCs/>
          <w:color w:val="auto"/>
          <w:sz w:val="32"/>
          <w:szCs w:val="32"/>
          <w:highlight w:val="none"/>
        </w:rPr>
        <w:t>产业</w:t>
      </w:r>
      <w:r>
        <w:rPr>
          <w:rFonts w:hint="eastAsia" w:ascii="仿宋_GB2312" w:eastAsia="仿宋_GB2312"/>
          <w:bCs/>
          <w:i w:val="0"/>
          <w:iCs w:val="0"/>
          <w:color w:val="auto"/>
          <w:sz w:val="32"/>
          <w:szCs w:val="32"/>
          <w:highlight w:val="none"/>
          <w:lang w:val="en-US" w:eastAsia="zh-CN"/>
        </w:rPr>
        <w:t>”</w:t>
      </w:r>
      <w:r>
        <w:rPr>
          <w:rFonts w:hint="eastAsia" w:ascii="仿宋_GB2312" w:eastAsia="仿宋_GB2312"/>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b/>
          <w:color w:val="auto"/>
          <w:sz w:val="32"/>
          <w:szCs w:val="32"/>
          <w:highlight w:val="none"/>
        </w:rPr>
      </w:pPr>
      <w:r>
        <w:rPr>
          <w:rFonts w:hint="eastAsia" w:ascii="楷体_GB2312" w:hAnsi="楷体_GB2312" w:eastAsia="楷体_GB2312" w:cs="楷体_GB2312"/>
          <w:b w:val="0"/>
          <w:bCs/>
          <w:color w:val="auto"/>
          <w:sz w:val="32"/>
          <w:szCs w:val="32"/>
          <w:highlight w:val="none"/>
        </w:rPr>
        <w:t>（二）生产技术</w:t>
      </w:r>
      <w:r>
        <w:rPr>
          <w:rFonts w:hint="eastAsia" w:ascii="仿宋_GB2312" w:eastAsia="仿宋_GB2312"/>
          <w:b/>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竞买申请人</w:t>
      </w:r>
      <w:r>
        <w:rPr>
          <w:rFonts w:hint="eastAsia" w:ascii="仿宋_GB2312" w:eastAsia="仿宋_GB2312" w:cs="宋体"/>
          <w:color w:val="auto"/>
          <w:sz w:val="32"/>
          <w:szCs w:val="32"/>
          <w:highlight w:val="none"/>
        </w:rPr>
        <w:t>累计获得中国知识产权</w:t>
      </w:r>
      <w:r>
        <w:rPr>
          <w:rFonts w:hint="eastAsia" w:ascii="仿宋_GB2312" w:eastAsia="仿宋_GB2312" w:cs="宋体"/>
          <w:color w:val="auto"/>
          <w:sz w:val="32"/>
          <w:szCs w:val="32"/>
          <w:highlight w:val="none"/>
          <w:lang w:eastAsia="zh-CN"/>
        </w:rPr>
        <w:t>不少于</w:t>
      </w:r>
      <w:r>
        <w:rPr>
          <w:rFonts w:hint="eastAsia" w:ascii="仿宋_GB2312" w:eastAsia="仿宋_GB2312" w:cs="宋体"/>
          <w:color w:val="auto"/>
          <w:sz w:val="32"/>
          <w:szCs w:val="32"/>
          <w:highlight w:val="none"/>
        </w:rPr>
        <w:t>6</w:t>
      </w:r>
      <w:r>
        <w:rPr>
          <w:rFonts w:hint="eastAsia" w:ascii="仿宋_GB2312" w:eastAsia="仿宋_GB2312" w:cs="宋体"/>
          <w:color w:val="auto"/>
          <w:sz w:val="32"/>
          <w:szCs w:val="32"/>
          <w:highlight w:val="none"/>
          <w:lang w:val="en-US" w:eastAsia="zh-CN"/>
        </w:rPr>
        <w:t>0</w:t>
      </w:r>
      <w:r>
        <w:rPr>
          <w:rFonts w:hint="eastAsia" w:ascii="仿宋_GB2312" w:eastAsia="仿宋_GB2312" w:cs="宋体"/>
          <w:color w:val="auto"/>
          <w:sz w:val="32"/>
          <w:szCs w:val="32"/>
          <w:highlight w:val="none"/>
        </w:rPr>
        <w:t>项、PCT专利</w:t>
      </w:r>
      <w:r>
        <w:rPr>
          <w:rFonts w:hint="eastAsia" w:ascii="仿宋_GB2312" w:eastAsia="仿宋_GB2312" w:cs="宋体"/>
          <w:color w:val="auto"/>
          <w:sz w:val="32"/>
          <w:szCs w:val="32"/>
          <w:highlight w:val="none"/>
          <w:lang w:eastAsia="zh-CN"/>
        </w:rPr>
        <w:t>不少于</w:t>
      </w:r>
      <w:r>
        <w:rPr>
          <w:rFonts w:hint="eastAsia" w:ascii="仿宋_GB2312" w:eastAsia="仿宋_GB2312" w:cs="宋体"/>
          <w:color w:val="auto"/>
          <w:sz w:val="32"/>
          <w:szCs w:val="32"/>
          <w:highlight w:val="none"/>
        </w:rPr>
        <w:t>3项，其中发明专利</w:t>
      </w:r>
      <w:r>
        <w:rPr>
          <w:rFonts w:hint="eastAsia" w:ascii="仿宋_GB2312" w:eastAsia="仿宋_GB2312" w:cs="宋体"/>
          <w:color w:val="auto"/>
          <w:sz w:val="32"/>
          <w:szCs w:val="32"/>
          <w:highlight w:val="none"/>
          <w:lang w:eastAsia="zh-CN"/>
        </w:rPr>
        <w:t>不少于</w:t>
      </w:r>
      <w:r>
        <w:rPr>
          <w:rFonts w:hint="eastAsia" w:ascii="仿宋_GB2312" w:eastAsia="仿宋_GB2312" w:cs="宋体"/>
          <w:color w:val="auto"/>
          <w:sz w:val="32"/>
          <w:szCs w:val="32"/>
          <w:highlight w:val="none"/>
        </w:rPr>
        <w:t>3</w:t>
      </w:r>
      <w:r>
        <w:rPr>
          <w:rFonts w:hint="eastAsia" w:ascii="仿宋_GB2312" w:eastAsia="仿宋_GB2312" w:cs="宋体"/>
          <w:color w:val="auto"/>
          <w:sz w:val="32"/>
          <w:szCs w:val="32"/>
          <w:highlight w:val="none"/>
          <w:lang w:val="en-US" w:eastAsia="zh-CN"/>
        </w:rPr>
        <w:t>5</w:t>
      </w:r>
      <w:r>
        <w:rPr>
          <w:rFonts w:hint="eastAsia" w:ascii="仿宋_GB2312" w:eastAsia="仿宋_GB2312" w:cs="宋体"/>
          <w:color w:val="auto"/>
          <w:sz w:val="32"/>
          <w:szCs w:val="32"/>
          <w:highlight w:val="none"/>
        </w:rPr>
        <w:t>项</w:t>
      </w:r>
      <w:r>
        <w:rPr>
          <w:rFonts w:hint="eastAsia" w:ascii="仿宋_GB2312" w:eastAsia="仿宋_GB2312"/>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bCs/>
          <w:color w:val="auto"/>
          <w:sz w:val="32"/>
          <w:szCs w:val="32"/>
          <w:highlight w:val="none"/>
        </w:rPr>
      </w:pPr>
      <w:r>
        <w:rPr>
          <w:rFonts w:hint="eastAsia" w:ascii="楷体_GB2312" w:hAnsi="楷体_GB2312" w:eastAsia="楷体_GB2312" w:cs="楷体_GB2312"/>
          <w:b w:val="0"/>
          <w:bCs/>
          <w:color w:val="auto"/>
          <w:sz w:val="32"/>
          <w:szCs w:val="32"/>
          <w:highlight w:val="none"/>
        </w:rPr>
        <w:t>（三）产业标准：</w:t>
      </w:r>
      <w:r>
        <w:rPr>
          <w:rFonts w:hint="eastAsia" w:ascii="仿宋_GB2312" w:hAnsi="仿宋_GB2312" w:eastAsia="仿宋_GB2312" w:cs="仿宋_GB2312"/>
          <w:b w:val="0"/>
          <w:bCs/>
          <w:color w:val="auto"/>
          <w:sz w:val="32"/>
          <w:szCs w:val="32"/>
          <w:highlight w:val="none"/>
          <w:lang w:eastAsia="zh-CN"/>
        </w:rPr>
        <w:t>竞买申请人</w:t>
      </w:r>
      <w:r>
        <w:rPr>
          <w:rFonts w:hint="eastAsia" w:ascii="仿宋_GB2312" w:eastAsia="仿宋_GB2312"/>
          <w:bCs/>
          <w:i w:val="0"/>
          <w:iCs w:val="0"/>
          <w:color w:val="auto"/>
          <w:sz w:val="32"/>
          <w:szCs w:val="32"/>
          <w:highlight w:val="none"/>
        </w:rPr>
        <w:t>符合IATF 16949-2016汽车行业质量管理体系标准、ISO 9001-2015质量管理体系标准、ISO 14001-2015环境管理体系标准、ISO 45001-2018职业健康安全管理体系标准、QC 080000-2017有害物质过程管理体系标准。</w:t>
      </w:r>
    </w:p>
    <w:p>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i w:val="0"/>
          <w:iCs w:val="0"/>
          <w:color w:val="auto"/>
          <w:sz w:val="32"/>
          <w:szCs w:val="32"/>
          <w:highlight w:val="none"/>
        </w:rPr>
      </w:pPr>
      <w:r>
        <w:rPr>
          <w:rFonts w:hint="eastAsia" w:ascii="楷体_GB2312" w:hAnsi="楷体_GB2312" w:eastAsia="楷体_GB2312" w:cs="楷体_GB2312"/>
          <w:b w:val="0"/>
          <w:bCs/>
          <w:color w:val="auto"/>
          <w:sz w:val="32"/>
          <w:szCs w:val="32"/>
          <w:highlight w:val="none"/>
        </w:rPr>
        <w:t>（四）产品品质</w:t>
      </w:r>
      <w:r>
        <w:rPr>
          <w:rFonts w:hint="eastAsia" w:ascii="仿宋_GB2312" w:eastAsia="仿宋_GB2312"/>
          <w:b/>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竞买申请人</w:t>
      </w:r>
      <w:r>
        <w:rPr>
          <w:rFonts w:hint="eastAsia" w:ascii="仿宋_GB2312" w:eastAsia="仿宋_GB2312"/>
          <w:color w:val="auto"/>
          <w:sz w:val="32"/>
          <w:szCs w:val="32"/>
          <w:highlight w:val="none"/>
          <w:lang w:val="en-US" w:eastAsia="zh-CN"/>
        </w:rPr>
        <w:t>产品精密加工的精度可达到+0.0015/-0.0015mm，具有表面氧化膜较厚、耐腐蚀、低反射，耐磨损、高绝缘性能、高硬度、低摩擦系数等性能；对波长为1550nm的激光的表面反射率为3.62%至4.98%；所述产品对波长为905nm的激光的表面反射率为1.6%至2.3%。</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color w:val="auto"/>
          <w:sz w:val="32"/>
          <w:szCs w:val="32"/>
          <w:highlight w:val="none"/>
        </w:rPr>
      </w:pPr>
      <w:r>
        <w:rPr>
          <w:rFonts w:hint="eastAsia" w:ascii="楷体_GB2312" w:hAnsi="楷体_GB2312" w:eastAsia="楷体_GB2312" w:cs="楷体_GB2312"/>
          <w:b w:val="0"/>
          <w:bCs/>
          <w:color w:val="auto"/>
          <w:sz w:val="32"/>
          <w:szCs w:val="32"/>
          <w:highlight w:val="none"/>
        </w:rPr>
        <w:t>（五）投产时间</w:t>
      </w:r>
      <w:r>
        <w:rPr>
          <w:rFonts w:hint="eastAsia" w:ascii="仿宋_GB2312" w:eastAsia="仿宋_GB2312"/>
          <w:b/>
          <w:color w:val="auto"/>
          <w:sz w:val="32"/>
          <w:szCs w:val="32"/>
          <w:highlight w:val="none"/>
        </w:rPr>
        <w:t>：</w:t>
      </w:r>
      <w:r>
        <w:rPr>
          <w:rFonts w:hint="eastAsia" w:ascii="仿宋_GB2312" w:eastAsia="仿宋_GB2312"/>
          <w:color w:val="auto"/>
          <w:sz w:val="32"/>
          <w:szCs w:val="32"/>
          <w:highlight w:val="none"/>
        </w:rPr>
        <w:t>通过摘牌方式取得用地后</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年内建成投产。</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color w:val="auto"/>
          <w:sz w:val="32"/>
          <w:szCs w:val="32"/>
          <w:highlight w:val="none"/>
        </w:rPr>
      </w:pPr>
      <w:r>
        <w:rPr>
          <w:rFonts w:hint="eastAsia" w:ascii="楷体_GB2312" w:hAnsi="楷体_GB2312" w:eastAsia="楷体_GB2312" w:cs="楷体_GB2312"/>
          <w:b w:val="0"/>
          <w:bCs/>
          <w:color w:val="auto"/>
          <w:sz w:val="32"/>
          <w:szCs w:val="32"/>
          <w:highlight w:val="none"/>
        </w:rPr>
        <w:t>（六）投资总额</w:t>
      </w:r>
      <w:r>
        <w:rPr>
          <w:rFonts w:hint="eastAsia" w:ascii="仿宋_GB2312" w:eastAsia="仿宋_GB2312"/>
          <w:b/>
          <w:color w:val="auto"/>
          <w:sz w:val="32"/>
          <w:szCs w:val="32"/>
          <w:highlight w:val="none"/>
        </w:rPr>
        <w:t>：</w:t>
      </w:r>
      <w:r>
        <w:rPr>
          <w:rFonts w:hint="eastAsia" w:ascii="仿宋_GB2312" w:eastAsia="仿宋_GB2312"/>
          <w:color w:val="auto"/>
          <w:sz w:val="32"/>
          <w:szCs w:val="32"/>
          <w:highlight w:val="none"/>
        </w:rPr>
        <w:t>项目总投资额不低于</w:t>
      </w:r>
      <w:r>
        <w:rPr>
          <w:rFonts w:hint="eastAsia" w:ascii="仿宋_GB2312" w:eastAsia="仿宋_GB2312"/>
          <w:color w:val="auto"/>
          <w:sz w:val="32"/>
          <w:szCs w:val="32"/>
          <w:highlight w:val="none"/>
          <w:lang w:val="en-US" w:eastAsia="zh-CN"/>
        </w:rPr>
        <w:t>5.5</w:t>
      </w:r>
      <w:r>
        <w:rPr>
          <w:rFonts w:hint="eastAsia" w:ascii="仿宋_GB2312" w:eastAsia="仿宋_GB2312"/>
          <w:color w:val="auto"/>
          <w:sz w:val="32"/>
          <w:szCs w:val="32"/>
          <w:highlight w:val="none"/>
        </w:rPr>
        <w:t>亿元。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（七）产出效率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宋体" w:eastAsia="仿宋_GB2312" w:cs="宋体"/>
          <w:color w:val="auto"/>
          <w:sz w:val="32"/>
          <w:szCs w:val="32"/>
          <w:highlight w:val="none"/>
          <w:lang w:val="en-US" w:eastAsia="zh-CN"/>
        </w:rPr>
      </w:pPr>
      <w:r>
        <w:rPr>
          <w:rFonts w:hint="eastAsia" w:ascii="仿宋_GB2312" w:hAnsi="宋体" w:eastAsia="仿宋_GB2312" w:cs="宋体"/>
          <w:color w:val="auto"/>
          <w:sz w:val="32"/>
          <w:szCs w:val="32"/>
          <w:highlight w:val="none"/>
          <w:lang w:val="en-US" w:eastAsia="zh-CN"/>
        </w:rPr>
        <w:t>1.本项目的产出效率应按照本宗用地产业监管协议的有关约定执行。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宋体" w:eastAsia="仿宋_GB2312" w:cs="宋体"/>
          <w:color w:val="auto"/>
          <w:sz w:val="32"/>
          <w:szCs w:val="32"/>
          <w:highlight w:val="none"/>
          <w:lang w:val="en-US" w:eastAsia="zh-CN"/>
        </w:rPr>
      </w:pPr>
      <w:r>
        <w:rPr>
          <w:rFonts w:hint="eastAsia" w:ascii="仿宋_GB2312" w:hAnsi="宋体" w:eastAsia="仿宋_GB2312" w:cs="宋体"/>
          <w:color w:val="auto"/>
          <w:sz w:val="32"/>
          <w:szCs w:val="32"/>
          <w:highlight w:val="none"/>
          <w:lang w:val="en-US" w:eastAsia="zh-CN"/>
        </w:rPr>
        <w:t>2.节能环保：</w:t>
      </w:r>
      <w:r>
        <w:rPr>
          <w:rFonts w:hint="eastAsia" w:ascii="仿宋_GB2312" w:hAnsi="华文仿宋" w:eastAsia="仿宋_GB2312"/>
          <w:color w:val="auto"/>
          <w:sz w:val="32"/>
          <w:szCs w:val="32"/>
          <w:highlight w:val="none"/>
        </w:rPr>
        <w:t>新增地块产值能耗（项目年能耗总值÷项目年总产值）≤0.0</w:t>
      </w:r>
      <w:r>
        <w:rPr>
          <w:rFonts w:hint="eastAsia" w:ascii="仿宋_GB2312" w:hAnsi="华文仿宋" w:eastAsia="仿宋_GB2312"/>
          <w:color w:val="auto"/>
          <w:sz w:val="32"/>
          <w:szCs w:val="32"/>
          <w:highlight w:val="none"/>
          <w:lang w:val="en-US" w:eastAsia="zh-CN"/>
        </w:rPr>
        <w:t>76</w:t>
      </w:r>
      <w:r>
        <w:rPr>
          <w:rFonts w:hint="eastAsia" w:ascii="仿宋_GB2312" w:hAnsi="华文仿宋" w:eastAsia="仿宋_GB2312"/>
          <w:color w:val="auto"/>
          <w:sz w:val="32"/>
          <w:szCs w:val="32"/>
          <w:highlight w:val="none"/>
        </w:rPr>
        <w:t>吨标准煤/万元。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0"/>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五、项目用地情况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color w:val="auto"/>
          <w:sz w:val="32"/>
          <w:szCs w:val="32"/>
          <w:highlight w:val="none"/>
        </w:rPr>
      </w:pPr>
      <w:r>
        <w:rPr>
          <w:rFonts w:hint="eastAsia" w:ascii="楷体_GB2312" w:hAnsi="楷体_GB2312" w:eastAsia="楷体_GB2312" w:cs="楷体_GB2312"/>
          <w:b w:val="0"/>
          <w:bCs/>
          <w:color w:val="auto"/>
          <w:sz w:val="32"/>
          <w:szCs w:val="32"/>
          <w:highlight w:val="none"/>
        </w:rPr>
        <w:t>（一）用地规模</w:t>
      </w:r>
      <w:r>
        <w:rPr>
          <w:rFonts w:hint="eastAsia" w:ascii="仿宋_GB2312" w:eastAsia="仿宋_GB2312"/>
          <w:b/>
          <w:color w:val="auto"/>
          <w:sz w:val="32"/>
          <w:szCs w:val="32"/>
          <w:highlight w:val="none"/>
        </w:rPr>
        <w:t>：</w:t>
      </w:r>
      <w:r>
        <w:rPr>
          <w:rFonts w:hint="eastAsia" w:ascii="仿宋_GB2312" w:eastAsia="仿宋_GB2312"/>
          <w:color w:val="auto"/>
          <w:sz w:val="32"/>
          <w:szCs w:val="32"/>
          <w:highlight w:val="none"/>
        </w:rPr>
        <w:t>本项目位于深圳市龙岗区坪地街道，</w:t>
      </w:r>
      <w:r>
        <w:rPr>
          <w:rFonts w:hint="eastAsia" w:ascii="仿宋_GB2312" w:eastAsia="仿宋_GB2312"/>
          <w:color w:val="auto"/>
          <w:sz w:val="32"/>
          <w:szCs w:val="32"/>
          <w:highlight w:val="none"/>
          <w:lang w:eastAsia="zh-CN"/>
        </w:rPr>
        <w:t>用地</w:t>
      </w:r>
      <w:r>
        <w:rPr>
          <w:rFonts w:hint="eastAsia" w:ascii="仿宋_GB2312" w:eastAsia="仿宋_GB2312"/>
          <w:color w:val="auto"/>
          <w:sz w:val="32"/>
          <w:szCs w:val="32"/>
          <w:highlight w:val="none"/>
        </w:rPr>
        <w:t>面积约3</w:t>
      </w:r>
      <w:r>
        <w:rPr>
          <w:rFonts w:hint="default"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3</w:t>
      </w:r>
      <w:r>
        <w:rPr>
          <w:rFonts w:hint="default" w:ascii="仿宋_GB2312" w:eastAsia="仿宋_GB2312"/>
          <w:color w:val="auto"/>
          <w:sz w:val="32"/>
          <w:szCs w:val="32"/>
          <w:highlight w:val="none"/>
        </w:rPr>
        <w:t>万平方米</w:t>
      </w:r>
      <w:r>
        <w:rPr>
          <w:rFonts w:ascii="仿宋_GB2312"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color w:val="auto"/>
          <w:sz w:val="32"/>
          <w:szCs w:val="32"/>
          <w:highlight w:val="none"/>
        </w:rPr>
      </w:pPr>
      <w:r>
        <w:rPr>
          <w:rFonts w:hint="eastAsia" w:ascii="楷体_GB2312" w:hAnsi="楷体_GB2312" w:eastAsia="楷体_GB2312" w:cs="楷体_GB2312"/>
          <w:b w:val="0"/>
          <w:bCs/>
          <w:color w:val="auto"/>
          <w:sz w:val="32"/>
          <w:szCs w:val="32"/>
          <w:highlight w:val="none"/>
        </w:rPr>
        <w:t>（二）用地功能</w:t>
      </w:r>
      <w:r>
        <w:rPr>
          <w:rFonts w:hint="eastAsia" w:ascii="仿宋_GB2312" w:eastAsia="仿宋_GB2312"/>
          <w:b/>
          <w:color w:val="auto"/>
          <w:sz w:val="32"/>
          <w:szCs w:val="32"/>
          <w:highlight w:val="none"/>
        </w:rPr>
        <w:t>：</w:t>
      </w:r>
      <w:r>
        <w:rPr>
          <w:rFonts w:hint="eastAsia" w:ascii="仿宋_GB2312" w:eastAsia="仿宋_GB2312"/>
          <w:color w:val="auto"/>
          <w:sz w:val="32"/>
          <w:szCs w:val="32"/>
          <w:highlight w:val="none"/>
        </w:rPr>
        <w:t>普通工业用地（M1）</w:t>
      </w:r>
      <w:r>
        <w:rPr>
          <w:rFonts w:ascii="仿宋_GB2312"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color w:val="auto"/>
          <w:sz w:val="32"/>
          <w:szCs w:val="32"/>
          <w:highlight w:val="none"/>
        </w:rPr>
      </w:pPr>
      <w:r>
        <w:rPr>
          <w:rFonts w:hint="eastAsia" w:ascii="楷体_GB2312" w:hAnsi="楷体_GB2312" w:eastAsia="楷体_GB2312" w:cs="楷体_GB2312"/>
          <w:b w:val="0"/>
          <w:bCs/>
          <w:color w:val="auto"/>
          <w:sz w:val="32"/>
          <w:szCs w:val="32"/>
          <w:highlight w:val="none"/>
        </w:rPr>
        <w:t>（三）建筑规模：</w:t>
      </w:r>
      <w:r>
        <w:rPr>
          <w:rFonts w:hint="eastAsia" w:ascii="仿宋_GB2312" w:eastAsia="仿宋_GB2312"/>
          <w:color w:val="auto"/>
          <w:sz w:val="32"/>
          <w:szCs w:val="32"/>
          <w:highlight w:val="none"/>
        </w:rPr>
        <w:t>计容建筑面积约</w:t>
      </w:r>
      <w:r>
        <w:rPr>
          <w:rFonts w:hint="eastAsia" w:ascii="仿宋_GB2312" w:eastAsia="仿宋_GB2312"/>
          <w:color w:val="auto"/>
          <w:sz w:val="32"/>
          <w:szCs w:val="32"/>
          <w:highlight w:val="none"/>
          <w:lang w:val="en-US" w:eastAsia="zh-CN"/>
        </w:rPr>
        <w:t>125400</w:t>
      </w:r>
      <w:r>
        <w:rPr>
          <w:rFonts w:hint="eastAsia" w:ascii="仿宋_GB2312" w:eastAsia="仿宋_GB2312"/>
          <w:color w:val="auto"/>
          <w:sz w:val="32"/>
          <w:szCs w:val="32"/>
          <w:highlight w:val="none"/>
        </w:rPr>
        <w:t>㎡</w:t>
      </w:r>
      <w:r>
        <w:rPr>
          <w:rFonts w:ascii="仿宋_GB2312"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color w:val="auto"/>
          <w:sz w:val="32"/>
          <w:szCs w:val="32"/>
          <w:highlight w:val="none"/>
        </w:rPr>
      </w:pPr>
      <w:r>
        <w:rPr>
          <w:rFonts w:hint="eastAsia" w:ascii="楷体_GB2312" w:hAnsi="楷体_GB2312" w:eastAsia="楷体_GB2312" w:cs="楷体_GB2312"/>
          <w:b w:val="0"/>
          <w:bCs/>
          <w:color w:val="auto"/>
          <w:sz w:val="32"/>
          <w:szCs w:val="32"/>
          <w:highlight w:val="none"/>
        </w:rPr>
        <w:t>（四）土地供应方式：</w:t>
      </w:r>
      <w:r>
        <w:rPr>
          <w:rFonts w:hint="eastAsia" w:ascii="仿宋_GB2312" w:eastAsia="仿宋_GB2312" w:cs="宋体"/>
          <w:color w:val="auto"/>
          <w:sz w:val="32"/>
          <w:szCs w:val="32"/>
          <w:highlight w:val="none"/>
          <w:lang w:eastAsia="zh-CN"/>
        </w:rPr>
        <w:t>“带产业项目”</w:t>
      </w:r>
      <w:r>
        <w:rPr>
          <w:rFonts w:hint="eastAsia" w:ascii="仿宋_GB2312" w:eastAsia="仿宋_GB2312" w:cs="宋体"/>
          <w:color w:val="auto"/>
          <w:sz w:val="32"/>
          <w:szCs w:val="32"/>
          <w:highlight w:val="none"/>
        </w:rPr>
        <w:t>挂牌出让。</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color w:val="auto"/>
          <w:sz w:val="32"/>
          <w:szCs w:val="32"/>
          <w:highlight w:val="none"/>
        </w:rPr>
      </w:pPr>
      <w:r>
        <w:rPr>
          <w:rFonts w:hint="eastAsia" w:ascii="楷体_GB2312" w:hAnsi="楷体_GB2312" w:eastAsia="楷体_GB2312" w:cs="楷体_GB2312"/>
          <w:b w:val="0"/>
          <w:bCs/>
          <w:color w:val="auto"/>
          <w:sz w:val="32"/>
          <w:szCs w:val="32"/>
          <w:highlight w:val="none"/>
        </w:rPr>
        <w:t>（五）期限：</w:t>
      </w:r>
      <w:r>
        <w:rPr>
          <w:rFonts w:ascii="仿宋_GB2312" w:eastAsia="仿宋_GB2312"/>
          <w:color w:val="auto"/>
          <w:sz w:val="32"/>
          <w:szCs w:val="32"/>
          <w:highlight w:val="none"/>
        </w:rPr>
        <w:t>30</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（六）权利限制：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jc w:val="both"/>
        <w:textAlignment w:val="auto"/>
        <w:rPr>
          <w:rFonts w:hint="eastAsia" w:ascii="仿宋_GB2312" w:hAnsi="宋体" w:eastAsia="仿宋_GB2312"/>
          <w:color w:val="auto"/>
          <w:sz w:val="32"/>
          <w:szCs w:val="32"/>
          <w:highlight w:val="none"/>
        </w:rPr>
      </w:pPr>
      <w:r>
        <w:rPr>
          <w:rFonts w:hint="eastAsia" w:ascii="楷体_GB2312" w:hAnsi="宋体" w:eastAsia="楷体_GB2312"/>
          <w:b/>
          <w:color w:val="auto"/>
          <w:sz w:val="32"/>
          <w:szCs w:val="32"/>
          <w:highlight w:val="none"/>
        </w:rPr>
        <w:t>1.转让或出租限制：</w:t>
      </w:r>
      <w:r>
        <w:rPr>
          <w:rFonts w:hint="eastAsia" w:ascii="仿宋_GB2312" w:hAnsi="宋体" w:eastAsia="仿宋_GB2312"/>
          <w:color w:val="auto"/>
          <w:sz w:val="32"/>
          <w:szCs w:val="32"/>
          <w:highlight w:val="none"/>
        </w:rPr>
        <w:t>本宗项目用地以宗地为单位，不得改变土地用途，</w:t>
      </w:r>
      <w:r>
        <w:rPr>
          <w:rFonts w:hint="eastAsia" w:ascii="仿宋_GB2312" w:hAnsi="仿宋_GB2312" w:eastAsia="仿宋_GB2312" w:cs="仿宋_GB2312"/>
          <w:color w:val="auto"/>
          <w:sz w:val="32"/>
          <w:szCs w:val="32"/>
          <w:highlight w:val="none"/>
        </w:rPr>
        <w:t>建设用地使用权及建筑物100%的建筑面积在全年期内不得转让；初始登记后不得办理分证；</w:t>
      </w:r>
      <w:r>
        <w:rPr>
          <w:rFonts w:hint="eastAsia" w:ascii="仿宋_GB2312" w:hAnsi="仿宋_GB2312" w:eastAsia="仿宋_GB2312" w:cs="仿宋_GB2312"/>
          <w:color w:val="auto"/>
          <w:sz w:val="32"/>
          <w:szCs w:val="32"/>
          <w:highlight w:val="none"/>
          <w:lang w:eastAsia="zh-CN"/>
        </w:rPr>
        <w:t>如</w:t>
      </w:r>
      <w:r>
        <w:rPr>
          <w:rFonts w:hint="eastAsia" w:ascii="仿宋_GB2312" w:hAnsi="宋体" w:eastAsia="仿宋_GB2312"/>
          <w:color w:val="auto"/>
          <w:sz w:val="32"/>
          <w:szCs w:val="32"/>
          <w:highlight w:val="none"/>
        </w:rPr>
        <w:t>确有出租需要的，在满足本方案约定的相关经济指标、经区产业部门批准后，</w:t>
      </w:r>
      <w:r>
        <w:rPr>
          <w:rFonts w:hint="eastAsia" w:ascii="仿宋_GB2312" w:hAnsi="仿宋_GB2312" w:eastAsia="仿宋_GB2312" w:cs="仿宋_GB2312"/>
          <w:color w:val="auto"/>
          <w:sz w:val="32"/>
          <w:szCs w:val="32"/>
          <w:highlight w:val="none"/>
        </w:rPr>
        <w:t>允许一定比例用房租赁给产业链相关企业，</w:t>
      </w:r>
      <w:r>
        <w:rPr>
          <w:rFonts w:hint="eastAsia" w:ascii="仿宋_GB2312" w:hAnsi="宋体" w:eastAsia="仿宋_GB2312"/>
          <w:color w:val="auto"/>
          <w:sz w:val="32"/>
          <w:szCs w:val="32"/>
          <w:highlight w:val="none"/>
        </w:rPr>
        <w:t>可出租比例原则上不超过建筑面积的20%，且租金标准、租赁对象等均按产业发展监管协议有关约定执行。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jc w:val="both"/>
        <w:textAlignment w:val="auto"/>
        <w:rPr>
          <w:rFonts w:hint="eastAsia" w:ascii="仿宋_GB2312" w:hAnsi="宋体" w:eastAsia="仿宋_GB2312"/>
          <w:color w:val="auto"/>
          <w:sz w:val="32"/>
          <w:szCs w:val="32"/>
          <w:highlight w:val="none"/>
        </w:rPr>
      </w:pPr>
      <w:r>
        <w:rPr>
          <w:rFonts w:hint="eastAsia" w:ascii="楷体_GB2312" w:hAnsi="宋体" w:eastAsia="楷体_GB2312"/>
          <w:b/>
          <w:color w:val="auto"/>
          <w:sz w:val="32"/>
          <w:szCs w:val="32"/>
          <w:highlight w:val="none"/>
        </w:rPr>
        <w:t>2.股权变更限制：</w:t>
      </w:r>
      <w:r>
        <w:rPr>
          <w:rFonts w:hint="eastAsia" w:ascii="仿宋_GB2312" w:hAnsi="宋体" w:eastAsia="仿宋_GB2312"/>
          <w:color w:val="auto"/>
          <w:sz w:val="32"/>
          <w:szCs w:val="32"/>
          <w:highlight w:val="none"/>
        </w:rPr>
        <w:t>在土地使用权出让年限内不得以股权转让(根据《管理办法》第三十七条“股权转让是指导致企业控股权或实际控制权发生变更的转让”)或变更的方式变相转让建设用地使用权以及附着于该土地上的建（构）筑物及其附属设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jc w:val="both"/>
        <w:textAlignment w:val="auto"/>
        <w:rPr>
          <w:rFonts w:hint="eastAsia" w:ascii="仿宋_GB2312" w:hAnsi="宋体" w:eastAsia="仿宋_GB2312"/>
          <w:color w:val="auto"/>
          <w:sz w:val="32"/>
          <w:szCs w:val="32"/>
          <w:highlight w:val="none"/>
        </w:rPr>
      </w:pPr>
      <w:r>
        <w:rPr>
          <w:rFonts w:hint="eastAsia" w:ascii="楷体_GB2312" w:hAnsi="宋体" w:eastAsia="楷体_GB2312"/>
          <w:b/>
          <w:color w:val="auto"/>
          <w:sz w:val="32"/>
          <w:szCs w:val="32"/>
          <w:highlight w:val="none"/>
        </w:rPr>
        <w:t>3.抵押限制：</w:t>
      </w:r>
      <w:r>
        <w:rPr>
          <w:rFonts w:hint="eastAsia" w:ascii="仿宋_GB2312" w:hAnsi="宋体" w:eastAsia="仿宋_GB2312"/>
          <w:color w:val="auto"/>
          <w:sz w:val="32"/>
          <w:szCs w:val="32"/>
          <w:highlight w:val="none"/>
        </w:rPr>
        <w:t>竞买申请人取得的建设用地使用权及建筑物允许抵押，但抵押金额不得超出土地使用权出让合同剩余年期地价与建筑物残值之和。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（七）竞买资格条件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华文仿宋" w:eastAsia="仿宋_GB2312"/>
          <w:color w:val="auto"/>
          <w:sz w:val="32"/>
          <w:szCs w:val="32"/>
          <w:highlight w:val="none"/>
        </w:rPr>
      </w:pPr>
      <w:r>
        <w:rPr>
          <w:rFonts w:hint="eastAsia" w:ascii="仿宋_GB2312" w:hAnsi="华文仿宋" w:eastAsia="仿宋_GB2312"/>
          <w:color w:val="auto"/>
          <w:sz w:val="32"/>
          <w:szCs w:val="32"/>
          <w:highlight w:val="none"/>
        </w:rPr>
        <w:t>具备下列条件的，可申请竞买（不接受联合竞买）本宗地：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仿宋" w:eastAsia="仿宋_GB2312"/>
          <w:color w:val="auto"/>
          <w:sz w:val="32"/>
          <w:szCs w:val="32"/>
          <w:highlight w:val="none"/>
        </w:rPr>
      </w:pPr>
      <w:r>
        <w:rPr>
          <w:rFonts w:hint="eastAsia" w:ascii="仿宋_GB2312" w:hAnsi="华文仿宋" w:eastAsia="仿宋_GB2312"/>
          <w:color w:val="auto"/>
          <w:sz w:val="32"/>
          <w:szCs w:val="32"/>
          <w:highlight w:val="none"/>
        </w:rPr>
        <w:t>1.竞买申请人为中华人民共和国境内法人企业。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华文仿宋" w:eastAsia="仿宋_GB2312"/>
          <w:color w:val="auto"/>
          <w:sz w:val="32"/>
          <w:szCs w:val="32"/>
          <w:highlight w:val="none"/>
        </w:rPr>
      </w:pPr>
      <w:r>
        <w:rPr>
          <w:rFonts w:hint="eastAsia" w:ascii="仿宋_GB2312" w:hAnsi="华文仿宋" w:eastAsia="仿宋_GB2312"/>
          <w:color w:val="auto"/>
          <w:sz w:val="32"/>
          <w:szCs w:val="32"/>
          <w:highlight w:val="none"/>
        </w:rPr>
        <w:t>2.竞买申请人应当符合《深圳市人民政府关于延长工业及其他产业用地供应管理办法有效期的通知》（深府规〔2025〕1号）中规定的遴选要求，并通过重点产业项目遴选。</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0"/>
        <w:rPr>
          <w:rFonts w:hint="eastAsia" w:ascii="仿宋_GB2312" w:hAnsi="华文仿宋" w:eastAsia="仿宋_GB2312"/>
          <w:b/>
          <w:color w:val="auto"/>
          <w:sz w:val="32"/>
          <w:szCs w:val="32"/>
          <w:highlight w:val="none"/>
        </w:rPr>
      </w:pPr>
      <w:r>
        <w:rPr>
          <w:rFonts w:hint="eastAsia" w:ascii="黑体" w:hAnsi="黑体" w:eastAsia="黑体"/>
          <w:color w:val="auto"/>
          <w:sz w:val="32"/>
          <w:szCs w:val="32"/>
          <w:highlight w:val="none"/>
        </w:rPr>
        <w:t>六、环境保护要求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华文仿宋" w:eastAsia="仿宋_GB2312"/>
          <w:color w:val="auto"/>
          <w:sz w:val="32"/>
          <w:szCs w:val="32"/>
          <w:highlight w:val="none"/>
        </w:rPr>
      </w:pPr>
      <w:r>
        <w:rPr>
          <w:rFonts w:hint="eastAsia" w:ascii="仿宋_GB2312" w:hAnsi="华文仿宋" w:eastAsia="仿宋_GB2312"/>
          <w:color w:val="auto"/>
          <w:sz w:val="32"/>
          <w:szCs w:val="32"/>
          <w:highlight w:val="none"/>
        </w:rPr>
        <w:t>1.本项目在生产过程中，粉尘、废气、废水、废渣、磁辐射污染、噪声等的排放和产生符合国家、省、市环保政策和法律法规的标准和要求。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华文仿宋" w:eastAsia="仿宋_GB2312"/>
          <w:color w:val="auto"/>
          <w:sz w:val="32"/>
          <w:szCs w:val="32"/>
          <w:highlight w:val="none"/>
        </w:rPr>
      </w:pPr>
      <w:r>
        <w:rPr>
          <w:rFonts w:hint="default" w:ascii="仿宋_GB2312" w:hAnsi="华文仿宋" w:eastAsia="仿宋_GB2312"/>
          <w:color w:val="auto"/>
          <w:sz w:val="32"/>
          <w:szCs w:val="32"/>
          <w:highlight w:val="none"/>
        </w:rPr>
        <w:t>2.</w:t>
      </w:r>
      <w:r>
        <w:rPr>
          <w:rFonts w:hint="eastAsia" w:ascii="仿宋_GB2312" w:hAnsi="华文仿宋" w:eastAsia="仿宋_GB2312"/>
          <w:color w:val="auto"/>
          <w:sz w:val="32"/>
          <w:szCs w:val="32"/>
          <w:highlight w:val="none"/>
        </w:rPr>
        <w:t>本项目的建筑设计必须符合国家标准《绿色工业建筑评价标准》（GB/T 50878-2013）、《绿色建筑评价标准》（GB/T 50378-2019 2024年局部条文修订版）、深圳市地方标准《公共建筑节能设计标准》（SJG 44-2025）、《居住建筑节能设计标准》（SJG 45-2025）及《深圳经济特区绿色建筑条例》等法规政策和标准规范执行，落实绿色低碳建设和绿色建筑高质量发展要求，按规定实施绿色建筑、装配式建筑和分布式光伏建筑应用。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华文仿宋" w:eastAsia="仿宋_GB2312"/>
          <w:color w:val="auto"/>
          <w:sz w:val="32"/>
          <w:szCs w:val="32"/>
          <w:highlight w:val="none"/>
        </w:rPr>
      </w:pPr>
      <w:r>
        <w:rPr>
          <w:rFonts w:hint="eastAsia" w:ascii="仿宋_GB2312" w:hAnsi="华文仿宋" w:eastAsia="仿宋_GB2312"/>
          <w:color w:val="auto"/>
          <w:sz w:val="32"/>
          <w:szCs w:val="32"/>
          <w:highlight w:val="none"/>
        </w:rPr>
        <w:t>备注：具体的用地规模、建筑规模、土地用途、规划设计要点、建设时限等以《国有建设用地使用权出让合同》为准，经济贡献指标可根据实际用地规模进行调整。</w:t>
      </w:r>
    </w:p>
    <w:p>
      <w:pPr>
        <w:spacing w:beforeAutospacing="0" w:afterAutospacing="0" w:line="560" w:lineRule="exact"/>
        <w:ind w:firstLine="640" w:firstLineChars="200"/>
        <w:rPr>
          <w:rFonts w:hint="eastAsia" w:ascii="仿宋_GB2312" w:hAnsi="华文仿宋" w:eastAsia="仿宋_GB2312"/>
          <w:sz w:val="32"/>
          <w:szCs w:val="32"/>
          <w:lang w:val="en-US" w:eastAsia="zh-CN"/>
        </w:rPr>
      </w:pPr>
      <w:r>
        <w:rPr>
          <w:rFonts w:hint="eastAsia" w:ascii="仿宋_GB2312" w:hAnsi="华文仿宋" w:eastAsia="仿宋_GB2312"/>
          <w:sz w:val="32"/>
          <w:szCs w:val="32"/>
          <w:lang w:val="en-US" w:eastAsia="zh-CN"/>
        </w:rPr>
        <w:t>根据《管理办法》规定，现就该方案予以公示，公示时间为2026年4月</w:t>
      </w:r>
      <w:r>
        <w:rPr>
          <w:rFonts w:hint="default" w:ascii="仿宋_GB2312" w:hAnsi="华文仿宋" w:eastAsia="仿宋_GB2312"/>
          <w:sz w:val="32"/>
          <w:szCs w:val="32"/>
          <w:lang w:eastAsia="zh-CN"/>
        </w:rPr>
        <w:t>13</w:t>
      </w:r>
      <w:r>
        <w:rPr>
          <w:rFonts w:hint="eastAsia" w:ascii="仿宋_GB2312" w:hAnsi="华文仿宋" w:eastAsia="仿宋_GB2312"/>
          <w:sz w:val="32"/>
          <w:szCs w:val="32"/>
          <w:lang w:val="en-US" w:eastAsia="zh-CN"/>
        </w:rPr>
        <w:t>日至4月1</w:t>
      </w:r>
      <w:r>
        <w:rPr>
          <w:rFonts w:hint="default" w:ascii="仿宋_GB2312" w:hAnsi="华文仿宋" w:eastAsia="仿宋_GB2312"/>
          <w:sz w:val="32"/>
          <w:szCs w:val="32"/>
          <w:lang w:eastAsia="zh-CN"/>
        </w:rPr>
        <w:t>7</w:t>
      </w:r>
      <w:r>
        <w:rPr>
          <w:rFonts w:hint="eastAsia" w:ascii="仿宋_GB2312" w:hAnsi="华文仿宋" w:eastAsia="仿宋_GB2312"/>
          <w:sz w:val="32"/>
          <w:szCs w:val="32"/>
          <w:lang w:val="en-US" w:eastAsia="zh-CN"/>
        </w:rPr>
        <w:t>日。</w:t>
      </w:r>
    </w:p>
    <w:p>
      <w:pPr>
        <w:spacing w:line="560" w:lineRule="exact"/>
        <w:ind w:firstLine="640" w:firstLineChars="200"/>
        <w:rPr>
          <w:rFonts w:hint="eastAsia" w:ascii="仿宋_GB2312" w:hAnsi="华文仿宋" w:eastAsia="仿宋_GB2312"/>
          <w:sz w:val="32"/>
          <w:szCs w:val="32"/>
          <w:lang w:val="en-US" w:eastAsia="zh-CN"/>
        </w:rPr>
      </w:pPr>
      <w:r>
        <w:rPr>
          <w:rFonts w:hint="eastAsia" w:ascii="仿宋_GB2312" w:hAnsi="华文仿宋" w:eastAsia="仿宋_GB2312"/>
          <w:sz w:val="32"/>
          <w:szCs w:val="32"/>
          <w:lang w:val="en-US" w:eastAsia="zh-CN"/>
        </w:rPr>
        <w:t>在公示期内，如对上述方案有意见和建议，请使用真实姓名及联系方式与龙岗区工业和信息化局联系，逾期视为无异议，本公告自公示之日起，将在《深圳特区报》、龙岗</w:t>
      </w:r>
      <w:bookmarkStart w:id="0" w:name="_GoBack"/>
      <w:bookmarkEnd w:id="0"/>
      <w:r>
        <w:rPr>
          <w:rFonts w:hint="eastAsia" w:ascii="仿宋_GB2312" w:hAnsi="华文仿宋" w:eastAsia="仿宋_GB2312"/>
          <w:sz w:val="32"/>
          <w:szCs w:val="32"/>
          <w:lang w:val="en-US" w:eastAsia="zh-CN"/>
        </w:rPr>
        <w:t>政府在线同时发布。</w:t>
      </w:r>
    </w:p>
    <w:p>
      <w:pPr>
        <w:spacing w:before="0" w:beforeAutospacing="0" w:after="0" w:afterAutospacing="0" w:line="560" w:lineRule="exact"/>
        <w:ind w:firstLine="640" w:firstLineChars="200"/>
        <w:jc w:val="center"/>
        <w:outlineLvl w:val="0"/>
        <w:rPr>
          <w:rFonts w:hint="eastAsia" w:ascii="仿宋_GB2312" w:hAnsi="华文仿宋" w:eastAsia="仿宋_GB2312" w:cs="宋体"/>
          <w:sz w:val="32"/>
          <w:szCs w:val="32"/>
          <w:lang w:val="en-US" w:eastAsia="zh-CN"/>
        </w:rPr>
      </w:pPr>
      <w:r>
        <w:rPr>
          <w:rFonts w:hint="eastAsia" w:ascii="仿宋_GB2312" w:hAnsi="华文仿宋" w:eastAsia="仿宋_GB2312" w:cs="宋体"/>
          <w:sz w:val="32"/>
          <w:szCs w:val="32"/>
          <w:lang w:val="en-US" w:eastAsia="zh-CN"/>
        </w:rPr>
        <w:t>联系人：葛工，联系电话：28949270</w:t>
      </w:r>
    </w:p>
    <w:p>
      <w:pPr>
        <w:keepNext w:val="0"/>
        <w:keepLines w:val="0"/>
        <w:spacing w:before="0" w:beforeAutospacing="0" w:after="0" w:afterAutospacing="0" w:line="560" w:lineRule="exact"/>
        <w:ind w:firstLine="640" w:firstLineChars="200"/>
        <w:jc w:val="left"/>
        <w:outlineLvl w:val="9"/>
        <w:rPr>
          <w:rFonts w:hint="eastAsia" w:ascii="仿宋_GB2312" w:hAnsi="华文仿宋" w:eastAsia="仿宋_GB2312"/>
          <w:sz w:val="32"/>
          <w:szCs w:val="32"/>
          <w:lang w:val="en-US" w:eastAsia="zh-CN"/>
        </w:rPr>
      </w:pPr>
    </w:p>
    <w:p>
      <w:pPr>
        <w:keepNext w:val="0"/>
        <w:keepLines w:val="0"/>
        <w:spacing w:before="0" w:beforeAutospacing="0" w:after="0" w:afterAutospacing="0" w:line="560" w:lineRule="exact"/>
        <w:ind w:firstLine="640" w:firstLineChars="200"/>
        <w:jc w:val="left"/>
        <w:outlineLvl w:val="9"/>
        <w:rPr>
          <w:rFonts w:hint="eastAsia" w:ascii="仿宋_GB2312" w:hAnsi="华文仿宋" w:eastAsia="仿宋_GB2312"/>
          <w:sz w:val="32"/>
          <w:szCs w:val="32"/>
          <w:lang w:val="en-US" w:eastAsia="zh-CN"/>
        </w:rPr>
      </w:pPr>
    </w:p>
    <w:p>
      <w:pPr>
        <w:pStyle w:val="2"/>
        <w:jc w:val="right"/>
        <w:rPr>
          <w:rFonts w:hint="eastAsia" w:ascii="仿宋_GB2312" w:hAnsi="华文仿宋" w:eastAsia="仿宋_GB2312" w:cs="宋体"/>
          <w:sz w:val="32"/>
          <w:szCs w:val="32"/>
        </w:rPr>
      </w:pPr>
      <w:r>
        <w:rPr>
          <w:rFonts w:hint="eastAsia" w:ascii="仿宋_GB2312" w:hAnsi="华文仿宋" w:eastAsia="仿宋_GB2312" w:cs="宋体"/>
          <w:sz w:val="32"/>
          <w:szCs w:val="32"/>
        </w:rPr>
        <w:t>深圳市龙岗区工业和信息化局</w:t>
      </w:r>
    </w:p>
    <w:p>
      <w:pPr>
        <w:pStyle w:val="2"/>
        <w:ind w:firstLine="4800" w:firstLineChars="1500"/>
        <w:jc w:val="center"/>
        <w:rPr>
          <w:color w:val="auto"/>
          <w:highlight w:val="none"/>
        </w:rPr>
      </w:pPr>
      <w:r>
        <w:rPr>
          <w:rFonts w:hint="eastAsia" w:ascii="仿宋_GB2312" w:hAnsi="华文仿宋" w:eastAsia="仿宋_GB2312" w:cs="宋体"/>
          <w:sz w:val="32"/>
          <w:szCs w:val="32"/>
        </w:rPr>
        <w:t>202</w:t>
      </w:r>
      <w:r>
        <w:rPr>
          <w:rFonts w:hint="eastAsia" w:ascii="仿宋_GB2312" w:hAnsi="华文仿宋" w:eastAsia="仿宋_GB2312" w:cs="宋体"/>
          <w:sz w:val="32"/>
          <w:szCs w:val="32"/>
          <w:lang w:val="en-US"/>
        </w:rPr>
        <w:t>6</w:t>
      </w:r>
      <w:r>
        <w:rPr>
          <w:rFonts w:hint="eastAsia" w:ascii="仿宋_GB2312" w:hAnsi="华文仿宋" w:eastAsia="仿宋_GB2312" w:cs="宋体"/>
          <w:sz w:val="32"/>
          <w:szCs w:val="32"/>
        </w:rPr>
        <w:t>年</w:t>
      </w:r>
      <w:r>
        <w:rPr>
          <w:rFonts w:hint="eastAsia" w:ascii="仿宋_GB2312" w:hAnsi="华文仿宋" w:eastAsia="仿宋_GB2312" w:cs="宋体"/>
          <w:sz w:val="32"/>
          <w:szCs w:val="32"/>
          <w:lang w:val="en-US" w:eastAsia="zh-CN"/>
        </w:rPr>
        <w:t>4</w:t>
      </w:r>
      <w:r>
        <w:rPr>
          <w:rFonts w:hint="eastAsia" w:ascii="仿宋_GB2312" w:hAnsi="华文仿宋" w:eastAsia="仿宋_GB2312" w:cs="宋体"/>
          <w:sz w:val="32"/>
          <w:szCs w:val="32"/>
        </w:rPr>
        <w:t>月</w:t>
      </w:r>
      <w:r>
        <w:rPr>
          <w:rFonts w:hint="eastAsia" w:ascii="仿宋_GB2312" w:hAnsi="华文仿宋" w:eastAsia="仿宋_GB2312" w:cs="宋体"/>
          <w:sz w:val="32"/>
          <w:szCs w:val="32"/>
          <w:lang w:eastAsia="zh-CN"/>
        </w:rPr>
        <w:t>12</w:t>
      </w:r>
      <w:r>
        <w:rPr>
          <w:rFonts w:hint="eastAsia" w:ascii="仿宋_GB2312" w:hAnsi="华文仿宋" w:eastAsia="仿宋_GB2312" w:cs="宋体"/>
          <w:sz w:val="32"/>
          <w:szCs w:val="32"/>
        </w:rPr>
        <w:t>日</w:t>
      </w:r>
      <w:r>
        <w:rPr>
          <w:rFonts w:hint="eastAsia" w:ascii="仿宋_GB2312" w:hAnsi="仿宋_GB2312" w:eastAsia="仿宋_GB2312" w:cs="仿宋_GB2312"/>
          <w:sz w:val="32"/>
          <w:szCs w:val="32"/>
          <w:lang w:val="en-US"/>
        </w:rPr>
        <w:t xml:space="preserve"> </w:t>
      </w:r>
    </w:p>
    <w:p>
      <w:pPr>
        <w:keepNext w:val="0"/>
        <w:keepLines w:val="0"/>
        <w:pageBreakBefore w:val="0"/>
        <w:widowControl w:val="0"/>
        <w:kinsoku/>
        <w:overflowPunct/>
        <w:topLinePunct w:val="0"/>
        <w:autoSpaceDE/>
        <w:autoSpaceDN/>
        <w:bidi w:val="0"/>
        <w:adjustRightInd/>
        <w:snapToGrid/>
        <w:spacing w:line="560" w:lineRule="exact"/>
        <w:jc w:val="both"/>
        <w:textAlignment w:val="auto"/>
        <w:rPr>
          <w:color w:val="auto"/>
          <w:highlight w:val="none"/>
        </w:rPr>
      </w:pPr>
    </w:p>
    <w:p>
      <w:pPr>
        <w:keepNext w:val="0"/>
        <w:keepLines w:val="0"/>
        <w:pageBreakBefore w:val="0"/>
        <w:widowControl w:val="0"/>
        <w:kinsoku/>
        <w:overflowPunct/>
        <w:topLinePunct w:val="0"/>
        <w:autoSpaceDE/>
        <w:autoSpaceDN/>
        <w:bidi w:val="0"/>
        <w:adjustRightInd/>
        <w:snapToGrid/>
        <w:spacing w:line="560" w:lineRule="exact"/>
        <w:jc w:val="both"/>
        <w:textAlignment w:val="auto"/>
        <w:rPr>
          <w:color w:val="auto"/>
          <w:highlight w:val="none"/>
        </w:rPr>
      </w:pPr>
    </w:p>
    <w:sectPr>
      <w:footerReference r:id="rId3" w:type="default"/>
      <w:pgSz w:w="11906" w:h="16838"/>
      <w:pgMar w:top="2041" w:right="1474" w:bottom="1984" w:left="1587" w:header="851" w:footer="147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矩形 409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5"/>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uXW5UtAAAAAFAQAADwAA&#10;AAAAAAABACAAAAA4AAAAZHJzL2Rvd25yZXYueG1sUEsBAhQAFAAAAAgAh07iQLh4oY3PAQAAqwMA&#10;AA4AAAAAAAAAAQAgAAAANQEAAGRycy9lMm9Eb2MueG1sUEsFBgAAAAAGAAYAWQEAAHYFA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43F7E2C"/>
    <w:rsid w:val="057215DC"/>
    <w:rsid w:val="13B42B06"/>
    <w:rsid w:val="36FF7AEA"/>
    <w:rsid w:val="397D6798"/>
    <w:rsid w:val="637C705F"/>
    <w:rsid w:val="68F33B43"/>
    <w:rsid w:val="6CAB07A5"/>
    <w:rsid w:val="76A35E1C"/>
    <w:rsid w:val="79FFD35F"/>
    <w:rsid w:val="7FFB72F2"/>
    <w:rsid w:val="AFEE1945"/>
    <w:rsid w:val="B43F7E2C"/>
    <w:rsid w:val="BBBFF481"/>
    <w:rsid w:val="DA6D6B5C"/>
    <w:rsid w:val="DBCFD077"/>
    <w:rsid w:val="E4F7A98A"/>
    <w:rsid w:val="F3EE63CF"/>
    <w:rsid w:val="F7FBA86D"/>
    <w:rsid w:val="FE7F92E9"/>
    <w:rsid w:val="FFCB515B"/>
    <w:rsid w:val="FFDFE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4">
    <w:name w:val="heading 1"/>
    <w:basedOn w:val="1"/>
    <w:next w:val="1"/>
    <w:qFormat/>
    <w:uiPriority w:val="9"/>
    <w:pPr>
      <w:spacing w:beforeAutospacing="1" w:afterAutospacing="1"/>
      <w:jc w:val="left"/>
      <w:outlineLvl w:val="0"/>
    </w:pPr>
    <w:rPr>
      <w:rFonts w:hint="eastAsia" w:ascii="宋体" w:hAnsi="宋体" w:cs="Times New Roman"/>
      <w:b/>
      <w:bCs/>
      <w:kern w:val="44"/>
      <w:sz w:val="48"/>
      <w:szCs w:val="4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eastAsia="宋体" w:cs="黑体"/>
    </w:rPr>
  </w:style>
  <w:style w:type="paragraph" w:styleId="3">
    <w:name w:val="index 8"/>
    <w:basedOn w:val="1"/>
    <w:next w:val="1"/>
    <w:qFormat/>
    <w:uiPriority w:val="0"/>
    <w:pPr>
      <w:ind w:left="1400" w:leftChars="1400"/>
    </w:pPr>
    <w:rPr>
      <w:rFonts w:ascii="Times New Roman" w:hAnsi="Times New Roman" w:eastAsia="宋体" w:cs="Times New Roman"/>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3069</Words>
  <Characters>3295</Characters>
  <Lines>0</Lines>
  <Paragraphs>0</Paragraphs>
  <TotalTime>20</TotalTime>
  <ScaleCrop>false</ScaleCrop>
  <LinksUpToDate>false</LinksUpToDate>
  <CharactersWithSpaces>3305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2026-02-07T11:17:00Z</dcterms:created>
  <dc:creator>葛祎旸</dc:creator>
  <cp:lastModifiedBy>杨晨曦</cp:lastModifiedBy>
  <dcterms:modified xsi:type="dcterms:W3CDTF">2026-04-10T16:26:29Z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7C562FB6D0C4F48035EECC69880D71FF</vt:lpwstr>
  </property>
  <property fmtid="{D5CDD505-2E9C-101B-9397-08002B2CF9AE}" pid="4" name="KSOTemplateDocerSaveRecord">
    <vt:lpwstr>eyJoZGlkIjoiNGJkMGRmZTJhNjkzYjcwMjdiYmYwYjM5NTUxNGVkOWYiLCJ1c2VySWQiOiIyNjc4NDYzNzcifQ==</vt:lpwstr>
  </property>
</Properties>
</file>