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6D2DD">
      <w:pPr>
        <w:jc w:val="center"/>
        <w:rPr>
          <w:rFonts w:hint="eastAsia"/>
          <w:b/>
          <w:bCs/>
          <w:sz w:val="36"/>
          <w:szCs w:val="36"/>
          <w:lang w:val="en-US" w:eastAsia="zh-CN"/>
        </w:rPr>
      </w:pPr>
      <w:r>
        <w:rPr>
          <w:rFonts w:hint="eastAsia"/>
          <w:b/>
          <w:bCs/>
          <w:sz w:val="36"/>
          <w:szCs w:val="36"/>
          <w:lang w:val="en-US" w:eastAsia="zh-CN"/>
        </w:rPr>
        <w:t>综合评分表</w:t>
      </w:r>
    </w:p>
    <w:p w14:paraId="0FA92E6F">
      <w:pPr>
        <w:spacing w:line="400" w:lineRule="exact"/>
        <w:jc w:val="left"/>
        <w:rPr>
          <w:rFonts w:hint="eastAsia" w:ascii="仿宋" w:hAnsi="仿宋" w:eastAsia="仿宋" w:cs="仿宋"/>
          <w:sz w:val="28"/>
          <w:szCs w:val="28"/>
          <w:lang w:val="en-US" w:eastAsia="zh-CN"/>
        </w:rPr>
      </w:pPr>
    </w:p>
    <w:p w14:paraId="54CDFB4F">
      <w:pPr>
        <w:widowControl/>
        <w:shd w:val="clear"/>
        <w:adjustRightInd w:val="0"/>
        <w:snapToGrid w:val="0"/>
        <w:spacing w:line="560" w:lineRule="exact"/>
        <w:jc w:val="both"/>
        <w:rPr>
          <w:rFonts w:hint="eastAsia" w:ascii="仿宋" w:hAnsi="仿宋" w:eastAsia="仿宋" w:cs="仿宋"/>
          <w:sz w:val="28"/>
          <w:szCs w:val="28"/>
          <w:lang w:val="en-US" w:eastAsia="zh-CN"/>
        </w:rPr>
      </w:pPr>
      <w:r>
        <w:rPr>
          <w:rFonts w:hint="eastAsia" w:ascii="仿宋" w:hAnsi="仿宋" w:eastAsia="仿宋" w:cs="仿宋"/>
          <w:sz w:val="28"/>
          <w:szCs w:val="28"/>
        </w:rPr>
        <w:t>招标名称：</w:t>
      </w:r>
      <w:r>
        <w:rPr>
          <w:rFonts w:hint="eastAsia" w:ascii="仿宋" w:hAnsi="仿宋" w:eastAsia="仿宋" w:cs="仿宋"/>
          <w:sz w:val="28"/>
          <w:szCs w:val="28"/>
          <w:lang w:val="en-US" w:eastAsia="zh-CN"/>
        </w:rPr>
        <w:t>2026年度深圳工业软件园项目礼宾服务</w:t>
      </w:r>
    </w:p>
    <w:p w14:paraId="16B97567">
      <w:pPr>
        <w:spacing w:line="4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开标时间：</w:t>
      </w:r>
      <w:r>
        <w:rPr>
          <w:rFonts w:hint="eastAsia" w:ascii="仿宋" w:hAnsi="仿宋" w:eastAsia="仿宋" w:cs="仿宋"/>
          <w:sz w:val="28"/>
          <w:szCs w:val="28"/>
          <w:lang w:val="en-US" w:eastAsia="zh-CN"/>
        </w:rPr>
        <w:t>2026年X月X日</w:t>
      </w:r>
    </w:p>
    <w:p w14:paraId="082578E9">
      <w:pPr>
        <w:spacing w:line="4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开标地点：</w:t>
      </w:r>
      <w:r>
        <w:rPr>
          <w:rFonts w:hint="eastAsia" w:ascii="仿宋" w:hAnsi="仿宋" w:eastAsia="仿宋" w:cs="仿宋"/>
          <w:sz w:val="28"/>
          <w:szCs w:val="28"/>
          <w:lang w:val="en-US" w:eastAsia="zh-CN"/>
        </w:rPr>
        <w:t>深圳市龙岗区天昊华庭西门服务大厅二楼</w:t>
      </w:r>
    </w:p>
    <w:p w14:paraId="272A0777">
      <w:pPr>
        <w:widowControl/>
        <w:adjustRightInd w:val="0"/>
        <w:snapToGrid w:val="0"/>
        <w:spacing w:line="560" w:lineRule="exact"/>
        <w:ind w:firstLine="0" w:firstLineChars="0"/>
        <w:jc w:val="center"/>
        <w:rPr>
          <w:rFonts w:hint="eastAsia" w:ascii="仿宋" w:hAnsi="仿宋" w:eastAsia="仿宋" w:cs="仿宋"/>
          <w:b/>
          <w:szCs w:val="21"/>
        </w:rPr>
      </w:pPr>
      <w:r>
        <w:rPr>
          <w:rFonts w:hint="eastAsia" w:ascii="仿宋" w:hAnsi="仿宋" w:eastAsia="仿宋" w:cs="仿宋"/>
          <w:b/>
          <w:szCs w:val="21"/>
        </w:rPr>
        <w:t>《商务标、技术标、价格标权重表和综合得分汇总》</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3070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shd w:val="clear" w:color="auto" w:fill="DEEAF6" w:themeFill="accent1" w:themeFillTint="33"/>
            <w:vAlign w:val="center"/>
          </w:tcPr>
          <w:p w14:paraId="02A565A7">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rPr>
              <w:t>权重名称</w:t>
            </w:r>
          </w:p>
        </w:tc>
        <w:tc>
          <w:tcPr>
            <w:tcW w:w="2158" w:type="dxa"/>
            <w:shd w:val="clear" w:color="auto" w:fill="DEEAF6" w:themeFill="accent1" w:themeFillTint="33"/>
            <w:vAlign w:val="center"/>
          </w:tcPr>
          <w:p w14:paraId="36D1C40C">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rPr>
              <w:t>价格权重</w:t>
            </w:r>
          </w:p>
        </w:tc>
        <w:tc>
          <w:tcPr>
            <w:tcW w:w="2159" w:type="dxa"/>
            <w:shd w:val="clear" w:color="auto" w:fill="DEEAF6" w:themeFill="accent1" w:themeFillTint="33"/>
            <w:vAlign w:val="center"/>
          </w:tcPr>
          <w:p w14:paraId="6D4B46A5">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lang w:val="en-US" w:eastAsia="zh-CN"/>
              </w:rPr>
              <w:t>商务</w:t>
            </w:r>
            <w:r>
              <w:rPr>
                <w:rFonts w:hint="eastAsia" w:ascii="仿宋" w:hAnsi="仿宋" w:eastAsia="仿宋" w:cs="仿宋"/>
                <w:b/>
                <w:szCs w:val="21"/>
              </w:rPr>
              <w:t>权重</w:t>
            </w:r>
          </w:p>
        </w:tc>
        <w:tc>
          <w:tcPr>
            <w:tcW w:w="2159" w:type="dxa"/>
            <w:shd w:val="clear" w:color="auto" w:fill="DEEAF6" w:themeFill="accent1" w:themeFillTint="33"/>
            <w:vAlign w:val="center"/>
          </w:tcPr>
          <w:p w14:paraId="369BE71F">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lang w:val="en-US" w:eastAsia="zh-CN"/>
              </w:rPr>
              <w:t>技术</w:t>
            </w:r>
            <w:r>
              <w:rPr>
                <w:rFonts w:hint="eastAsia" w:ascii="仿宋" w:hAnsi="仿宋" w:eastAsia="仿宋" w:cs="仿宋"/>
                <w:b/>
                <w:szCs w:val="21"/>
              </w:rPr>
              <w:t>权重</w:t>
            </w:r>
          </w:p>
        </w:tc>
      </w:tr>
      <w:tr w14:paraId="14AA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shd w:val="clear" w:color="auto" w:fill="auto"/>
            <w:vAlign w:val="center"/>
          </w:tcPr>
          <w:p w14:paraId="65C117E7">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权重</w:t>
            </w:r>
          </w:p>
        </w:tc>
        <w:tc>
          <w:tcPr>
            <w:tcW w:w="2158" w:type="dxa"/>
            <w:shd w:val="clear" w:color="auto" w:fill="auto"/>
            <w:vAlign w:val="center"/>
          </w:tcPr>
          <w:p w14:paraId="0F22F5DE">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20</w:t>
            </w:r>
            <w:r>
              <w:rPr>
                <w:rFonts w:hint="eastAsia" w:ascii="仿宋" w:hAnsi="仿宋" w:eastAsia="仿宋" w:cs="仿宋"/>
                <w:szCs w:val="21"/>
              </w:rPr>
              <w:t>%</w:t>
            </w:r>
          </w:p>
        </w:tc>
        <w:tc>
          <w:tcPr>
            <w:tcW w:w="2159" w:type="dxa"/>
            <w:shd w:val="clear" w:color="auto" w:fill="auto"/>
            <w:vAlign w:val="center"/>
          </w:tcPr>
          <w:p w14:paraId="517FDFB9">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40</w:t>
            </w:r>
            <w:r>
              <w:rPr>
                <w:rFonts w:hint="eastAsia" w:ascii="仿宋" w:hAnsi="仿宋" w:eastAsia="仿宋" w:cs="仿宋"/>
                <w:szCs w:val="21"/>
              </w:rPr>
              <w:t>%</w:t>
            </w:r>
          </w:p>
        </w:tc>
        <w:tc>
          <w:tcPr>
            <w:tcW w:w="2159" w:type="dxa"/>
            <w:shd w:val="clear" w:color="auto" w:fill="auto"/>
            <w:vAlign w:val="center"/>
          </w:tcPr>
          <w:p w14:paraId="3D523E55">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40</w:t>
            </w:r>
            <w:r>
              <w:rPr>
                <w:rFonts w:hint="eastAsia" w:ascii="仿宋" w:hAnsi="仿宋" w:eastAsia="仿宋" w:cs="仿宋"/>
                <w:szCs w:val="21"/>
              </w:rPr>
              <w:t>%</w:t>
            </w:r>
          </w:p>
        </w:tc>
      </w:tr>
      <w:tr w14:paraId="3E52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shd w:val="clear" w:color="auto" w:fill="auto"/>
            <w:vAlign w:val="center"/>
          </w:tcPr>
          <w:p w14:paraId="20C59DE2">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投标人综合得分</w:t>
            </w:r>
          </w:p>
        </w:tc>
        <w:tc>
          <w:tcPr>
            <w:tcW w:w="6476" w:type="dxa"/>
            <w:gridSpan w:val="3"/>
            <w:shd w:val="clear" w:color="auto" w:fill="auto"/>
            <w:vAlign w:val="center"/>
          </w:tcPr>
          <w:p w14:paraId="76B19BA7">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价格标得分</w:t>
            </w:r>
            <w:r>
              <w:rPr>
                <w:rFonts w:hint="eastAsia" w:ascii="仿宋" w:hAnsi="仿宋" w:eastAsia="仿宋" w:cs="仿宋"/>
                <w:szCs w:val="21"/>
                <w:lang w:val="en-US" w:eastAsia="zh-CN"/>
              </w:rPr>
              <w:t>+</w:t>
            </w:r>
            <w:r>
              <w:rPr>
                <w:rFonts w:hint="eastAsia" w:ascii="仿宋" w:hAnsi="仿宋" w:eastAsia="仿宋" w:cs="仿宋"/>
                <w:szCs w:val="21"/>
              </w:rPr>
              <w:t>商务得分+技术得分=100</w:t>
            </w:r>
          </w:p>
        </w:tc>
      </w:tr>
    </w:tbl>
    <w:p w14:paraId="35B89F73">
      <w:pPr>
        <w:pStyle w:val="6"/>
        <w:ind w:left="0" w:leftChars="0" w:firstLine="0" w:firstLineChars="0"/>
        <w:rPr>
          <w:rFonts w:hint="eastAsia"/>
          <w:lang w:val="en-US" w:eastAsia="zh-CN"/>
        </w:rPr>
      </w:pPr>
    </w:p>
    <w:tbl>
      <w:tblPr>
        <w:tblStyle w:val="8"/>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35"/>
        <w:gridCol w:w="1565"/>
        <w:gridCol w:w="930"/>
        <w:gridCol w:w="3728"/>
      </w:tblGrid>
      <w:tr w14:paraId="0B68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47" w:type="dxa"/>
            <w:vAlign w:val="center"/>
          </w:tcPr>
          <w:p w14:paraId="4D8A2814">
            <w:pPr>
              <w:jc w:val="center"/>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1435" w:type="dxa"/>
            <w:vAlign w:val="center"/>
          </w:tcPr>
          <w:p w14:paraId="5CFC37E6">
            <w:pPr>
              <w:jc w:val="center"/>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评分</w:t>
            </w:r>
            <w:r>
              <w:rPr>
                <w:rFonts w:hint="eastAsia" w:ascii="仿宋" w:hAnsi="仿宋" w:eastAsia="仿宋" w:cs="仿宋"/>
                <w:b/>
                <w:bCs/>
                <w:color w:val="000000" w:themeColor="text1"/>
                <w:szCs w:val="21"/>
                <w:lang w:val="en-US" w:eastAsia="zh-CN"/>
                <w14:textFill>
                  <w14:solidFill>
                    <w14:schemeClr w14:val="tx1"/>
                  </w14:solidFill>
                </w14:textFill>
              </w:rPr>
              <w:t>因素及权重</w:t>
            </w:r>
          </w:p>
        </w:tc>
        <w:tc>
          <w:tcPr>
            <w:tcW w:w="1565" w:type="dxa"/>
            <w:vAlign w:val="center"/>
          </w:tcPr>
          <w:p w14:paraId="72E99491">
            <w:pPr>
              <w:jc w:val="center"/>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评分内容</w:t>
            </w:r>
          </w:p>
        </w:tc>
        <w:tc>
          <w:tcPr>
            <w:tcW w:w="930" w:type="dxa"/>
            <w:vAlign w:val="center"/>
          </w:tcPr>
          <w:p w14:paraId="3E4F1F7C">
            <w:pPr>
              <w:jc w:val="center"/>
              <w:rPr>
                <w:rFonts w:hint="eastAsia"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szCs w:val="21"/>
                <w:lang w:val="en-US" w:eastAsia="zh-CN"/>
                <w14:textFill>
                  <w14:solidFill>
                    <w14:schemeClr w14:val="tx1"/>
                  </w14:solidFill>
                </w14:textFill>
              </w:rPr>
              <w:t>满分</w:t>
            </w:r>
          </w:p>
        </w:tc>
        <w:tc>
          <w:tcPr>
            <w:tcW w:w="3728" w:type="dxa"/>
            <w:vAlign w:val="center"/>
          </w:tcPr>
          <w:p w14:paraId="054E124B">
            <w:pPr>
              <w:jc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000000" w:themeColor="text1"/>
                <w:szCs w:val="21"/>
                <w14:textFill>
                  <w14:solidFill>
                    <w14:schemeClr w14:val="tx1"/>
                  </w14:solidFill>
                </w14:textFill>
              </w:rPr>
              <w:t>评分</w:t>
            </w:r>
            <w:r>
              <w:rPr>
                <w:rFonts w:hint="eastAsia" w:ascii="仿宋" w:hAnsi="仿宋" w:eastAsia="仿宋" w:cs="仿宋"/>
                <w:b/>
                <w:bCs/>
                <w:color w:val="000000" w:themeColor="text1"/>
                <w:szCs w:val="21"/>
                <w:lang w:val="en-US" w:eastAsia="zh-CN"/>
                <w14:textFill>
                  <w14:solidFill>
                    <w14:schemeClr w14:val="tx1"/>
                  </w14:solidFill>
                </w14:textFill>
              </w:rPr>
              <w:t>细则</w:t>
            </w:r>
          </w:p>
        </w:tc>
      </w:tr>
      <w:tr w14:paraId="7005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647" w:type="dxa"/>
            <w:vAlign w:val="center"/>
          </w:tcPr>
          <w:p w14:paraId="07326A85">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w:t>
            </w:r>
          </w:p>
        </w:tc>
        <w:tc>
          <w:tcPr>
            <w:tcW w:w="1435" w:type="dxa"/>
            <w:vAlign w:val="center"/>
          </w:tcPr>
          <w:p w14:paraId="18C5D8AD">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报价</w:t>
            </w:r>
          </w:p>
          <w:p w14:paraId="1DEB2685">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评分</w:t>
            </w:r>
          </w:p>
          <w:p w14:paraId="73F9BE5D">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（20%）</w:t>
            </w:r>
          </w:p>
        </w:tc>
        <w:tc>
          <w:tcPr>
            <w:tcW w:w="1565" w:type="dxa"/>
            <w:vAlign w:val="center"/>
          </w:tcPr>
          <w:p w14:paraId="4BA5009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投标</w:t>
            </w:r>
          </w:p>
          <w:p w14:paraId="46DC7AE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报价</w:t>
            </w:r>
          </w:p>
        </w:tc>
        <w:tc>
          <w:tcPr>
            <w:tcW w:w="930" w:type="dxa"/>
            <w:vAlign w:val="center"/>
          </w:tcPr>
          <w:p w14:paraId="379BA200">
            <w:pPr>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20</w:t>
            </w:r>
          </w:p>
        </w:tc>
        <w:tc>
          <w:tcPr>
            <w:tcW w:w="3728" w:type="dxa"/>
            <w:vAlign w:val="top"/>
          </w:tcPr>
          <w:p w14:paraId="1AFBEAE8">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1.价格分统一</w:t>
            </w:r>
            <w:r>
              <w:rPr>
                <w:rFonts w:hint="eastAsia" w:ascii="仿宋" w:hAnsi="仿宋" w:eastAsia="仿宋" w:cs="仿宋"/>
                <w:color w:val="auto"/>
                <w:szCs w:val="21"/>
              </w:rPr>
              <w:t>采用</w:t>
            </w:r>
            <w:r>
              <w:rPr>
                <w:rFonts w:hint="eastAsia" w:ascii="仿宋" w:hAnsi="仿宋" w:eastAsia="仿宋" w:cs="仿宋"/>
                <w:color w:val="auto"/>
                <w:szCs w:val="21"/>
                <w:u w:val="single"/>
              </w:rPr>
              <w:t>低价优先法</w:t>
            </w:r>
            <w:r>
              <w:rPr>
                <w:rFonts w:hint="eastAsia" w:ascii="仿宋" w:hAnsi="仿宋" w:eastAsia="仿宋" w:cs="仿宋"/>
                <w:color w:val="auto"/>
                <w:szCs w:val="21"/>
              </w:rPr>
              <w:t>计算</w:t>
            </w:r>
            <w:r>
              <w:rPr>
                <w:rFonts w:hint="eastAsia" w:ascii="仿宋" w:hAnsi="仿宋" w:eastAsia="仿宋" w:cs="仿宋"/>
                <w:color w:val="000000" w:themeColor="text1"/>
                <w:szCs w:val="21"/>
                <w14:textFill>
                  <w14:solidFill>
                    <w14:schemeClr w14:val="tx1"/>
                  </w14:solidFill>
                </w14:textFill>
              </w:rPr>
              <w:t>,即满足招标文件要求且投标价格最低的投标报价为评标基准价,其价格分为满分。</w:t>
            </w:r>
          </w:p>
          <w:p w14:paraId="48006238">
            <w:p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2.其他投标人的价格分统一按照下列公式计算：投标报价得分=(评标基准价/投标报价)×</w:t>
            </w:r>
            <w:r>
              <w:rPr>
                <w:rFonts w:hint="eastAsia" w:ascii="仿宋" w:hAnsi="仿宋" w:eastAsia="仿宋" w:cs="仿宋"/>
                <w:color w:val="000000" w:themeColor="text1"/>
                <w:szCs w:val="21"/>
                <w:lang w:val="en-US" w:eastAsia="zh-CN"/>
                <w14:textFill>
                  <w14:solidFill>
                    <w14:schemeClr w14:val="tx1"/>
                  </w14:solidFill>
                </w14:textFill>
              </w:rPr>
              <w:t>20</w:t>
            </w:r>
            <w:r>
              <w:rPr>
                <w:rFonts w:hint="eastAsia" w:ascii="仿宋" w:hAnsi="仿宋" w:eastAsia="仿宋" w:cs="仿宋"/>
                <w:color w:val="000000" w:themeColor="text1"/>
                <w:szCs w:val="21"/>
                <w14:textFill>
                  <w14:solidFill>
                    <w14:schemeClr w14:val="tx1"/>
                  </w14:solidFill>
                </w14:textFill>
              </w:rPr>
              <w:t>。</w:t>
            </w:r>
          </w:p>
        </w:tc>
      </w:tr>
      <w:tr w14:paraId="6615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647" w:type="dxa"/>
            <w:vMerge w:val="restart"/>
            <w:vAlign w:val="center"/>
          </w:tcPr>
          <w:p w14:paraId="18C052A3">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c>
          <w:tcPr>
            <w:tcW w:w="1435" w:type="dxa"/>
            <w:vMerge w:val="restart"/>
            <w:vAlign w:val="center"/>
          </w:tcPr>
          <w:p w14:paraId="34953299">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商务</w:t>
            </w:r>
          </w:p>
          <w:p w14:paraId="15F3B78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评分（40%）</w:t>
            </w:r>
          </w:p>
        </w:tc>
        <w:tc>
          <w:tcPr>
            <w:tcW w:w="1565" w:type="dxa"/>
            <w:vAlign w:val="center"/>
          </w:tcPr>
          <w:p w14:paraId="58F16DA0">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投标人管理体系认证情况</w:t>
            </w:r>
          </w:p>
        </w:tc>
        <w:tc>
          <w:tcPr>
            <w:tcW w:w="930" w:type="dxa"/>
            <w:vAlign w:val="center"/>
          </w:tcPr>
          <w:p w14:paraId="25F5E155">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20</w:t>
            </w:r>
          </w:p>
        </w:tc>
        <w:tc>
          <w:tcPr>
            <w:tcW w:w="3728" w:type="dxa"/>
            <w:vAlign w:val="center"/>
          </w:tcPr>
          <w:p w14:paraId="2CF89689">
            <w:pPr>
              <w:widowControl w:val="0"/>
              <w:autoSpaceDE w:val="0"/>
              <w:autoSpaceDN w:val="0"/>
              <w:adjustRightInd w:val="0"/>
              <w:snapToGrid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评审标准：</w:t>
            </w:r>
          </w:p>
          <w:p w14:paraId="4F7F2563">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投标人具有以下认证证书且证书在有效期内的，本项最高</w:t>
            </w:r>
            <w:r>
              <w:rPr>
                <w:rFonts w:hint="eastAsia" w:ascii="仿宋" w:hAnsi="仿宋" w:eastAsia="仿宋" w:cs="仿宋"/>
                <w:color w:val="000000" w:themeColor="text1"/>
                <w:szCs w:val="21"/>
                <w:lang w:val="en-US" w:eastAsia="zh-CN"/>
                <w14:textFill>
                  <w14:solidFill>
                    <w14:schemeClr w14:val="tx1"/>
                  </w14:solidFill>
                </w14:textFill>
              </w:rPr>
              <w:t>20</w:t>
            </w:r>
            <w:r>
              <w:rPr>
                <w:rFonts w:hint="eastAsia" w:ascii="仿宋" w:hAnsi="仿宋" w:eastAsia="仿宋" w:cs="仿宋"/>
                <w:color w:val="000000" w:themeColor="text1"/>
                <w:szCs w:val="21"/>
                <w14:textFill>
                  <w14:solidFill>
                    <w14:schemeClr w14:val="tx1"/>
                  </w14:solidFill>
                </w14:textFill>
              </w:rPr>
              <w:t>分：</w:t>
            </w:r>
          </w:p>
          <w:p w14:paraId="69FA69CC">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具有质量管理认证证书</w:t>
            </w:r>
            <w:r>
              <w:rPr>
                <w:rFonts w:hint="eastAsia" w:ascii="仿宋" w:hAnsi="仿宋" w:eastAsia="仿宋" w:cs="仿宋"/>
                <w:color w:val="000000" w:themeColor="text1"/>
                <w:szCs w:val="21"/>
                <w:lang w:eastAsia="zh-CN"/>
                <w14:textFill>
                  <w14:solidFill>
                    <w14:schemeClr w14:val="tx1"/>
                  </w14:solidFill>
                </w14:textFill>
              </w:rPr>
              <w:t>，得</w:t>
            </w:r>
            <w:r>
              <w:rPr>
                <w:rFonts w:hint="eastAsia" w:ascii="仿宋" w:hAnsi="仿宋" w:eastAsia="仿宋" w:cs="仿宋"/>
                <w:color w:val="000000" w:themeColor="text1"/>
                <w:szCs w:val="21"/>
                <w:lang w:val="en-US" w:eastAsia="zh-CN"/>
                <w14:textFill>
                  <w14:solidFill>
                    <w14:schemeClr w14:val="tx1"/>
                  </w14:solidFill>
                </w14:textFill>
              </w:rPr>
              <w:t>7</w:t>
            </w:r>
            <w:r>
              <w:rPr>
                <w:rFonts w:hint="eastAsia" w:ascii="仿宋" w:hAnsi="仿宋" w:eastAsia="仿宋" w:cs="仿宋"/>
                <w:color w:val="000000" w:themeColor="text1"/>
                <w:szCs w:val="21"/>
                <w:lang w:eastAsia="zh-CN"/>
                <w14:textFill>
                  <w14:solidFill>
                    <w14:schemeClr w14:val="tx1"/>
                  </w14:solidFill>
                </w14:textFill>
              </w:rPr>
              <w:t>分</w:t>
            </w:r>
            <w:r>
              <w:rPr>
                <w:rFonts w:hint="eastAsia" w:ascii="仿宋" w:hAnsi="仿宋" w:eastAsia="仿宋" w:cs="仿宋"/>
                <w:color w:val="000000" w:themeColor="text1"/>
                <w:szCs w:val="21"/>
                <w14:textFill>
                  <w14:solidFill>
                    <w14:schemeClr w14:val="tx1"/>
                  </w14:solidFill>
                </w14:textFill>
              </w:rPr>
              <w:t>；</w:t>
            </w:r>
          </w:p>
          <w:p w14:paraId="5AD92421">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具有环境管理体系认证书</w:t>
            </w:r>
            <w:r>
              <w:rPr>
                <w:rFonts w:hint="eastAsia" w:ascii="仿宋" w:hAnsi="仿宋" w:eastAsia="仿宋" w:cs="仿宋"/>
                <w:color w:val="000000" w:themeColor="text1"/>
                <w:szCs w:val="21"/>
                <w:lang w:eastAsia="zh-CN"/>
                <w14:textFill>
                  <w14:solidFill>
                    <w14:schemeClr w14:val="tx1"/>
                  </w14:solidFill>
                </w14:textFill>
              </w:rPr>
              <w:t>，得</w:t>
            </w:r>
            <w:r>
              <w:rPr>
                <w:rFonts w:hint="eastAsia" w:ascii="仿宋" w:hAnsi="仿宋" w:eastAsia="仿宋" w:cs="仿宋"/>
                <w:color w:val="000000" w:themeColor="text1"/>
                <w:szCs w:val="21"/>
                <w:lang w:val="en-US" w:eastAsia="zh-CN"/>
                <w14:textFill>
                  <w14:solidFill>
                    <w14:schemeClr w14:val="tx1"/>
                  </w14:solidFill>
                </w14:textFill>
              </w:rPr>
              <w:t>7</w:t>
            </w:r>
            <w:r>
              <w:rPr>
                <w:rFonts w:hint="eastAsia" w:ascii="仿宋" w:hAnsi="仿宋" w:eastAsia="仿宋" w:cs="仿宋"/>
                <w:color w:val="000000" w:themeColor="text1"/>
                <w:szCs w:val="21"/>
                <w:lang w:eastAsia="zh-CN"/>
                <w14:textFill>
                  <w14:solidFill>
                    <w14:schemeClr w14:val="tx1"/>
                  </w14:solidFill>
                </w14:textFill>
              </w:rPr>
              <w:t>分</w:t>
            </w:r>
            <w:r>
              <w:rPr>
                <w:rFonts w:hint="eastAsia" w:ascii="仿宋" w:hAnsi="仿宋" w:eastAsia="仿宋" w:cs="仿宋"/>
                <w:color w:val="000000" w:themeColor="text1"/>
                <w:szCs w:val="21"/>
                <w14:textFill>
                  <w14:solidFill>
                    <w14:schemeClr w14:val="tx1"/>
                  </w14:solidFill>
                </w14:textFill>
              </w:rPr>
              <w:t>；</w:t>
            </w:r>
          </w:p>
          <w:p w14:paraId="022B953F">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具有职业健康安全管理体系证书</w:t>
            </w:r>
            <w:r>
              <w:rPr>
                <w:rFonts w:hint="eastAsia" w:ascii="仿宋" w:hAnsi="仿宋" w:eastAsia="仿宋" w:cs="仿宋"/>
                <w:color w:val="000000" w:themeColor="text1"/>
                <w:szCs w:val="21"/>
                <w:lang w:eastAsia="zh-CN"/>
                <w14:textFill>
                  <w14:solidFill>
                    <w14:schemeClr w14:val="tx1"/>
                  </w14:solidFill>
                </w14:textFill>
              </w:rPr>
              <w:t>，得</w:t>
            </w:r>
            <w:r>
              <w:rPr>
                <w:rFonts w:hint="eastAsia" w:ascii="仿宋" w:hAnsi="仿宋" w:eastAsia="仿宋" w:cs="仿宋"/>
                <w:color w:val="000000" w:themeColor="text1"/>
                <w:szCs w:val="21"/>
                <w:lang w:val="en-US" w:eastAsia="zh-CN"/>
                <w14:textFill>
                  <w14:solidFill>
                    <w14:schemeClr w14:val="tx1"/>
                  </w14:solidFill>
                </w14:textFill>
              </w:rPr>
              <w:t>6</w:t>
            </w:r>
            <w:r>
              <w:rPr>
                <w:rFonts w:hint="eastAsia" w:ascii="仿宋" w:hAnsi="仿宋" w:eastAsia="仿宋" w:cs="仿宋"/>
                <w:color w:val="000000" w:themeColor="text1"/>
                <w:szCs w:val="21"/>
                <w:lang w:eastAsia="zh-CN"/>
                <w14:textFill>
                  <w14:solidFill>
                    <w14:schemeClr w14:val="tx1"/>
                  </w14:solidFill>
                </w14:textFill>
              </w:rPr>
              <w:t>分</w:t>
            </w:r>
            <w:r>
              <w:rPr>
                <w:rFonts w:hint="eastAsia" w:ascii="仿宋" w:hAnsi="仿宋" w:eastAsia="仿宋" w:cs="仿宋"/>
                <w:color w:val="000000" w:themeColor="text1"/>
                <w:szCs w:val="21"/>
                <w14:textFill>
                  <w14:solidFill>
                    <w14:schemeClr w14:val="tx1"/>
                  </w14:solidFill>
                </w14:textFill>
              </w:rPr>
              <w:t>。</w:t>
            </w:r>
          </w:p>
          <w:p w14:paraId="0403613D">
            <w:pPr>
              <w:widowControl w:val="0"/>
              <w:autoSpaceDE w:val="0"/>
              <w:autoSpaceDN w:val="0"/>
              <w:adjustRightInd w:val="0"/>
              <w:snapToGrid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证明材料：</w:t>
            </w:r>
          </w:p>
          <w:p w14:paraId="065BE618">
            <w:pPr>
              <w:widowControl w:val="0"/>
              <w:autoSpaceDE w:val="0"/>
              <w:autoSpaceDN w:val="0"/>
              <w:adjustRightInd w:val="0"/>
              <w:snapToGrid w:val="0"/>
              <w:ind w:firstLine="0" w:firstLineChars="0"/>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提供</w:t>
            </w:r>
            <w:r>
              <w:rPr>
                <w:rFonts w:hint="eastAsia" w:ascii="仿宋" w:hAnsi="仿宋" w:eastAsia="仿宋" w:cs="仿宋"/>
                <w:kern w:val="0"/>
                <w:szCs w:val="21"/>
                <w:highlight w:val="none"/>
              </w:rPr>
              <w:t>有效期内的体系认证证书扫描件需加盖公司公章</w:t>
            </w:r>
            <w:r>
              <w:rPr>
                <w:rFonts w:hint="eastAsia" w:ascii="仿宋" w:hAnsi="仿宋" w:eastAsia="仿宋" w:cs="仿宋"/>
                <w:szCs w:val="21"/>
                <w:highlight w:val="none"/>
              </w:rPr>
              <w:t>；</w:t>
            </w:r>
          </w:p>
          <w:p w14:paraId="209D97DB">
            <w:pPr>
              <w:numPr>
                <w:ilvl w:val="0"/>
                <w:numId w:val="0"/>
              </w:numPr>
              <w:jc w:val="both"/>
              <w:rPr>
                <w:rFonts w:hint="eastAsia"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w:t>
            </w:r>
            <w:r>
              <w:rPr>
                <w:rFonts w:hint="eastAsia" w:ascii="仿宋" w:hAnsi="仿宋" w:eastAsia="仿宋" w:cs="仿宋"/>
                <w:kern w:val="0"/>
                <w:szCs w:val="21"/>
                <w:highlight w:val="none"/>
              </w:rPr>
              <w:t>提供国家市场监督管理总局【全国认证认可信息公共服务平台（cx.cnca.cn）】查询结果截图</w:t>
            </w:r>
            <w:r>
              <w:rPr>
                <w:rFonts w:hint="eastAsia" w:ascii="仿宋" w:hAnsi="仿宋" w:eastAsia="仿宋" w:cs="仿宋"/>
                <w:szCs w:val="21"/>
                <w:highlight w:val="none"/>
              </w:rPr>
              <w:t>。</w:t>
            </w:r>
          </w:p>
          <w:p w14:paraId="56DD43D2">
            <w:pPr>
              <w:pStyle w:val="2"/>
              <w:rPr>
                <w:rFonts w:hint="default" w:eastAsia="仿宋"/>
                <w:lang w:val="en-US" w:eastAsia="zh-CN"/>
              </w:rPr>
            </w:pPr>
            <w:r>
              <w:rPr>
                <w:rFonts w:hint="eastAsia" w:ascii="仿宋" w:hAnsi="仿宋" w:eastAsia="仿宋" w:cs="仿宋"/>
                <w:b w:val="0"/>
                <w:bCs w:val="0"/>
                <w:kern w:val="0"/>
                <w:sz w:val="21"/>
                <w:szCs w:val="21"/>
                <w:highlight w:val="none"/>
                <w:lang w:val="en-US" w:eastAsia="zh-CN" w:bidi="ar-SA"/>
              </w:rPr>
              <w:t>3.证书过期、无效或未提供查询截图的，对应项不得分。</w:t>
            </w:r>
          </w:p>
        </w:tc>
      </w:tr>
      <w:tr w14:paraId="7E43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647" w:type="dxa"/>
            <w:vMerge w:val="continue"/>
            <w:vAlign w:val="center"/>
          </w:tcPr>
          <w:p w14:paraId="6B6BA143">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435" w:type="dxa"/>
            <w:vMerge w:val="continue"/>
            <w:vAlign w:val="center"/>
          </w:tcPr>
          <w:p w14:paraId="013F5ABE">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565" w:type="dxa"/>
            <w:vAlign w:val="center"/>
          </w:tcPr>
          <w:p w14:paraId="07D1A2E5">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公司业绩经验</w:t>
            </w:r>
          </w:p>
        </w:tc>
        <w:tc>
          <w:tcPr>
            <w:tcW w:w="930" w:type="dxa"/>
            <w:vAlign w:val="center"/>
          </w:tcPr>
          <w:p w14:paraId="2C2ED9CB">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20</w:t>
            </w:r>
          </w:p>
        </w:tc>
        <w:tc>
          <w:tcPr>
            <w:tcW w:w="3728" w:type="dxa"/>
            <w:vAlign w:val="center"/>
          </w:tcPr>
          <w:p w14:paraId="01731725">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1.管理过20个，≥10万平的项目；</w:t>
            </w:r>
          </w:p>
          <w:p w14:paraId="782C7DF8">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2.参与过政府类项目至少3个项目；</w:t>
            </w:r>
          </w:p>
          <w:p w14:paraId="4922845E">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3.甲级写字楼类型项目至少5个项目（体量在10万平以上）；</w:t>
            </w:r>
          </w:p>
          <w:p w14:paraId="6FADC78D">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（1）满足3项，得20分</w:t>
            </w:r>
          </w:p>
          <w:p w14:paraId="6159E508">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（2）满足2项，得10分</w:t>
            </w:r>
          </w:p>
          <w:p w14:paraId="4E6B5C67">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（3）满足1项，得5分</w:t>
            </w:r>
          </w:p>
          <w:p w14:paraId="628C2E63">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（4）均不满足，得0分</w:t>
            </w:r>
          </w:p>
          <w:p w14:paraId="616C6B1F">
            <w:pPr>
              <w:jc w:val="left"/>
              <w:rPr>
                <w:rFonts w:hint="eastAsia" w:ascii="仿宋" w:hAnsi="仿宋" w:eastAsia="仿宋" w:cs="仿宋"/>
                <w:lang w:val="en-US" w:eastAsia="zh-CN"/>
              </w:rPr>
            </w:pPr>
            <w:r>
              <w:rPr>
                <w:rFonts w:hint="eastAsia" w:ascii="仿宋" w:hAnsi="仿宋" w:eastAsia="仿宋" w:cs="仿宋"/>
                <w:color w:val="000000" w:themeColor="text1"/>
                <w:szCs w:val="21"/>
                <w:lang w:val="en-US" w:eastAsia="zh-CN"/>
                <w14:textFill>
                  <w14:solidFill>
                    <w14:schemeClr w14:val="tx1"/>
                  </w14:solidFill>
                </w14:textFill>
              </w:rPr>
              <w:t>证明材料：提交参与的</w:t>
            </w:r>
            <w:r>
              <w:rPr>
                <w:rFonts w:hint="eastAsia" w:ascii="仿宋" w:hAnsi="仿宋" w:eastAsia="仿宋" w:cs="仿宋"/>
                <w:color w:val="auto"/>
                <w:szCs w:val="21"/>
                <w:lang w:val="en-US" w:eastAsia="zh-CN"/>
              </w:rPr>
              <w:t>项目</w:t>
            </w:r>
            <w:r>
              <w:rPr>
                <w:rFonts w:hint="eastAsia" w:ascii="仿宋" w:hAnsi="仿宋" w:eastAsia="仿宋" w:cs="仿宋"/>
                <w:color w:val="auto"/>
                <w:szCs w:val="21"/>
                <w:u w:val="single"/>
                <w:lang w:val="en-US" w:eastAsia="zh-CN"/>
              </w:rPr>
              <w:t>合同证明</w:t>
            </w:r>
          </w:p>
        </w:tc>
      </w:tr>
      <w:tr w14:paraId="41D9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647" w:type="dxa"/>
            <w:vMerge w:val="restart"/>
            <w:vAlign w:val="center"/>
          </w:tcPr>
          <w:p w14:paraId="4F5F22D4">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w:t>
            </w:r>
          </w:p>
        </w:tc>
        <w:tc>
          <w:tcPr>
            <w:tcW w:w="1435" w:type="dxa"/>
            <w:vMerge w:val="restart"/>
            <w:vAlign w:val="center"/>
          </w:tcPr>
          <w:p w14:paraId="767C774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技术</w:t>
            </w:r>
          </w:p>
          <w:p w14:paraId="209D611D">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评分</w:t>
            </w:r>
          </w:p>
          <w:p w14:paraId="050A1293">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（40%）</w:t>
            </w:r>
          </w:p>
        </w:tc>
        <w:tc>
          <w:tcPr>
            <w:tcW w:w="1565" w:type="dxa"/>
            <w:vAlign w:val="center"/>
          </w:tcPr>
          <w:p w14:paraId="39A509B1">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大堂礼宾与会务接待服务方案</w:t>
            </w:r>
          </w:p>
        </w:tc>
        <w:tc>
          <w:tcPr>
            <w:tcW w:w="930" w:type="dxa"/>
            <w:vAlign w:val="center"/>
          </w:tcPr>
          <w:p w14:paraId="50BC2F8B">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10</w:t>
            </w:r>
          </w:p>
        </w:tc>
        <w:tc>
          <w:tcPr>
            <w:tcW w:w="3728" w:type="dxa"/>
            <w:vAlign w:val="center"/>
          </w:tcPr>
          <w:p w14:paraId="6C82FBA3">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1.是否符合深圳工业软件园日常工作，详尽、完善、合理，具有可操作性。</w:t>
            </w:r>
          </w:p>
          <w:p w14:paraId="33A5A3A9">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2.由评委专家根据投标人的大堂礼宾服务与会务接待服务方案等综合比较，横向排名打分。优良8-10分；较好5-7分；一般1-4分。</w:t>
            </w:r>
          </w:p>
          <w:p w14:paraId="0FB99EEC">
            <w:pPr>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证明材料：根据投标人提供的大堂礼宾服务、会务接待服务方案。</w:t>
            </w:r>
          </w:p>
        </w:tc>
      </w:tr>
      <w:tr w14:paraId="18EC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647" w:type="dxa"/>
            <w:vMerge w:val="continue"/>
            <w:vAlign w:val="center"/>
          </w:tcPr>
          <w:p w14:paraId="0E73DB75">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435" w:type="dxa"/>
            <w:vMerge w:val="continue"/>
            <w:vAlign w:val="center"/>
          </w:tcPr>
          <w:p w14:paraId="157EC84E">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565" w:type="dxa"/>
            <w:vAlign w:val="center"/>
          </w:tcPr>
          <w:p w14:paraId="59AD11CE">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日常</w:t>
            </w:r>
          </w:p>
          <w:p w14:paraId="3E4C8CAC">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管理</w:t>
            </w:r>
          </w:p>
        </w:tc>
        <w:tc>
          <w:tcPr>
            <w:tcW w:w="930" w:type="dxa"/>
            <w:vAlign w:val="center"/>
          </w:tcPr>
          <w:p w14:paraId="489A924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10</w:t>
            </w:r>
          </w:p>
        </w:tc>
        <w:tc>
          <w:tcPr>
            <w:tcW w:w="3728" w:type="dxa"/>
            <w:vAlign w:val="center"/>
          </w:tcPr>
          <w:p w14:paraId="0F829B1F">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评标委员会根据投标人针对本项目提供的实施方案响应情况进行评审，方案具体包含以下内容：</w:t>
            </w:r>
            <w:bookmarkStart w:id="0" w:name="_GoBack"/>
            <w:bookmarkEnd w:id="0"/>
          </w:p>
          <w:p w14:paraId="3C6FA49B">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lang w:val="en-US" w:eastAsia="zh-CN"/>
              </w:rPr>
              <w:t>1</w:t>
            </w:r>
            <w:r>
              <w:rPr>
                <w:rFonts w:hint="eastAsia" w:ascii="仿宋" w:hAnsi="仿宋" w:eastAsia="仿宋" w:cs="仿宋"/>
                <w:color w:val="000000" w:themeColor="text1"/>
                <w:szCs w:val="21"/>
                <w:lang w:val="en-US" w:eastAsia="zh-CN"/>
                <w14:textFill>
                  <w14:solidFill>
                    <w14:schemeClr w14:val="tx1"/>
                  </w14:solidFill>
                </w14:textFill>
              </w:rPr>
              <w:t>.晨迎礼遇服务；</w:t>
            </w:r>
          </w:p>
          <w:p w14:paraId="72BACA2E">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2.来访接待登记服务；</w:t>
            </w:r>
          </w:p>
          <w:p w14:paraId="65FA43EA">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3.电梯指引服务；</w:t>
            </w:r>
          </w:p>
          <w:p w14:paraId="05795827">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4.个性化服务设计（提供设计方案）；</w:t>
            </w:r>
          </w:p>
          <w:p w14:paraId="4E6DE285">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5.物品转交寄存服务；</w:t>
            </w:r>
          </w:p>
          <w:p w14:paraId="1E053874">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6.多样化增值服务；</w:t>
            </w:r>
          </w:p>
          <w:p w14:paraId="6A6D792D">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7.基础个性化服务</w:t>
            </w:r>
          </w:p>
          <w:p w14:paraId="6BC5182D">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8.节日关怀活动；</w:t>
            </w:r>
          </w:p>
          <w:p w14:paraId="47F4B90E">
            <w:pPr>
              <w:numPr>
                <w:ilvl w:val="0"/>
                <w:numId w:val="0"/>
              </w:numPr>
              <w:jc w:val="left"/>
              <w:rPr>
                <w:rFonts w:hint="eastAsia" w:ascii="仿宋" w:hAnsi="仿宋" w:eastAsia="仿宋" w:cs="仿宋"/>
                <w:lang w:val="en-US" w:eastAsia="zh-CN"/>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9.大堂突发事件应急预案；</w:t>
            </w:r>
          </w:p>
          <w:p w14:paraId="3A5D335C">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10.日常协助与突发事件处理；</w:t>
            </w:r>
          </w:p>
          <w:p w14:paraId="144BEE20">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考察以上10点内容，满足上述任意一点得1分，最高得10分，未满足不得分。</w:t>
            </w:r>
          </w:p>
          <w:p w14:paraId="1363D41F">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证明材料：根据投标人提供的服务方案。</w:t>
            </w:r>
          </w:p>
        </w:tc>
      </w:tr>
      <w:tr w14:paraId="3DC2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647" w:type="dxa"/>
            <w:vMerge w:val="continue"/>
            <w:vAlign w:val="center"/>
          </w:tcPr>
          <w:p w14:paraId="57B980B1">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435" w:type="dxa"/>
            <w:vMerge w:val="continue"/>
            <w:vAlign w:val="center"/>
          </w:tcPr>
          <w:p w14:paraId="2D2CA547">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565" w:type="dxa"/>
            <w:vAlign w:val="center"/>
          </w:tcPr>
          <w:p w14:paraId="5749D92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其他</w:t>
            </w:r>
          </w:p>
          <w:p w14:paraId="62ED2E2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服务</w:t>
            </w:r>
          </w:p>
        </w:tc>
        <w:tc>
          <w:tcPr>
            <w:tcW w:w="930" w:type="dxa"/>
            <w:vAlign w:val="center"/>
          </w:tcPr>
          <w:p w14:paraId="7BCB55FC">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10</w:t>
            </w:r>
          </w:p>
        </w:tc>
        <w:tc>
          <w:tcPr>
            <w:tcW w:w="3728" w:type="dxa"/>
            <w:vAlign w:val="center"/>
          </w:tcPr>
          <w:p w14:paraId="19077AD7">
            <w:pPr>
              <w:wordWrap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评审标准：</w:t>
            </w:r>
          </w:p>
          <w:p w14:paraId="014C012C">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评标委员会根据投标人针对本项目提供的创新思路方案响应情况进行评审，方案具体包含以下内容：</w:t>
            </w:r>
          </w:p>
          <w:p w14:paraId="2FBA04AB">
            <w:pPr>
              <w:jc w:val="left"/>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1.大堂空间设计；</w:t>
            </w:r>
          </w:p>
          <w:p w14:paraId="68BE3741">
            <w:pPr>
              <w:jc w:val="left"/>
              <w:rPr>
                <w:rFonts w:hint="default"/>
                <w:highlight w:val="none"/>
                <w:lang w:val="en-US" w:eastAsia="zh-CN"/>
              </w:rPr>
            </w:pPr>
            <w:r>
              <w:rPr>
                <w:rFonts w:hint="eastAsia" w:ascii="仿宋" w:hAnsi="仿宋" w:eastAsia="仿宋" w:cs="仿宋"/>
                <w:color w:val="000000" w:themeColor="text1"/>
                <w:szCs w:val="21"/>
                <w:highlight w:val="none"/>
                <w:lang w:val="en-US" w:eastAsia="zh-CN"/>
                <w14:textFill>
                  <w14:solidFill>
                    <w14:schemeClr w14:val="tx1"/>
                  </w14:solidFill>
                </w14:textFill>
              </w:rPr>
              <w:t>2.活动内容及物料设计</w:t>
            </w:r>
          </w:p>
          <w:p w14:paraId="14D12B93">
            <w:pPr>
              <w:jc w:val="left"/>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3.大堂服务设计；</w:t>
            </w:r>
          </w:p>
          <w:p w14:paraId="593E040B">
            <w:pPr>
              <w:jc w:val="left"/>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4.物业标识设计；</w:t>
            </w:r>
          </w:p>
          <w:p w14:paraId="490E264B">
            <w:pPr>
              <w:jc w:val="left"/>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5.花艺绿植定制；</w:t>
            </w:r>
          </w:p>
          <w:p w14:paraId="2B812409">
            <w:pPr>
              <w:jc w:val="left"/>
              <w:rPr>
                <w:rFonts w:hint="eastAsia"/>
                <w:lang w:val="en-US" w:eastAsia="zh-CN"/>
              </w:rPr>
            </w:pPr>
            <w:r>
              <w:rPr>
                <w:rFonts w:hint="eastAsia" w:ascii="仿宋" w:hAnsi="仿宋" w:eastAsia="仿宋" w:cs="仿宋"/>
                <w:color w:val="000000" w:themeColor="text1"/>
                <w:szCs w:val="21"/>
                <w:lang w:val="en-US" w:eastAsia="zh-CN"/>
                <w14:textFill>
                  <w14:solidFill>
                    <w14:schemeClr w14:val="tx1"/>
                  </w14:solidFill>
                </w14:textFill>
              </w:rPr>
              <w:t>考察以上5点内容，满足上述任意一点得2分，最高得10分，未满足不得分。</w:t>
            </w:r>
          </w:p>
          <w:p w14:paraId="3A7E97D1">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证明材料：根据投标人提供的增值服务承诺，格式自拟。</w:t>
            </w:r>
          </w:p>
        </w:tc>
      </w:tr>
      <w:tr w14:paraId="594C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647" w:type="dxa"/>
            <w:vMerge w:val="continue"/>
            <w:vAlign w:val="center"/>
          </w:tcPr>
          <w:p w14:paraId="0AD30437">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435" w:type="dxa"/>
            <w:vMerge w:val="continue"/>
            <w:vAlign w:val="center"/>
          </w:tcPr>
          <w:p w14:paraId="14AD4D10">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565" w:type="dxa"/>
            <w:vAlign w:val="center"/>
          </w:tcPr>
          <w:p w14:paraId="714769F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员工</w:t>
            </w:r>
          </w:p>
          <w:p w14:paraId="583E692B">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管理</w:t>
            </w:r>
          </w:p>
        </w:tc>
        <w:tc>
          <w:tcPr>
            <w:tcW w:w="930" w:type="dxa"/>
            <w:vAlign w:val="center"/>
          </w:tcPr>
          <w:p w14:paraId="20AB3867">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w:t>
            </w:r>
          </w:p>
        </w:tc>
        <w:tc>
          <w:tcPr>
            <w:tcW w:w="3728" w:type="dxa"/>
            <w:vAlign w:val="center"/>
          </w:tcPr>
          <w:p w14:paraId="432089CC">
            <w:pPr>
              <w:wordWrap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评审标准：</w:t>
            </w:r>
          </w:p>
          <w:p w14:paraId="3621D52A">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一、评标委员会根据投标人针对本项目提供的服务人员日常管理响应情况进行评审，方案具体包含以下内容：</w:t>
            </w:r>
          </w:p>
          <w:p w14:paraId="013F7F29">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1.岗位职责及制度；</w:t>
            </w:r>
          </w:p>
          <w:p w14:paraId="5ADE1ADE">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2.实施方案；</w:t>
            </w:r>
          </w:p>
          <w:p w14:paraId="2C49481D">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3.质量监督措施；</w:t>
            </w:r>
          </w:p>
          <w:p w14:paraId="78029762">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4.人员的具体管理措施。</w:t>
            </w:r>
          </w:p>
          <w:p w14:paraId="32B673C7">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 xml:space="preserve">5.人员配置情况； </w:t>
            </w:r>
          </w:p>
          <w:p w14:paraId="3F093BEB">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6.人员的培训计划。</w:t>
            </w:r>
          </w:p>
          <w:p w14:paraId="2E49AC77">
            <w:pPr>
              <w:wordWrap w:val="0"/>
              <w:ind w:firstLine="0" w:firstLineChars="0"/>
              <w:rPr>
                <w:rFonts w:hint="eastAsia" w:ascii="仿宋" w:hAnsi="仿宋" w:eastAsia="仿宋" w:cs="仿宋"/>
                <w:b/>
                <w:bCs w:val="0"/>
                <w:szCs w:val="21"/>
                <w:highlight w:val="none"/>
              </w:rPr>
            </w:pPr>
            <w:r>
              <w:rPr>
                <w:rFonts w:hint="eastAsia" w:ascii="仿宋" w:hAnsi="仿宋" w:eastAsia="仿宋" w:cs="仿宋"/>
                <w:b/>
                <w:bCs w:val="0"/>
                <w:szCs w:val="21"/>
                <w:highlight w:val="none"/>
              </w:rPr>
              <w:t>考察以上</w:t>
            </w:r>
            <w:r>
              <w:rPr>
                <w:rFonts w:hint="eastAsia" w:ascii="仿宋" w:hAnsi="仿宋" w:eastAsia="仿宋" w:cs="仿宋"/>
                <w:b/>
                <w:bCs w:val="0"/>
                <w:szCs w:val="21"/>
                <w:highlight w:val="none"/>
                <w:lang w:val="en-US" w:eastAsia="zh-CN"/>
              </w:rPr>
              <w:t>6</w:t>
            </w:r>
            <w:r>
              <w:rPr>
                <w:rFonts w:hint="eastAsia" w:ascii="仿宋" w:hAnsi="仿宋" w:eastAsia="仿宋" w:cs="仿宋"/>
                <w:b/>
                <w:bCs w:val="0"/>
                <w:szCs w:val="21"/>
                <w:highlight w:val="none"/>
              </w:rPr>
              <w:t>点内容，满足</w:t>
            </w:r>
            <w:r>
              <w:rPr>
                <w:rFonts w:hint="eastAsia" w:ascii="仿宋" w:hAnsi="仿宋" w:eastAsia="仿宋" w:cs="仿宋"/>
                <w:b/>
                <w:bCs w:val="0"/>
                <w:szCs w:val="21"/>
                <w:highlight w:val="none"/>
                <w:lang w:val="en-US" w:eastAsia="zh-CN"/>
              </w:rPr>
              <w:t>上述</w:t>
            </w:r>
            <w:r>
              <w:rPr>
                <w:rFonts w:hint="eastAsia" w:ascii="仿宋" w:hAnsi="仿宋" w:eastAsia="仿宋" w:cs="仿宋"/>
                <w:b/>
                <w:bCs w:val="0"/>
                <w:szCs w:val="21"/>
                <w:highlight w:val="none"/>
              </w:rPr>
              <w:t>任意一点得</w:t>
            </w:r>
            <w:r>
              <w:rPr>
                <w:rFonts w:hint="eastAsia" w:ascii="仿宋" w:hAnsi="仿宋" w:eastAsia="仿宋" w:cs="仿宋"/>
                <w:b/>
                <w:bCs w:val="0"/>
                <w:szCs w:val="21"/>
                <w:highlight w:val="none"/>
                <w:lang w:val="en-US" w:eastAsia="zh-CN"/>
              </w:rPr>
              <w:t>0.5</w:t>
            </w:r>
            <w:r>
              <w:rPr>
                <w:rFonts w:hint="eastAsia" w:ascii="仿宋" w:hAnsi="仿宋" w:eastAsia="仿宋" w:cs="仿宋"/>
                <w:b/>
                <w:bCs w:val="0"/>
                <w:szCs w:val="21"/>
                <w:highlight w:val="none"/>
              </w:rPr>
              <w:t>分，</w:t>
            </w:r>
            <w:r>
              <w:rPr>
                <w:rFonts w:hint="eastAsia" w:ascii="仿宋" w:hAnsi="仿宋" w:eastAsia="仿宋" w:cs="仿宋"/>
                <w:b/>
                <w:bCs w:val="0"/>
                <w:szCs w:val="21"/>
                <w:highlight w:val="none"/>
                <w:lang w:val="en-US" w:eastAsia="zh-CN"/>
              </w:rPr>
              <w:t>最高得3分，</w:t>
            </w:r>
            <w:r>
              <w:rPr>
                <w:rFonts w:hint="eastAsia" w:ascii="仿宋" w:hAnsi="仿宋" w:eastAsia="仿宋" w:cs="仿宋"/>
                <w:b/>
                <w:bCs w:val="0"/>
                <w:szCs w:val="21"/>
                <w:highlight w:val="none"/>
              </w:rPr>
              <w:t>未满足不得分。</w:t>
            </w:r>
          </w:p>
          <w:p w14:paraId="1D18A810">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二、在此基础上，专家根据各供应商的具体响应内容按照量化的评审因素指标进一步评审：</w:t>
            </w:r>
          </w:p>
          <w:p w14:paraId="7307F947">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1、优评分标准：方案内容全面具体、科学合理，且针对性和可操作性强的加2分；</w:t>
            </w:r>
          </w:p>
          <w:p w14:paraId="31D73E2F">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2、良评分标准：方案内容较全面具体、较科学合理，且针对性和可操作性较好的加1.5分；</w:t>
            </w:r>
          </w:p>
          <w:p w14:paraId="297CD8C8">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3、中评分标准：方案内容一般，且针对性和可操作性一般的加1分；</w:t>
            </w:r>
          </w:p>
          <w:p w14:paraId="5A8F54B4">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4、差评分标准：方案内容不全面、不具体，且完全无针对性和可操作性的不得分。</w:t>
            </w:r>
          </w:p>
          <w:p w14:paraId="75B690EE">
            <w:pPr>
              <w:wordWrap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证明材料：</w:t>
            </w:r>
          </w:p>
          <w:p w14:paraId="2028F06A">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提供“服务人员日常管理方案”。</w:t>
            </w:r>
          </w:p>
        </w:tc>
      </w:tr>
      <w:tr w14:paraId="0A39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647" w:type="dxa"/>
            <w:vMerge w:val="continue"/>
          </w:tcPr>
          <w:p w14:paraId="34E7D120">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435" w:type="dxa"/>
            <w:vMerge w:val="continue"/>
          </w:tcPr>
          <w:p w14:paraId="4DC92820">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565" w:type="dxa"/>
            <w:vAlign w:val="center"/>
          </w:tcPr>
          <w:p w14:paraId="54F64D24">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各项服务承诺及质量保证</w:t>
            </w:r>
          </w:p>
        </w:tc>
        <w:tc>
          <w:tcPr>
            <w:tcW w:w="930" w:type="dxa"/>
            <w:vAlign w:val="center"/>
          </w:tcPr>
          <w:p w14:paraId="0F58EA3F">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w:t>
            </w:r>
          </w:p>
        </w:tc>
        <w:tc>
          <w:tcPr>
            <w:tcW w:w="3728" w:type="dxa"/>
            <w:vAlign w:val="center"/>
          </w:tcPr>
          <w:p w14:paraId="63965454">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根据投标人各项服务承诺及质量保证的完整性、合理性、科学性综合比较，横向排名打分。优良4-5分；较好2-3分；一般0-1分。</w:t>
            </w:r>
          </w:p>
          <w:p w14:paraId="67900E02">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证明材料：根据投标人提供的各项服务承诺及质量保证方案。</w:t>
            </w:r>
          </w:p>
        </w:tc>
      </w:tr>
      <w:tr w14:paraId="35DB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47" w:type="dxa"/>
            <w:vAlign w:val="center"/>
          </w:tcPr>
          <w:p w14:paraId="3135BE9F">
            <w:pPr>
              <w:jc w:val="center"/>
              <w:rPr>
                <w:rFonts w:hint="eastAsia" w:ascii="仿宋" w:hAnsi="仿宋" w:eastAsia="仿宋" w:cs="仿宋"/>
                <w:b/>
                <w:bCs/>
                <w:color w:val="000000" w:themeColor="text1"/>
                <w:szCs w:val="21"/>
                <w:lang w:val="en-US" w:eastAsia="zh-CN"/>
                <w14:textFill>
                  <w14:solidFill>
                    <w14:schemeClr w14:val="tx1"/>
                  </w14:solidFill>
                </w14:textFill>
              </w:rPr>
            </w:pPr>
            <w:r>
              <w:rPr>
                <w:rFonts w:hint="eastAsia" w:ascii="仿宋" w:hAnsi="仿宋" w:eastAsia="仿宋" w:cs="仿宋"/>
                <w:b/>
                <w:bCs/>
                <w:color w:val="000000" w:themeColor="text1"/>
                <w:szCs w:val="21"/>
                <w:lang w:val="en-US" w:eastAsia="zh-CN"/>
                <w14:textFill>
                  <w14:solidFill>
                    <w14:schemeClr w14:val="tx1"/>
                  </w14:solidFill>
                </w14:textFill>
              </w:rPr>
              <w:t>4</w:t>
            </w:r>
          </w:p>
        </w:tc>
        <w:tc>
          <w:tcPr>
            <w:tcW w:w="7658" w:type="dxa"/>
            <w:gridSpan w:val="4"/>
            <w:vAlign w:val="center"/>
          </w:tcPr>
          <w:p w14:paraId="761368AF">
            <w:pPr>
              <w:jc w:val="center"/>
              <w:rPr>
                <w:rFonts w:hint="eastAsia" w:ascii="仿宋" w:hAnsi="仿宋" w:eastAsia="仿宋" w:cs="仿宋"/>
                <w:b/>
                <w:bCs/>
                <w:color w:val="000000" w:themeColor="text1"/>
                <w:szCs w:val="21"/>
                <w:lang w:val="en-US" w:eastAsia="zh-CN"/>
                <w14:textFill>
                  <w14:solidFill>
                    <w14:schemeClr w14:val="tx1"/>
                  </w14:solidFill>
                </w14:textFill>
              </w:rPr>
            </w:pPr>
            <w:r>
              <w:rPr>
                <w:rFonts w:hint="eastAsia" w:ascii="仿宋" w:hAnsi="仿宋" w:eastAsia="仿宋" w:cs="仿宋"/>
                <w:b/>
                <w:bCs/>
                <w:color w:val="000000" w:themeColor="text1"/>
                <w:szCs w:val="21"/>
                <w:lang w:val="en-US" w:eastAsia="zh-CN"/>
                <w14:textFill>
                  <w14:solidFill>
                    <w14:schemeClr w14:val="tx1"/>
                  </w14:solidFill>
                </w14:textFill>
              </w:rPr>
              <w:t>总分合计</w:t>
            </w:r>
          </w:p>
        </w:tc>
      </w:tr>
    </w:tbl>
    <w:p w14:paraId="135BDDEF">
      <w:pPr>
        <w:rPr>
          <w:rFonts w:hint="eastAsia"/>
        </w:rPr>
      </w:pPr>
      <w:r>
        <w:rPr>
          <w:rFonts w:hint="eastAsia" w:ascii="仿宋" w:hAnsi="仿宋" w:eastAsia="仿宋"/>
          <w:b/>
          <w:sz w:val="32"/>
          <w:szCs w:val="32"/>
          <w:lang w:val="en-US" w:eastAsia="zh-CN"/>
        </w:rPr>
        <w:t>评审人</w:t>
      </w:r>
      <w:r>
        <w:rPr>
          <w:rFonts w:hint="eastAsia" w:ascii="仿宋" w:hAnsi="仿宋" w:eastAsia="仿宋"/>
          <w:b/>
          <w:sz w:val="32"/>
          <w:szCs w:val="32"/>
          <w:lang w:eastAsia="zh-CN"/>
        </w:rPr>
        <w:t>（</w:t>
      </w:r>
      <w:r>
        <w:rPr>
          <w:rFonts w:hint="eastAsia" w:ascii="仿宋" w:hAnsi="仿宋" w:eastAsia="仿宋"/>
          <w:b/>
          <w:sz w:val="32"/>
          <w:szCs w:val="32"/>
          <w:lang w:val="en-US" w:eastAsia="zh-CN"/>
        </w:rPr>
        <w:t>签字</w:t>
      </w:r>
      <w:r>
        <w:rPr>
          <w:rFonts w:hint="eastAsia" w:ascii="仿宋" w:hAnsi="仿宋" w:eastAsia="仿宋"/>
          <w:b/>
          <w:sz w:val="32"/>
          <w:szCs w:val="32"/>
          <w:lang w:eastAsia="zh-CN"/>
        </w:rPr>
        <w:t>）</w:t>
      </w:r>
      <w:r>
        <w:rPr>
          <w:rFonts w:hint="eastAsia" w:ascii="仿宋" w:hAnsi="仿宋" w:eastAsia="仿宋"/>
          <w:b/>
          <w:sz w:val="32"/>
          <w:szCs w:val="32"/>
        </w:rPr>
        <w:t>：</w:t>
      </w:r>
    </w:p>
    <w:p w14:paraId="5B84A9DA">
      <w:pPr>
        <w:rPr>
          <w:rFonts w:hint="default"/>
          <w:lang w:val="en-US" w:eastAsia="zh-CN"/>
        </w:rPr>
      </w:pPr>
      <w:r>
        <w:rPr>
          <w:rFonts w:hint="eastAsia" w:ascii="仿宋" w:hAnsi="仿宋" w:eastAsia="仿宋"/>
          <w:b/>
          <w:sz w:val="32"/>
          <w:szCs w:val="32"/>
          <w:lang w:val="en-US" w:eastAsia="zh-CN"/>
        </w:rPr>
        <w:t>监督小组（签字）：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OTJjNDM1YTc1ZDMzOTgwZWE5MWIxYzFlYWU1NTQifQ=="/>
  </w:docVars>
  <w:rsids>
    <w:rsidRoot w:val="3ABB0E19"/>
    <w:rsid w:val="01D87C19"/>
    <w:rsid w:val="03AC1B29"/>
    <w:rsid w:val="03DC5AC5"/>
    <w:rsid w:val="07073DFA"/>
    <w:rsid w:val="08696F7A"/>
    <w:rsid w:val="0EC567D3"/>
    <w:rsid w:val="0EE875F0"/>
    <w:rsid w:val="0FB04A54"/>
    <w:rsid w:val="1518048C"/>
    <w:rsid w:val="176936F4"/>
    <w:rsid w:val="19C817B5"/>
    <w:rsid w:val="1BFD774C"/>
    <w:rsid w:val="1C552695"/>
    <w:rsid w:val="1D566407"/>
    <w:rsid w:val="256A4A12"/>
    <w:rsid w:val="30B91B6B"/>
    <w:rsid w:val="351F0280"/>
    <w:rsid w:val="39F33306"/>
    <w:rsid w:val="3AA52853"/>
    <w:rsid w:val="3ABB0E19"/>
    <w:rsid w:val="3B767CDB"/>
    <w:rsid w:val="43B82F2C"/>
    <w:rsid w:val="45912FB4"/>
    <w:rsid w:val="467425B8"/>
    <w:rsid w:val="480D1D73"/>
    <w:rsid w:val="48520C25"/>
    <w:rsid w:val="4E5B4F82"/>
    <w:rsid w:val="51F57E97"/>
    <w:rsid w:val="5294522F"/>
    <w:rsid w:val="550A18BE"/>
    <w:rsid w:val="60634492"/>
    <w:rsid w:val="60B81678"/>
    <w:rsid w:val="6E602011"/>
    <w:rsid w:val="6EF966EE"/>
    <w:rsid w:val="6F3C65DA"/>
    <w:rsid w:val="6F7E046E"/>
    <w:rsid w:val="757C479D"/>
    <w:rsid w:val="79C06C6B"/>
    <w:rsid w:val="7A641B35"/>
    <w:rsid w:val="7ACE051D"/>
    <w:rsid w:val="7D6B5487"/>
    <w:rsid w:val="7EA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40" w:after="240"/>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Body Text"/>
    <w:basedOn w:val="1"/>
    <w:qFormat/>
    <w:uiPriority w:val="0"/>
    <w:pPr>
      <w:spacing w:after="120"/>
    </w:pPr>
  </w:style>
  <w:style w:type="paragraph" w:styleId="5">
    <w:name w:val="Plain Text"/>
    <w:basedOn w:val="1"/>
    <w:next w:val="3"/>
    <w:unhideWhenUsed/>
    <w:qFormat/>
    <w:uiPriority w:val="99"/>
    <w:rPr>
      <w:rFonts w:ascii="宋体" w:cs="Courier New"/>
      <w:szCs w:val="21"/>
    </w:rPr>
  </w:style>
  <w:style w:type="paragraph" w:styleId="6">
    <w:name w:val="toc 2"/>
    <w:basedOn w:val="1"/>
    <w:next w:val="1"/>
    <w:qFormat/>
    <w:uiPriority w:val="0"/>
    <w:pPr>
      <w:spacing w:line="600" w:lineRule="exact"/>
      <w:ind w:firstLine="880" w:firstLineChars="200"/>
    </w:pPr>
    <w:rPr>
      <w:rFonts w:eastAsia="仿宋_GB2312"/>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1539</Words>
  <Characters>1638</Characters>
  <Lines>0</Lines>
  <Paragraphs>0</Paragraphs>
  <TotalTime>12</TotalTime>
  <ScaleCrop>false</ScaleCrop>
  <LinksUpToDate>false</LinksUpToDate>
  <CharactersWithSpaces>1639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2023-03-27T02:08:00Z</dcterms:created>
  <dc:creator>Miya</dc:creator>
  <cp:lastModifiedBy>H</cp:lastModifiedBy>
  <cp:lastPrinted>2023-05-30T01:45:00Z</cp:lastPrinted>
  <dcterms:modified xsi:type="dcterms:W3CDTF">2026-04-10T03:22:12Z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28B9DA327FD542D1A7892C307E568C80</vt:lpwstr>
  </property>
  <property fmtid="{D5CDD505-2E9C-101B-9397-08002B2CF9AE}" pid="4" name="KSOTemplateDocerSaveRecord">
    <vt:lpwstr>eyJoZGlkIjoiOGRlYWMzZmQ5YjAwNjQxMjRmMDY0MWI3ZGM5OTFjZjUiLCJ1c2VySWQiOiI0OTAwOTI3MDQifQ==</vt:lpwstr>
  </property>
</Properties>
</file>