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9B2DF">
      <w:pPr>
        <w:spacing w:line="239" w:lineRule="auto"/>
        <w:ind w:right="-31"/>
        <w:jc w:val="center"/>
        <w:rPr>
          <w:rFonts w:hint="eastAsia" w:ascii="宋体" w:hAnsi="宋体" w:eastAsia="宋体" w:cs="宋体"/>
          <w:sz w:val="44"/>
          <w:szCs w:val="44"/>
        </w:rPr>
      </w:pPr>
      <w:r>
        <w:rPr>
          <w:rFonts w:hint="eastAsia" w:ascii="宋体" w:hAnsi="宋体" w:eastAsia="宋体" w:cs="宋体"/>
          <w:b/>
          <w:bCs/>
          <w:sz w:val="44"/>
          <w:szCs w:val="44"/>
          <w:lang w:val="en-US" w:eastAsia="zh-CN"/>
        </w:rPr>
        <w:t>深圳市龙岗区妇幼保健院住院部北栋十四、十五楼产后保健装修工程</w:t>
      </w: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eastAsia="zh-CN"/>
        </w:rPr>
        <w:t>深圳市龙岗区妇幼保</w:t>
      </w:r>
      <w:r>
        <w:rPr>
          <w:rFonts w:hint="eastAsia" w:ascii="仿宋_GB2312" w:hAnsi="仿宋_GB2312" w:eastAsia="仿宋_GB2312" w:cs="仿宋_GB2312"/>
          <w:sz w:val="32"/>
          <w:szCs w:val="32"/>
          <w:lang w:val="en-US" w:eastAsia="zh-CN"/>
        </w:rPr>
        <w:t>健</w:t>
      </w:r>
      <w:r>
        <w:rPr>
          <w:rFonts w:hint="eastAsia" w:ascii="仿宋_GB2312" w:hAnsi="仿宋_GB2312" w:eastAsia="仿宋_GB2312" w:cs="仿宋_GB2312"/>
          <w:sz w:val="32"/>
          <w:szCs w:val="32"/>
          <w:lang w:eastAsia="zh-CN"/>
        </w:rPr>
        <w:t>院住院部北栋十四、十五楼产后保健装修</w:t>
      </w:r>
      <w:r>
        <w:rPr>
          <w:rFonts w:hint="eastAsia" w:ascii="仿宋_GB2312" w:hAnsi="仿宋_GB2312" w:eastAsia="仿宋_GB2312" w:cs="仿宋_GB2312"/>
          <w:sz w:val="32"/>
          <w:szCs w:val="32"/>
          <w:u w:val="none"/>
          <w:lang w:val="en-US" w:eastAsia="zh-CN"/>
        </w:rPr>
        <w:t>工</w:t>
      </w:r>
      <w:r>
        <w:rPr>
          <w:rFonts w:hint="eastAsia" w:ascii="仿宋_GB2312" w:hAnsi="仿宋_GB2312" w:eastAsia="仿宋_GB2312" w:cs="仿宋_GB2312"/>
          <w:sz w:val="32"/>
          <w:szCs w:val="32"/>
          <w:lang w:eastAsia="zh-CN"/>
        </w:rPr>
        <w:t>程</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深圳市龙岗区妇幼保健院住院部北栋十四、十五楼产后保健装修</w:t>
      </w:r>
      <w:r>
        <w:rPr>
          <w:rFonts w:hint="eastAsia" w:ascii="仿宋_GB2312" w:hAnsi="仿宋_GB2312" w:eastAsia="仿宋_GB2312" w:cs="仿宋_GB2312"/>
          <w:sz w:val="32"/>
          <w:szCs w:val="32"/>
          <w:u w:val="none"/>
          <w:lang w:val="en-US" w:eastAsia="zh-CN"/>
        </w:rPr>
        <w:t>工</w:t>
      </w:r>
      <w:r>
        <w:rPr>
          <w:rFonts w:hint="eastAsia" w:ascii="仿宋_GB2312" w:hAnsi="仿宋_GB2312" w:eastAsia="仿宋_GB2312" w:cs="仿宋_GB2312"/>
          <w:sz w:val="32"/>
          <w:szCs w:val="32"/>
          <w:lang w:val="en-US" w:eastAsia="zh-CN"/>
        </w:rPr>
        <w:t>程</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lang w:val="en-US" w:eastAsia="zh-CN"/>
        </w:rPr>
        <w:t>项目建设内容</w:t>
      </w:r>
      <w:r>
        <w:rPr>
          <w:rFonts w:hint="eastAsia" w:ascii="仿宋_GB2312" w:hAnsi="仿宋_GB2312" w:eastAsia="仿宋_GB2312" w:cs="仿宋_GB2312"/>
          <w:bCs/>
          <w:sz w:val="32"/>
          <w:szCs w:val="32"/>
        </w:rPr>
        <w:t>和要求：</w:t>
      </w:r>
    </w:p>
    <w:p w14:paraId="26100E4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val="en-US" w:eastAsia="zh-CN"/>
        </w:rPr>
        <w:t>建设内容:包括但不限于</w:t>
      </w:r>
      <w:r>
        <w:rPr>
          <w:rFonts w:hint="eastAsia" w:ascii="仿宋_GB2312" w:hAnsi="仿宋_GB2312" w:eastAsia="仿宋_GB2312" w:cs="仿宋_GB2312"/>
          <w:sz w:val="32"/>
          <w:szCs w:val="32"/>
          <w:lang w:val="en-US" w:eastAsia="zh-CN"/>
        </w:rPr>
        <w:t>深圳市龙岗区妇幼保健院住院部北栋十四、十五楼产后保健装修</w:t>
      </w:r>
      <w:r>
        <w:rPr>
          <w:rFonts w:hint="eastAsia" w:ascii="仿宋_GB2312" w:hAnsi="仿宋_GB2312" w:eastAsia="仿宋_GB2312" w:cs="仿宋_GB2312"/>
          <w:sz w:val="32"/>
          <w:szCs w:val="32"/>
          <w:u w:val="none"/>
          <w:lang w:val="en-US" w:eastAsia="zh-CN"/>
        </w:rPr>
        <w:t>工程</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highlight w:val="none"/>
          <w:lang w:val="en-US" w:eastAsia="zh-CN"/>
        </w:rPr>
        <w:t>包含装饰工程、给排水工程、电气工程、弱电智能化工程、暖通工程等。</w:t>
      </w:r>
      <w:r>
        <w:rPr>
          <w:rFonts w:hint="eastAsia" w:ascii="仿宋_GB2312" w:hAnsi="仿宋_GB2312" w:eastAsia="仿宋_GB2312" w:cs="仿宋_GB2312"/>
          <w:sz w:val="32"/>
          <w:szCs w:val="32"/>
          <w:lang w:val="en-US" w:eastAsia="zh-CN"/>
        </w:rPr>
        <w:t>发包人在实施过程中根据本工程实际情况有权增减部分内容，承包人不能拒绝执行为完成全部工程而需执行的可能遗漏的工作。</w:t>
      </w:r>
    </w:p>
    <w:p w14:paraId="4419114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（2）严格履行规范，工程质量合格，按时完工，日常沟通顺畅，服务周到热情，及时响应工作指令。</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71B0B96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3.本项目施工预算（最高投标限价）为749348.76元，不可竞争费合计：51178.24元（其中安全文明措施费：16680.24元，暂列金额：32656.50元，弃土场受纳处置费：346.50元，工程保险费：1495.00元）</w:t>
      </w:r>
    </w:p>
    <w:p w14:paraId="273436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4.工期：60日历</w:t>
      </w:r>
      <w:r>
        <w:rPr>
          <w:rFonts w:hint="eastAsia" w:ascii="仿宋_GB2312" w:hAnsi="仿宋_GB2312" w:eastAsia="仿宋_GB2312" w:cs="仿宋_GB2312"/>
          <w:sz w:val="32"/>
          <w:szCs w:val="32"/>
          <w:highlight w:val="none"/>
          <w:lang w:val="en-US" w:eastAsia="zh-CN"/>
        </w:rPr>
        <w:t>天。</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333722D6">
      <w:pPr>
        <w:spacing w:line="336"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1.投标报价：投标报价上限为</w:t>
      </w:r>
      <w:r>
        <w:rPr>
          <w:rFonts w:hint="eastAsia" w:ascii="仿宋_GB2312" w:hAnsi="仿宋_GB2312" w:eastAsia="仿宋_GB2312" w:cs="仿宋_GB2312"/>
          <w:sz w:val="32"/>
          <w:szCs w:val="32"/>
          <w:lang w:val="en-US" w:eastAsia="zh-CN"/>
        </w:rPr>
        <w:t>728403.64</w:t>
      </w:r>
      <w:r>
        <w:rPr>
          <w:rFonts w:hint="eastAsia" w:ascii="仿宋_GB2312" w:hAnsi="仿宋_GB2312" w:eastAsia="仿宋_GB2312" w:cs="仿宋_GB2312"/>
          <w:sz w:val="32"/>
          <w:szCs w:val="32"/>
        </w:rPr>
        <w:t>元（投标下浮率应大于</w:t>
      </w:r>
      <w:r>
        <w:rPr>
          <w:rFonts w:hint="eastAsia" w:ascii="仿宋_GB2312" w:hAnsi="仿宋_GB2312" w:eastAsia="仿宋_GB2312" w:cs="仿宋_GB2312"/>
          <w:color w:val="auto"/>
          <w:sz w:val="32"/>
          <w:szCs w:val="32"/>
        </w:rPr>
        <w:t>等于</w:t>
      </w: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其中不可竞争费用不参与下浮）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参照市场情况并结合企业自身因素，投标人自行填报投标下浮率</w:t>
      </w:r>
      <w:r>
        <w:rPr>
          <w:rFonts w:hint="eastAsia" w:ascii="仿宋_GB2312" w:hAnsi="仿宋_GB2312" w:eastAsia="仿宋_GB2312" w:cs="仿宋_GB2312"/>
          <w:sz w:val="32"/>
          <w:szCs w:val="32"/>
          <w:lang w:val="en-US" w:eastAsia="zh-CN"/>
        </w:rPr>
        <w:t>及投标总价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lang w:eastAsia="zh-CN"/>
        </w:rPr>
        <w:t>下浮率与报价不</w:t>
      </w:r>
      <w:r>
        <w:rPr>
          <w:rFonts w:hint="eastAsia" w:ascii="仿宋_GB2312" w:hAnsi="仿宋_GB2312" w:eastAsia="仿宋_GB2312" w:cs="仿宋_GB2312"/>
          <w:b/>
          <w:bCs/>
          <w:sz w:val="32"/>
          <w:szCs w:val="32"/>
          <w:lang w:val="en-US" w:eastAsia="zh-CN"/>
        </w:rPr>
        <w:t>相符</w:t>
      </w:r>
      <w:r>
        <w:rPr>
          <w:rFonts w:hint="eastAsia" w:ascii="仿宋_GB2312" w:hAnsi="仿宋_GB2312" w:eastAsia="仿宋_GB2312" w:cs="仿宋_GB2312"/>
          <w:b/>
          <w:bCs/>
          <w:sz w:val="32"/>
          <w:szCs w:val="32"/>
          <w:lang w:eastAsia="zh-CN"/>
        </w:rPr>
        <w:t>时，以价格较低</w:t>
      </w:r>
      <w:r>
        <w:rPr>
          <w:rFonts w:hint="eastAsia" w:ascii="仿宋_GB2312" w:hAnsi="仿宋_GB2312" w:eastAsia="仿宋_GB2312" w:cs="仿宋_GB2312"/>
          <w:b/>
          <w:bCs/>
          <w:sz w:val="32"/>
          <w:szCs w:val="32"/>
          <w:lang w:val="en-US" w:eastAsia="zh-CN"/>
        </w:rPr>
        <w:t>的</w:t>
      </w:r>
      <w:r>
        <w:rPr>
          <w:rFonts w:hint="eastAsia" w:ascii="仿宋_GB2312" w:hAnsi="仿宋_GB2312" w:eastAsia="仿宋_GB2312" w:cs="仿宋_GB2312"/>
          <w:b/>
          <w:bCs/>
          <w:sz w:val="32"/>
          <w:szCs w:val="32"/>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建筑工程施工总承包三</w:t>
      </w:r>
      <w:r>
        <w:rPr>
          <w:rFonts w:hint="eastAsia" w:ascii="仿宋_GB2312" w:hAnsi="仿宋_GB2312" w:eastAsia="仿宋_GB2312" w:cs="仿宋_GB2312"/>
          <w:color w:val="auto"/>
          <w:sz w:val="32"/>
          <w:szCs w:val="32"/>
          <w:highlight w:val="none"/>
        </w:rPr>
        <w:t>级及以上资质证书</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689A35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安全生产许可证证明及拟派项目经理的安全生产考核合格证</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明</w:t>
      </w:r>
      <w:r>
        <w:rPr>
          <w:rFonts w:hint="eastAsia" w:ascii="仿宋_GB2312" w:hAnsi="仿宋_GB2312" w:eastAsia="仿宋_GB2312" w:cs="仿宋_GB2312"/>
          <w:sz w:val="32"/>
          <w:szCs w:val="32"/>
          <w:lang w:val="en-US" w:eastAsia="zh-CN"/>
        </w:rPr>
        <w:t>；</w:t>
      </w:r>
    </w:p>
    <w:p w14:paraId="587DA2F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拟派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项目经理二级及以上注册建造师证（</w:t>
      </w:r>
      <w:r>
        <w:rPr>
          <w:rFonts w:hint="eastAsia" w:ascii="仿宋_GB2312" w:hAnsi="仿宋_GB2312" w:eastAsia="仿宋_GB2312" w:cs="仿宋_GB2312"/>
          <w:color w:val="auto"/>
          <w:sz w:val="32"/>
          <w:szCs w:val="32"/>
          <w:highlight w:val="none"/>
          <w:lang w:val="en-US" w:eastAsia="zh-CN"/>
        </w:rPr>
        <w:t>建筑工程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专业）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23991D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择优要素包括：企业资质、近3年履约评价、近3年同类工程业绩、拟派本项目施工团队</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（须提供施工团队人员最近一个月的社保证明文件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施工方案（包括施工管理重点和难点分析、主要施工技术和施工工艺、安全文明施工、施工进度控制、质量保障措施）。</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538F67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项目合同参照深圳市现行施工合同范本签订，为固定单价合同</w:t>
      </w:r>
      <w:r>
        <w:rPr>
          <w:rFonts w:hint="eastAsia" w:ascii="仿宋_GB2312" w:hAnsi="仿宋_GB2312" w:eastAsia="仿宋_GB2312" w:cs="仿宋_GB2312"/>
          <w:sz w:val="32"/>
          <w:szCs w:val="32"/>
          <w:lang w:val="en-US" w:eastAsia="zh-CN"/>
        </w:rPr>
        <w:t>。</w:t>
      </w:r>
    </w:p>
    <w:p w14:paraId="5A8EB3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工程量均以工程结算时核实的工程量为准；</w:t>
      </w:r>
    </w:p>
    <w:p w14:paraId="75AB37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如工程量清单中所列项目实际未发生时，其工程量由清单中扣除；</w:t>
      </w:r>
    </w:p>
    <w:p w14:paraId="166D84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若发包人提供的工程量清单漏项，其工程量按实际发生进行计算；</w:t>
      </w:r>
    </w:p>
    <w:p w14:paraId="0D77D8C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由于承包人的原因导致的工程量变化，若工程量增加的，不予调整。若工程量减少的，则予以调整</w:t>
      </w:r>
      <w:r>
        <w:rPr>
          <w:rFonts w:hint="eastAsia" w:ascii="仿宋_GB2312" w:hAnsi="仿宋_GB2312" w:eastAsia="仿宋_GB2312" w:cs="仿宋_GB2312"/>
          <w:sz w:val="32"/>
          <w:szCs w:val="32"/>
          <w:lang w:eastAsia="zh-CN"/>
        </w:rPr>
        <w:t>；</w:t>
      </w:r>
    </w:p>
    <w:p w14:paraId="738A23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清单项目增加部分工程量或减少后剩余部分工程量的项目单价确定方法按照已标价工程量清单中的单价确定，再按中标下浮率，按实结算。</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1.有意向投标的单位于公告期间（202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日）发邮件报名登记，报名信息应包含投标人名称及投标资格佐证。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01561583">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color w:val="auto"/>
          <w:sz w:val="32"/>
          <w:szCs w:val="32"/>
          <w:highlight w:val="none"/>
          <w:lang w:val="en-US" w:eastAsia="zh-CN"/>
        </w:rPr>
        <w:t>建筑工程施工总承包三级及以上资质证书</w:t>
      </w:r>
      <w:r>
        <w:rPr>
          <w:rFonts w:hint="eastAsia" w:ascii="仿宋_GB2312" w:hAnsi="仿宋_GB2312" w:eastAsia="仿宋_GB2312" w:cs="仿宋_GB2312"/>
          <w:sz w:val="32"/>
          <w:szCs w:val="32"/>
          <w:lang w:val="en-US" w:eastAsia="zh-CN"/>
        </w:rPr>
        <w:t>（复印件）</w:t>
      </w:r>
      <w:r>
        <w:rPr>
          <w:rFonts w:hint="eastAsia" w:ascii="仿宋_GB2312" w:hAnsi="仿宋_GB2312" w:eastAsia="仿宋_GB2312" w:cs="仿宋_GB2312"/>
          <w:sz w:val="32"/>
          <w:szCs w:val="32"/>
        </w:rPr>
        <w:t>、安全生产许可证证明（复印件）、项目经理注册建造师证及安全生产考核合格证（复印件）、法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（https://www.gsxt.gov.cn/index.html）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或机关赋码和事业单位登记管理网</w:t>
      </w:r>
      <w:r>
        <w:rPr>
          <w:rFonts w:hint="eastAsia" w:ascii="仿宋_GB2312" w:hAnsi="仿宋_GB2312" w:eastAsia="仿宋_GB2312" w:cs="仿宋_GB2312"/>
          <w:color w:val="000000" w:themeColor="text1"/>
          <w:sz w:val="28"/>
          <w:szCs w:val="28"/>
          <w:highlight w:val="none"/>
          <w14:textFill>
            <w14:solidFill>
              <w14:schemeClr w14:val="tx1"/>
            </w14:solidFill>
          </w14:textFill>
        </w:rPr>
        <w:t>（http://www.gjsy.gov.cn/sydwfrxxcx/）</w:t>
      </w:r>
      <w:r>
        <w:rPr>
          <w:rFonts w:hint="eastAsia" w:ascii="仿宋_GB2312" w:hAnsi="仿宋_GB2312" w:eastAsia="仿宋_GB2312" w:cs="仿宋_GB2312"/>
          <w:color w:val="000000" w:themeColor="text1"/>
          <w:sz w:val="32"/>
          <w:szCs w:val="32"/>
          <w:highlight w:val="none"/>
          <w14:textFill>
            <w14:solidFill>
              <w14:schemeClr w14:val="tx1"/>
            </w14:solidFill>
          </w14:textFill>
        </w:rPr>
        <w:t>或全国社会组织信用信息公示平台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（https://xxgs.chinanpo.mca.gov.cn/gsxt/newList）</w:t>
      </w:r>
      <w:r>
        <w:rPr>
          <w:rFonts w:hint="eastAsia" w:ascii="仿宋_GB2312" w:hAnsi="仿宋_GB2312" w:eastAsia="仿宋_GB2312" w:cs="仿宋_GB2312"/>
          <w:color w:val="000000" w:themeColor="text1"/>
          <w:sz w:val="32"/>
          <w:szCs w:val="32"/>
          <w:highlight w:val="none"/>
          <w14:textFill>
            <w14:solidFill>
              <w14:schemeClr w14:val="tx1"/>
            </w14:solidFill>
          </w14:textFill>
        </w:rPr>
        <w: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以上资料中的复印件必须都加盖公章。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8B3303">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7E90BF87">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2)如最近一个月的社保证明因社保部门或税务部门等主管部门原因暂时无法提供的，可往前顺延一个月；如因为主管部门原因以上社保证明均无法提供的，需提供主管部门官方通知证明（或官网公告截图）。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472A6C1F">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116D6458">
      <w:pPr>
        <w:widowControl/>
        <w:ind w:firstLine="420"/>
        <w:jc w:val="left"/>
        <w:rPr>
          <w:rFonts w:hint="eastAsia" w:ascii="宋体" w:hAnsi="宋体" w:eastAsia="宋体" w:cs="宋体"/>
          <w:szCs w:val="20"/>
          <w:lang w:eastAsia="zh-CN"/>
        </w:rPr>
      </w:pPr>
    </w:p>
    <w:p w14:paraId="408E5161">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6C4EDF84">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深圳市龙岗区妇幼保健院住院部北栋十四、十五楼产后保健装修工程</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2AD9B863">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lang w:eastAsia="zh-CN"/>
        </w:rPr>
        <w:t>币种：</w:t>
      </w:r>
      <w:r>
        <w:rPr>
          <w:rFonts w:hint="eastAsia" w:ascii="宋体" w:hAnsi="宋体" w:eastAsia="宋体" w:cs="宋体"/>
          <w:snapToGrid w:val="0"/>
          <w:sz w:val="21"/>
          <w:szCs w:val="21"/>
          <w:u w:val="single"/>
          <w:lang w:eastAsia="zh-CN"/>
        </w:rPr>
        <w:t>人民币</w:t>
      </w:r>
    </w:p>
    <w:p w14:paraId="1AB24CE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val="en-US" w:eastAsia="zh-CN"/>
        </w:rPr>
        <w:t>2、</w:t>
      </w:r>
      <w:r>
        <w:rPr>
          <w:rFonts w:hint="eastAsia" w:ascii="宋体" w:hAnsi="宋体" w:eastAsia="宋体" w:cs="宋体"/>
          <w:snapToGrid w:val="0"/>
          <w:kern w:val="2"/>
          <w:sz w:val="21"/>
          <w:szCs w:val="21"/>
          <w:lang w:eastAsia="zh-CN"/>
        </w:rPr>
        <w:t>投标报价：</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2526"/>
        <w:gridCol w:w="1712"/>
        <w:gridCol w:w="2531"/>
      </w:tblGrid>
      <w:tr w14:paraId="7E33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8" w:type="pct"/>
            <w:vAlign w:val="center"/>
          </w:tcPr>
          <w:p w14:paraId="34F98706">
            <w:pPr>
              <w:pStyle w:val="26"/>
              <w:widowControl w:val="0"/>
              <w:adjustRightInd w:val="0"/>
              <w:snapToGrid w:val="0"/>
              <w:spacing w:before="0" w:beforeAutospacing="0" w:after="0" w:afterAutospacing="0"/>
              <w:jc w:val="center"/>
              <w:rPr>
                <w:snapToGrid w:val="0"/>
                <w:sz w:val="21"/>
                <w:szCs w:val="21"/>
              </w:rPr>
            </w:pPr>
            <w:r>
              <w:rPr>
                <w:rFonts w:hint="default"/>
                <w:snapToGrid w:val="0"/>
                <w:sz w:val="21"/>
                <w:szCs w:val="21"/>
                <w:lang w:val="en-US"/>
              </w:rPr>
              <w:t>项目</w:t>
            </w:r>
            <w:r>
              <w:rPr>
                <w:rFonts w:hint="eastAsia"/>
                <w:snapToGrid w:val="0"/>
                <w:sz w:val="21"/>
                <w:szCs w:val="21"/>
              </w:rPr>
              <w:t>名称</w:t>
            </w:r>
          </w:p>
        </w:tc>
        <w:tc>
          <w:tcPr>
            <w:tcW w:w="1410" w:type="pct"/>
            <w:vAlign w:val="center"/>
          </w:tcPr>
          <w:p w14:paraId="7C7C3A75">
            <w:pPr>
              <w:pStyle w:val="26"/>
              <w:widowControl w:val="0"/>
              <w:adjustRightInd w:val="0"/>
              <w:snapToGrid w:val="0"/>
              <w:spacing w:before="0" w:beforeAutospacing="0" w:after="0" w:afterAutospacing="0"/>
              <w:jc w:val="center"/>
              <w:rPr>
                <w:b/>
                <w:bCs/>
                <w:snapToGrid w:val="0"/>
                <w:sz w:val="21"/>
                <w:szCs w:val="21"/>
              </w:rPr>
            </w:pPr>
            <w:r>
              <w:rPr>
                <w:rFonts w:hint="eastAsia"/>
                <w:b/>
                <w:bCs/>
                <w:snapToGrid w:val="0"/>
                <w:sz w:val="21"/>
                <w:szCs w:val="21"/>
                <w:lang w:val="en-US" w:eastAsia="zh-CN"/>
              </w:rPr>
              <w:t>施工预算（最高投标限价）</w:t>
            </w:r>
            <w:r>
              <w:rPr>
                <w:rFonts w:hint="eastAsia"/>
                <w:b/>
                <w:bCs/>
                <w:snapToGrid w:val="0"/>
                <w:sz w:val="21"/>
                <w:szCs w:val="21"/>
              </w:rPr>
              <w:t>（含税）</w:t>
            </w:r>
          </w:p>
        </w:tc>
        <w:tc>
          <w:tcPr>
            <w:tcW w:w="956" w:type="pct"/>
            <w:vAlign w:val="center"/>
          </w:tcPr>
          <w:p w14:paraId="0F1D384B">
            <w:pPr>
              <w:pStyle w:val="26"/>
              <w:widowControl w:val="0"/>
              <w:adjustRightInd w:val="0"/>
              <w:snapToGrid w:val="0"/>
              <w:spacing w:before="0" w:beforeAutospacing="0" w:after="0" w:afterAutospacing="0"/>
              <w:jc w:val="center"/>
              <w:rPr>
                <w:b/>
                <w:bCs/>
                <w:snapToGrid w:val="0"/>
                <w:sz w:val="21"/>
                <w:szCs w:val="21"/>
              </w:rPr>
            </w:pPr>
            <w:r>
              <w:rPr>
                <w:rFonts w:hint="eastAsia"/>
                <w:b/>
                <w:bCs/>
                <w:snapToGrid w:val="0"/>
                <w:sz w:val="21"/>
                <w:szCs w:val="21"/>
              </w:rPr>
              <w:t>不可竞争费</w:t>
            </w:r>
          </w:p>
        </w:tc>
        <w:tc>
          <w:tcPr>
            <w:tcW w:w="1413" w:type="pct"/>
            <w:vAlign w:val="center"/>
          </w:tcPr>
          <w:p w14:paraId="4DBFC167">
            <w:pPr>
              <w:pStyle w:val="26"/>
              <w:widowControl w:val="0"/>
              <w:adjustRightInd w:val="0"/>
              <w:snapToGrid w:val="0"/>
              <w:spacing w:before="0" w:beforeAutospacing="0" w:after="0" w:afterAutospacing="0"/>
              <w:jc w:val="center"/>
              <w:rPr>
                <w:rFonts w:hint="default" w:eastAsia="宋体"/>
                <w:b/>
                <w:bCs/>
                <w:snapToGrid w:val="0"/>
                <w:sz w:val="21"/>
                <w:szCs w:val="21"/>
                <w:lang w:val="en-US" w:eastAsia="zh-CN"/>
              </w:rPr>
            </w:pPr>
            <w:r>
              <w:rPr>
                <w:rFonts w:hint="eastAsia"/>
                <w:b/>
                <w:bCs/>
                <w:snapToGrid w:val="0"/>
                <w:sz w:val="21"/>
                <w:szCs w:val="21"/>
                <w:lang w:val="en-US" w:eastAsia="zh-CN"/>
              </w:rPr>
              <w:t>投标报价上限</w:t>
            </w:r>
            <w:r>
              <w:rPr>
                <w:rFonts w:hint="eastAsia"/>
                <w:b/>
                <w:bCs/>
                <w:snapToGrid w:val="0"/>
                <w:sz w:val="21"/>
                <w:szCs w:val="21"/>
              </w:rPr>
              <w:t>（含税）</w:t>
            </w:r>
            <w:r>
              <w:rPr>
                <w:rFonts w:hint="eastAsia"/>
                <w:b/>
                <w:bCs/>
                <w:snapToGrid w:val="0"/>
                <w:sz w:val="21"/>
                <w:szCs w:val="21"/>
                <w:lang w:val="en-US" w:eastAsia="zh-CN"/>
              </w:rPr>
              <w:t>及净下浮率</w:t>
            </w:r>
          </w:p>
        </w:tc>
      </w:tr>
      <w:tr w14:paraId="29E2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218" w:type="pct"/>
            <w:vMerge w:val="restart"/>
            <w:vAlign w:val="center"/>
          </w:tcPr>
          <w:p w14:paraId="2B51AE21">
            <w:pPr>
              <w:pStyle w:val="26"/>
              <w:widowControl w:val="0"/>
              <w:adjustRightInd w:val="0"/>
              <w:snapToGrid w:val="0"/>
              <w:spacing w:before="0" w:beforeAutospacing="0" w:after="0" w:afterAutospacing="0"/>
              <w:jc w:val="center"/>
              <w:rPr>
                <w:rFonts w:hint="eastAsia" w:eastAsia="宋体"/>
                <w:snapToGrid w:val="0"/>
                <w:sz w:val="21"/>
                <w:szCs w:val="21"/>
                <w:lang w:eastAsia="zh-CN"/>
              </w:rPr>
            </w:pPr>
            <w:r>
              <w:rPr>
                <w:rFonts w:hint="eastAsia"/>
                <w:snapToGrid w:val="0"/>
                <w:sz w:val="21"/>
                <w:szCs w:val="21"/>
                <w:lang w:eastAsia="zh-CN"/>
              </w:rPr>
              <w:t>深圳市龙岗区妇幼保</w:t>
            </w:r>
            <w:r>
              <w:rPr>
                <w:rFonts w:hint="eastAsia"/>
                <w:snapToGrid w:val="0"/>
                <w:sz w:val="21"/>
                <w:szCs w:val="21"/>
                <w:lang w:val="en-US" w:eastAsia="zh-CN"/>
              </w:rPr>
              <w:t>健</w:t>
            </w:r>
            <w:r>
              <w:rPr>
                <w:rFonts w:hint="eastAsia"/>
                <w:snapToGrid w:val="0"/>
                <w:sz w:val="21"/>
                <w:szCs w:val="21"/>
                <w:lang w:eastAsia="zh-CN"/>
              </w:rPr>
              <w:t>院住院部北栋十四、十五楼产后保健装修工程</w:t>
            </w:r>
          </w:p>
        </w:tc>
        <w:tc>
          <w:tcPr>
            <w:tcW w:w="1410" w:type="pct"/>
            <w:vAlign w:val="center"/>
          </w:tcPr>
          <w:p w14:paraId="75223DD5">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lang w:val="en-US" w:eastAsia="zh-CN"/>
              </w:rPr>
              <w:t>749348.76</w:t>
            </w:r>
            <w:r>
              <w:rPr>
                <w:rFonts w:hint="eastAsia"/>
                <w:snapToGrid w:val="0"/>
                <w:sz w:val="21"/>
                <w:szCs w:val="21"/>
              </w:rPr>
              <w:t xml:space="preserve"> 元</w:t>
            </w:r>
          </w:p>
        </w:tc>
        <w:tc>
          <w:tcPr>
            <w:tcW w:w="956" w:type="pct"/>
            <w:vAlign w:val="center"/>
          </w:tcPr>
          <w:p w14:paraId="63E66B6A">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lang w:val="en-US" w:eastAsia="zh-CN"/>
              </w:rPr>
              <w:t>51178.24</w:t>
            </w:r>
            <w:r>
              <w:rPr>
                <w:rFonts w:hint="eastAsia"/>
                <w:snapToGrid w:val="0"/>
                <w:sz w:val="21"/>
                <w:szCs w:val="21"/>
              </w:rPr>
              <w:t>元</w:t>
            </w:r>
          </w:p>
        </w:tc>
        <w:tc>
          <w:tcPr>
            <w:tcW w:w="1413" w:type="pct"/>
            <w:vAlign w:val="center"/>
          </w:tcPr>
          <w:p w14:paraId="27E10807">
            <w:pPr>
              <w:pStyle w:val="26"/>
              <w:widowControl w:val="0"/>
              <w:adjustRightInd w:val="0"/>
              <w:snapToGrid w:val="0"/>
              <w:spacing w:before="0" w:beforeAutospacing="0" w:after="0" w:afterAutospacing="0" w:line="360" w:lineRule="auto"/>
              <w:jc w:val="center"/>
              <w:rPr>
                <w:rFonts w:hint="eastAsia" w:cs="宋体"/>
                <w:snapToGrid w:val="0"/>
                <w:sz w:val="21"/>
                <w:szCs w:val="21"/>
                <w:lang w:val="en-US" w:eastAsia="zh-CN"/>
              </w:rPr>
            </w:pPr>
            <w:r>
              <w:rPr>
                <w:rFonts w:hint="eastAsia" w:cs="宋体"/>
                <w:snapToGrid w:val="0"/>
                <w:sz w:val="21"/>
                <w:szCs w:val="21"/>
                <w:lang w:val="en-US" w:eastAsia="zh-CN"/>
              </w:rPr>
              <w:t>投标报价上限：728403.64</w:t>
            </w:r>
            <w:r>
              <w:rPr>
                <w:rFonts w:hint="eastAsia" w:ascii="宋体" w:hAnsi="宋体" w:eastAsia="宋体" w:cs="宋体"/>
                <w:snapToGrid w:val="0"/>
                <w:sz w:val="21"/>
                <w:szCs w:val="21"/>
                <w:lang w:val="en-US" w:eastAsia="zh-CN"/>
              </w:rPr>
              <w:t>元</w:t>
            </w:r>
            <w:r>
              <w:rPr>
                <w:rFonts w:hint="eastAsia" w:cs="宋体"/>
                <w:snapToGrid w:val="0"/>
                <w:sz w:val="21"/>
                <w:szCs w:val="21"/>
                <w:lang w:val="en-US" w:eastAsia="zh-CN"/>
              </w:rPr>
              <w:t>，</w:t>
            </w:r>
          </w:p>
          <w:p w14:paraId="68579A91">
            <w:pPr>
              <w:pStyle w:val="26"/>
              <w:widowControl w:val="0"/>
              <w:adjustRightInd w:val="0"/>
              <w:snapToGrid w:val="0"/>
              <w:spacing w:before="0" w:beforeAutospacing="0" w:after="0" w:afterAutospacing="0" w:line="360" w:lineRule="auto"/>
              <w:jc w:val="center"/>
              <w:rPr>
                <w:rFonts w:hint="default" w:cs="宋体"/>
                <w:snapToGrid w:val="0"/>
                <w:sz w:val="21"/>
                <w:szCs w:val="21"/>
                <w:lang w:val="en-US" w:eastAsia="zh-CN"/>
              </w:rPr>
            </w:pPr>
            <w:r>
              <w:rPr>
                <w:rFonts w:hint="eastAsia" w:cs="宋体"/>
                <w:snapToGrid w:val="0"/>
                <w:sz w:val="21"/>
                <w:szCs w:val="21"/>
                <w:lang w:val="en-US" w:eastAsia="zh-CN"/>
              </w:rPr>
              <w:t>净下浮率：3%</w:t>
            </w:r>
          </w:p>
        </w:tc>
      </w:tr>
      <w:tr w14:paraId="55C5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18" w:type="pct"/>
            <w:vMerge w:val="continue"/>
            <w:vAlign w:val="center"/>
          </w:tcPr>
          <w:p w14:paraId="2280419F">
            <w:pPr>
              <w:pStyle w:val="26"/>
              <w:widowControl w:val="0"/>
              <w:adjustRightInd w:val="0"/>
              <w:snapToGrid w:val="0"/>
              <w:spacing w:before="0" w:beforeAutospacing="0" w:after="0" w:afterAutospacing="0"/>
              <w:jc w:val="center"/>
              <w:rPr>
                <w:rFonts w:hint="eastAsia"/>
                <w:snapToGrid w:val="0"/>
                <w:sz w:val="21"/>
                <w:szCs w:val="21"/>
                <w:lang w:eastAsia="zh-CN"/>
              </w:rPr>
            </w:pPr>
          </w:p>
        </w:tc>
        <w:tc>
          <w:tcPr>
            <w:tcW w:w="1410" w:type="pct"/>
            <w:vAlign w:val="center"/>
          </w:tcPr>
          <w:p w14:paraId="536A7F5E">
            <w:pPr>
              <w:pStyle w:val="26"/>
              <w:widowControl w:val="0"/>
              <w:adjustRightInd w:val="0"/>
              <w:snapToGrid w:val="0"/>
              <w:spacing w:before="0" w:beforeAutospacing="0" w:after="0" w:afterAutospacing="0"/>
              <w:jc w:val="center"/>
              <w:rPr>
                <w:rFonts w:hint="eastAsia"/>
                <w:b/>
                <w:bCs/>
                <w:snapToGrid w:val="0"/>
                <w:sz w:val="21"/>
                <w:szCs w:val="21"/>
                <w:lang w:val="en-US" w:eastAsia="zh-CN"/>
              </w:rPr>
            </w:pPr>
            <w:r>
              <w:rPr>
                <w:rFonts w:hint="eastAsia"/>
                <w:b/>
                <w:bCs/>
                <w:snapToGrid w:val="0"/>
                <w:sz w:val="21"/>
                <w:szCs w:val="21"/>
              </w:rPr>
              <w:t>投标</w:t>
            </w:r>
            <w:r>
              <w:rPr>
                <w:rFonts w:hint="eastAsia"/>
                <w:b/>
                <w:bCs/>
                <w:snapToGrid w:val="0"/>
                <w:sz w:val="21"/>
                <w:szCs w:val="21"/>
                <w:lang w:val="en-US" w:eastAsia="zh-CN"/>
              </w:rPr>
              <w:t>净</w:t>
            </w:r>
            <w:r>
              <w:rPr>
                <w:rFonts w:hint="eastAsia"/>
                <w:b/>
                <w:bCs/>
                <w:snapToGrid w:val="0"/>
                <w:sz w:val="21"/>
                <w:szCs w:val="21"/>
              </w:rPr>
              <w:t>下浮率</w:t>
            </w:r>
          </w:p>
        </w:tc>
        <w:tc>
          <w:tcPr>
            <w:tcW w:w="956" w:type="pct"/>
            <w:vAlign w:val="center"/>
          </w:tcPr>
          <w:p w14:paraId="43DE27DB">
            <w:pPr>
              <w:pStyle w:val="26"/>
              <w:widowControl w:val="0"/>
              <w:adjustRightInd w:val="0"/>
              <w:snapToGrid w:val="0"/>
              <w:spacing w:before="0" w:beforeAutospacing="0" w:after="0" w:afterAutospacing="0"/>
              <w:jc w:val="center"/>
              <w:rPr>
                <w:rFonts w:hint="eastAsia"/>
                <w:b/>
                <w:bCs/>
                <w:snapToGrid w:val="0"/>
                <w:sz w:val="21"/>
                <w:szCs w:val="21"/>
                <w:lang w:val="en-US" w:eastAsia="zh-CN"/>
              </w:rPr>
            </w:pPr>
            <w:r>
              <w:rPr>
                <w:rFonts w:hint="eastAsia"/>
                <w:b/>
                <w:bCs/>
                <w:snapToGrid w:val="0"/>
                <w:sz w:val="21"/>
                <w:szCs w:val="21"/>
              </w:rPr>
              <w:t>投标</w:t>
            </w:r>
            <w:r>
              <w:rPr>
                <w:rFonts w:hint="eastAsia"/>
                <w:b/>
                <w:bCs/>
                <w:snapToGrid w:val="0"/>
                <w:sz w:val="21"/>
                <w:szCs w:val="21"/>
                <w:lang w:val="en-US" w:eastAsia="zh-CN"/>
              </w:rPr>
              <w:t>总价</w:t>
            </w:r>
          </w:p>
          <w:p w14:paraId="5B9B5AD1">
            <w:pPr>
              <w:pStyle w:val="26"/>
              <w:widowControl w:val="0"/>
              <w:adjustRightInd w:val="0"/>
              <w:snapToGrid w:val="0"/>
              <w:spacing w:before="0" w:beforeAutospacing="0" w:after="0" w:afterAutospacing="0"/>
              <w:jc w:val="center"/>
              <w:rPr>
                <w:rFonts w:hint="eastAsia"/>
                <w:b/>
                <w:bCs/>
                <w:snapToGrid w:val="0"/>
                <w:sz w:val="21"/>
                <w:szCs w:val="21"/>
              </w:rPr>
            </w:pPr>
            <w:r>
              <w:rPr>
                <w:rFonts w:hint="eastAsia"/>
                <w:b/>
                <w:bCs/>
                <w:snapToGrid w:val="0"/>
                <w:sz w:val="21"/>
                <w:szCs w:val="21"/>
              </w:rPr>
              <w:t>（含税）</w:t>
            </w:r>
          </w:p>
        </w:tc>
        <w:tc>
          <w:tcPr>
            <w:tcW w:w="1413" w:type="pct"/>
            <w:vAlign w:val="center"/>
          </w:tcPr>
          <w:p w14:paraId="5E86302D">
            <w:pPr>
              <w:pStyle w:val="26"/>
              <w:widowControl w:val="0"/>
              <w:adjustRightInd w:val="0"/>
              <w:snapToGrid w:val="0"/>
              <w:spacing w:before="0" w:beforeAutospacing="0" w:after="0" w:afterAutospacing="0"/>
              <w:jc w:val="center"/>
              <w:rPr>
                <w:rFonts w:hint="default" w:ascii="宋体" w:hAnsi="宋体" w:eastAsia="宋体" w:cs="宋体"/>
                <w:b/>
                <w:bCs/>
                <w:snapToGrid w:val="0"/>
                <w:sz w:val="21"/>
                <w:szCs w:val="21"/>
                <w:lang w:val="en-US" w:eastAsia="zh-CN"/>
              </w:rPr>
            </w:pPr>
            <w:r>
              <w:rPr>
                <w:rFonts w:hint="eastAsia" w:cs="宋体"/>
                <w:b/>
                <w:bCs/>
                <w:snapToGrid w:val="0"/>
                <w:sz w:val="21"/>
                <w:szCs w:val="21"/>
                <w:lang w:val="en-US" w:eastAsia="zh-CN"/>
              </w:rPr>
              <w:t>工期</w:t>
            </w:r>
          </w:p>
        </w:tc>
      </w:tr>
      <w:tr w14:paraId="62B6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218" w:type="pct"/>
            <w:vMerge w:val="continue"/>
            <w:vAlign w:val="center"/>
          </w:tcPr>
          <w:p w14:paraId="5432608F">
            <w:pPr>
              <w:pStyle w:val="26"/>
              <w:widowControl w:val="0"/>
              <w:adjustRightInd w:val="0"/>
              <w:snapToGrid w:val="0"/>
              <w:spacing w:before="0" w:beforeAutospacing="0" w:after="0" w:afterAutospacing="0"/>
              <w:jc w:val="center"/>
              <w:rPr>
                <w:rFonts w:hint="eastAsia"/>
                <w:snapToGrid w:val="0"/>
                <w:sz w:val="21"/>
                <w:szCs w:val="21"/>
                <w:lang w:eastAsia="zh-CN"/>
              </w:rPr>
            </w:pPr>
          </w:p>
        </w:tc>
        <w:tc>
          <w:tcPr>
            <w:tcW w:w="1410" w:type="pct"/>
            <w:vAlign w:val="center"/>
          </w:tcPr>
          <w:p w14:paraId="3DBAD118">
            <w:pPr>
              <w:pStyle w:val="26"/>
              <w:widowControl w:val="0"/>
              <w:adjustRightInd w:val="0"/>
              <w:snapToGrid w:val="0"/>
              <w:spacing w:before="0" w:beforeAutospacing="0" w:after="0" w:afterAutospacing="0"/>
              <w:ind w:firstLine="1470" w:firstLineChars="700"/>
              <w:jc w:val="both"/>
              <w:rPr>
                <w:rFonts w:hint="default"/>
                <w:snapToGrid w:val="0"/>
                <w:sz w:val="21"/>
                <w:szCs w:val="21"/>
                <w:lang w:val="en-US" w:eastAsia="zh-CN"/>
              </w:rPr>
            </w:pPr>
            <w:r>
              <w:rPr>
                <w:rFonts w:hint="eastAsia"/>
                <w:snapToGrid w:val="0"/>
                <w:sz w:val="21"/>
                <w:szCs w:val="21"/>
                <w:lang w:val="en-US" w:eastAsia="zh-CN"/>
              </w:rPr>
              <w:t xml:space="preserve">%   </w:t>
            </w:r>
          </w:p>
        </w:tc>
        <w:tc>
          <w:tcPr>
            <w:tcW w:w="956" w:type="pct"/>
            <w:vAlign w:val="center"/>
          </w:tcPr>
          <w:p w14:paraId="4730E854">
            <w:pPr>
              <w:pStyle w:val="26"/>
              <w:widowControl w:val="0"/>
              <w:adjustRightInd w:val="0"/>
              <w:snapToGrid w:val="0"/>
              <w:spacing w:before="0" w:beforeAutospacing="0" w:after="0" w:afterAutospacing="0"/>
              <w:jc w:val="center"/>
              <w:rPr>
                <w:rFonts w:hint="eastAsia" w:eastAsia="宋体"/>
                <w:snapToGrid w:val="0"/>
                <w:sz w:val="21"/>
                <w:szCs w:val="21"/>
                <w:lang w:val="en-US" w:eastAsia="zh-CN"/>
              </w:rPr>
            </w:pPr>
            <w:r>
              <w:rPr>
                <w:rFonts w:hint="eastAsia"/>
                <w:snapToGrid w:val="0"/>
                <w:sz w:val="21"/>
                <w:szCs w:val="21"/>
                <w:lang w:val="en-US" w:eastAsia="zh-CN"/>
              </w:rPr>
              <w:t>元</w:t>
            </w:r>
          </w:p>
        </w:tc>
        <w:tc>
          <w:tcPr>
            <w:tcW w:w="1413" w:type="pct"/>
            <w:vAlign w:val="center"/>
          </w:tcPr>
          <w:p w14:paraId="032D133F">
            <w:pPr>
              <w:pStyle w:val="26"/>
              <w:widowControl w:val="0"/>
              <w:adjustRightInd w:val="0"/>
              <w:snapToGrid w:val="0"/>
              <w:spacing w:before="0" w:beforeAutospacing="0" w:after="0" w:afterAutospacing="0"/>
              <w:jc w:val="center"/>
              <w:rPr>
                <w:rFonts w:hint="default" w:ascii="宋体" w:hAnsi="宋体" w:eastAsia="宋体" w:cs="宋体"/>
                <w:snapToGrid w:val="0"/>
                <w:sz w:val="21"/>
                <w:szCs w:val="21"/>
                <w:lang w:val="en-US" w:eastAsia="zh-CN"/>
              </w:rPr>
            </w:pPr>
            <w:r>
              <w:rPr>
                <w:rFonts w:hint="eastAsia" w:cs="宋体"/>
                <w:snapToGrid w:val="0"/>
                <w:sz w:val="21"/>
                <w:szCs w:val="21"/>
                <w:lang w:val="en-US" w:eastAsia="zh-CN"/>
              </w:rPr>
              <w:t>日历天</w:t>
            </w:r>
          </w:p>
        </w:tc>
      </w:tr>
    </w:tbl>
    <w:p w14:paraId="025E5DFD">
      <w:pPr>
        <w:pStyle w:val="26"/>
        <w:widowControl w:val="0"/>
        <w:numPr>
          <w:ilvl w:val="255"/>
          <w:numId w:val="0"/>
        </w:numPr>
        <w:adjustRightInd w:val="0"/>
        <w:snapToGrid w:val="0"/>
        <w:spacing w:before="0" w:beforeAutospacing="0" w:after="0" w:afterAutospacing="0" w:line="360" w:lineRule="auto"/>
        <w:ind w:firstLine="420" w:firstLineChars="200"/>
        <w:rPr>
          <w:rFonts w:hint="eastAsia" w:eastAsia="宋体"/>
          <w:sz w:val="21"/>
          <w:szCs w:val="21"/>
          <w:lang w:val="en-US" w:eastAsia="zh-CN"/>
        </w:rPr>
      </w:pPr>
      <w:r>
        <w:rPr>
          <w:rFonts w:hint="eastAsia"/>
          <w:sz w:val="21"/>
          <w:szCs w:val="21"/>
          <w:lang w:val="en-US" w:eastAsia="zh-CN"/>
        </w:rPr>
        <w:t>注：</w:t>
      </w:r>
    </w:p>
    <w:p w14:paraId="47E3F866">
      <w:pPr>
        <w:pStyle w:val="26"/>
        <w:widowControl w:val="0"/>
        <w:numPr>
          <w:ilvl w:val="255"/>
          <w:numId w:val="0"/>
        </w:numPr>
        <w:adjustRightInd w:val="0"/>
        <w:snapToGrid w:val="0"/>
        <w:spacing w:before="0" w:beforeAutospacing="0" w:after="0" w:afterAutospacing="0" w:line="360" w:lineRule="auto"/>
        <w:ind w:firstLine="420" w:firstLineChars="200"/>
        <w:rPr>
          <w:sz w:val="21"/>
          <w:szCs w:val="21"/>
        </w:rPr>
      </w:pPr>
      <w:r>
        <w:rPr>
          <w:rFonts w:hint="eastAsia"/>
          <w:sz w:val="21"/>
          <w:szCs w:val="21"/>
          <w:lang w:val="en-US" w:eastAsia="zh-CN"/>
        </w:rPr>
        <w:t>（1）</w:t>
      </w:r>
      <w:r>
        <w:rPr>
          <w:rFonts w:hint="eastAsia"/>
          <w:sz w:val="21"/>
          <w:szCs w:val="21"/>
        </w:rPr>
        <w:t>投标报价=（</w:t>
      </w:r>
      <w:r>
        <w:rPr>
          <w:rFonts w:hint="eastAsia"/>
          <w:snapToGrid w:val="0"/>
          <w:sz w:val="21"/>
          <w:szCs w:val="21"/>
          <w:lang w:val="en-US" w:eastAsia="zh-CN"/>
        </w:rPr>
        <w:t>最高投标限价</w:t>
      </w:r>
      <w:r>
        <w:rPr>
          <w:rFonts w:hint="eastAsia"/>
          <w:sz w:val="21"/>
          <w:szCs w:val="21"/>
        </w:rPr>
        <w:t>-不可竞争费）×（1-投标下浮率）+不可竞争费。投标下浮率应大于等于3%</w:t>
      </w:r>
      <w:r>
        <w:rPr>
          <w:rFonts w:hint="eastAsia"/>
          <w:sz w:val="21"/>
          <w:szCs w:val="21"/>
          <w:lang w:eastAsia="zh-CN"/>
        </w:rPr>
        <w:t>，</w:t>
      </w:r>
      <w:r>
        <w:rPr>
          <w:rFonts w:hint="eastAsia"/>
          <w:sz w:val="21"/>
          <w:szCs w:val="21"/>
          <w:lang w:val="en-US" w:eastAsia="zh-CN"/>
        </w:rPr>
        <w:t>其中</w:t>
      </w:r>
      <w:r>
        <w:rPr>
          <w:rFonts w:hint="eastAsia"/>
          <w:sz w:val="21"/>
          <w:szCs w:val="21"/>
        </w:rPr>
        <w:t>不可竞争费</w:t>
      </w:r>
      <w:r>
        <w:rPr>
          <w:rFonts w:hint="eastAsia"/>
          <w:snapToGrid w:val="0"/>
          <w:sz w:val="21"/>
          <w:szCs w:val="21"/>
          <w:lang w:val="en-US" w:eastAsia="zh-CN"/>
        </w:rPr>
        <w:t>不参与下浮</w:t>
      </w:r>
      <w:r>
        <w:rPr>
          <w:rFonts w:hint="eastAsia"/>
          <w:snapToGrid w:val="0"/>
          <w:sz w:val="21"/>
          <w:szCs w:val="21"/>
        </w:rPr>
        <w:t>，否则作无效标处理。</w:t>
      </w:r>
    </w:p>
    <w:p w14:paraId="310A33CC">
      <w:pPr>
        <w:pStyle w:val="26"/>
        <w:widowControl w:val="0"/>
        <w:numPr>
          <w:ilvl w:val="255"/>
          <w:numId w:val="0"/>
        </w:numPr>
        <w:adjustRightInd w:val="0"/>
        <w:snapToGrid w:val="0"/>
        <w:spacing w:before="0" w:beforeAutospacing="0" w:after="0" w:afterAutospacing="0" w:line="360" w:lineRule="auto"/>
        <w:ind w:firstLine="420" w:firstLineChars="200"/>
        <w:rPr>
          <w:rFonts w:hint="eastAsia"/>
          <w:sz w:val="21"/>
          <w:szCs w:val="21"/>
        </w:rPr>
      </w:pPr>
      <w:r>
        <w:rPr>
          <w:rFonts w:hint="eastAsia"/>
          <w:sz w:val="21"/>
          <w:szCs w:val="21"/>
          <w:lang w:val="en-US" w:eastAsia="zh-CN"/>
        </w:rPr>
        <w:t>（2）投标</w:t>
      </w:r>
      <w:r>
        <w:rPr>
          <w:rFonts w:hint="eastAsia"/>
          <w:sz w:val="21"/>
          <w:szCs w:val="21"/>
        </w:rPr>
        <w:t>下浮率与投标总价不符，以价格较低的为最终投标报价。</w:t>
      </w:r>
    </w:p>
    <w:p w14:paraId="49845F65">
      <w:pPr>
        <w:pStyle w:val="26"/>
        <w:widowControl w:val="0"/>
        <w:numPr>
          <w:ilvl w:val="255"/>
          <w:numId w:val="0"/>
        </w:numPr>
        <w:adjustRightInd w:val="0"/>
        <w:snapToGrid w:val="0"/>
        <w:spacing w:before="0" w:beforeAutospacing="0" w:after="0" w:afterAutospacing="0" w:line="360" w:lineRule="auto"/>
        <w:ind w:firstLine="420" w:firstLineChars="200"/>
        <w:rPr>
          <w:rFonts w:hint="eastAsia"/>
          <w:lang w:eastAsia="zh-CN"/>
        </w:rPr>
      </w:pPr>
      <w:r>
        <w:rPr>
          <w:rFonts w:hint="eastAsia"/>
          <w:sz w:val="21"/>
          <w:szCs w:val="21"/>
          <w:lang w:val="en-US" w:eastAsia="zh-CN"/>
        </w:rPr>
        <w:t>（3）投标人填报的投标下浮率和投标报价（含税）均四舍五入后保留至小数点后2位。</w:t>
      </w:r>
    </w:p>
    <w:p w14:paraId="137BA97C">
      <w:pPr>
        <w:widowControl w:val="0"/>
        <w:numPr>
          <w:ilvl w:val="0"/>
          <w:numId w:val="0"/>
        </w:numPr>
        <w:spacing w:line="360" w:lineRule="auto"/>
        <w:jc w:val="both"/>
        <w:rPr>
          <w:rFonts w:hint="eastAsia" w:ascii="宋体" w:hAnsi="宋体" w:eastAsia="宋体" w:cs="宋体"/>
          <w:kern w:val="2"/>
          <w:sz w:val="21"/>
          <w:szCs w:val="21"/>
          <w:lang w:eastAsia="zh-CN"/>
        </w:rPr>
      </w:pPr>
    </w:p>
    <w:p w14:paraId="2AC0BA52">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07E3BE71">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bookmarkStart w:id="0" w:name="_GoBack"/>
      <w:bookmarkEnd w:id="0"/>
      <w:r>
        <w:rPr>
          <w:rFonts w:hint="eastAsia" w:ascii="宋体" w:hAnsi="宋体" w:eastAsia="宋体" w:cs="宋体"/>
          <w:snapToGrid w:val="0"/>
          <w:sz w:val="21"/>
          <w:szCs w:val="21"/>
          <w:lang w:eastAsia="zh-CN"/>
        </w:rPr>
        <w:t xml:space="preserve">   </w:t>
      </w:r>
    </w:p>
    <w:p w14:paraId="3FB5CD3A">
      <w:pPr>
        <w:widowControl w:val="0"/>
        <w:ind w:firstLine="3780" w:firstLineChars="1800"/>
      </w:pPr>
      <w:r>
        <w:rPr>
          <w:rFonts w:hint="eastAsia" w:ascii="宋体" w:hAnsi="宋体" w:eastAsia="宋体" w:cs="宋体"/>
          <w:snapToGrid w:val="0"/>
          <w:sz w:val="21"/>
          <w:szCs w:val="21"/>
          <w:lang w:eastAsia="zh-CN"/>
        </w:rPr>
        <w:t xml:space="preserve"> 日期：      年       月       日</w:t>
      </w:r>
    </w:p>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C050B4"/>
    <w:rsid w:val="02BF24BE"/>
    <w:rsid w:val="033D6462"/>
    <w:rsid w:val="04D56E5D"/>
    <w:rsid w:val="054B55EC"/>
    <w:rsid w:val="05782769"/>
    <w:rsid w:val="05EE3986"/>
    <w:rsid w:val="06182C7A"/>
    <w:rsid w:val="06D828AD"/>
    <w:rsid w:val="07397C0A"/>
    <w:rsid w:val="08550599"/>
    <w:rsid w:val="08E80CF9"/>
    <w:rsid w:val="090967D9"/>
    <w:rsid w:val="09733E9E"/>
    <w:rsid w:val="09DE301A"/>
    <w:rsid w:val="0C134FF7"/>
    <w:rsid w:val="0CB2167A"/>
    <w:rsid w:val="0ECC40CA"/>
    <w:rsid w:val="0F68198A"/>
    <w:rsid w:val="0F707EAE"/>
    <w:rsid w:val="0F9C03F8"/>
    <w:rsid w:val="11A24327"/>
    <w:rsid w:val="13DF41F7"/>
    <w:rsid w:val="14AF04B8"/>
    <w:rsid w:val="153656F6"/>
    <w:rsid w:val="156E4163"/>
    <w:rsid w:val="15CE3B81"/>
    <w:rsid w:val="17982E1A"/>
    <w:rsid w:val="17D97BB3"/>
    <w:rsid w:val="195A7BCA"/>
    <w:rsid w:val="19EC722B"/>
    <w:rsid w:val="1A5E0CB4"/>
    <w:rsid w:val="1A8C400A"/>
    <w:rsid w:val="1A9D475D"/>
    <w:rsid w:val="1D9B073B"/>
    <w:rsid w:val="1DBC69B5"/>
    <w:rsid w:val="1DEF7E67"/>
    <w:rsid w:val="1DF77A22"/>
    <w:rsid w:val="1F85228E"/>
    <w:rsid w:val="1F8B663F"/>
    <w:rsid w:val="2088512C"/>
    <w:rsid w:val="20E701EC"/>
    <w:rsid w:val="20EB7073"/>
    <w:rsid w:val="210C1E5F"/>
    <w:rsid w:val="22AA383E"/>
    <w:rsid w:val="22AF0896"/>
    <w:rsid w:val="241A0186"/>
    <w:rsid w:val="247E49C4"/>
    <w:rsid w:val="257E15A4"/>
    <w:rsid w:val="26EB01E9"/>
    <w:rsid w:val="275D3E5C"/>
    <w:rsid w:val="275E1E0E"/>
    <w:rsid w:val="28DF786D"/>
    <w:rsid w:val="291D7939"/>
    <w:rsid w:val="292100B2"/>
    <w:rsid w:val="2A11002A"/>
    <w:rsid w:val="2A331DAD"/>
    <w:rsid w:val="2ADC0696"/>
    <w:rsid w:val="2C487FD5"/>
    <w:rsid w:val="2CE100AF"/>
    <w:rsid w:val="2D806F0C"/>
    <w:rsid w:val="2DC95120"/>
    <w:rsid w:val="2E694EE4"/>
    <w:rsid w:val="2E9972FF"/>
    <w:rsid w:val="2EA12CED"/>
    <w:rsid w:val="30425342"/>
    <w:rsid w:val="31AC0A9C"/>
    <w:rsid w:val="32D1034A"/>
    <w:rsid w:val="32E0207D"/>
    <w:rsid w:val="33307277"/>
    <w:rsid w:val="334D1D6D"/>
    <w:rsid w:val="33895D86"/>
    <w:rsid w:val="33B74BCB"/>
    <w:rsid w:val="34AE631B"/>
    <w:rsid w:val="35092088"/>
    <w:rsid w:val="35660788"/>
    <w:rsid w:val="35D40038"/>
    <w:rsid w:val="35F629A9"/>
    <w:rsid w:val="3603417D"/>
    <w:rsid w:val="36525CB0"/>
    <w:rsid w:val="37117B62"/>
    <w:rsid w:val="37B07204"/>
    <w:rsid w:val="38EE0521"/>
    <w:rsid w:val="39396CB4"/>
    <w:rsid w:val="394B141C"/>
    <w:rsid w:val="39574214"/>
    <w:rsid w:val="3A214F0B"/>
    <w:rsid w:val="3A6D5215"/>
    <w:rsid w:val="3AA34D2C"/>
    <w:rsid w:val="3AB57411"/>
    <w:rsid w:val="3B7E0BFD"/>
    <w:rsid w:val="3C6746AA"/>
    <w:rsid w:val="3CE45675"/>
    <w:rsid w:val="3D0B2E29"/>
    <w:rsid w:val="3D973A63"/>
    <w:rsid w:val="3DD424D3"/>
    <w:rsid w:val="3E295973"/>
    <w:rsid w:val="3E377959"/>
    <w:rsid w:val="3EBC69AD"/>
    <w:rsid w:val="3EE66CC3"/>
    <w:rsid w:val="3EEA735C"/>
    <w:rsid w:val="3EEB18F8"/>
    <w:rsid w:val="3F0C7DED"/>
    <w:rsid w:val="3F7424C8"/>
    <w:rsid w:val="3F811BD1"/>
    <w:rsid w:val="3F856546"/>
    <w:rsid w:val="40DD0A7E"/>
    <w:rsid w:val="412A0EC4"/>
    <w:rsid w:val="413F2565"/>
    <w:rsid w:val="4251712A"/>
    <w:rsid w:val="427C033D"/>
    <w:rsid w:val="42E61FF5"/>
    <w:rsid w:val="4312722F"/>
    <w:rsid w:val="43882D11"/>
    <w:rsid w:val="44476F96"/>
    <w:rsid w:val="4576243A"/>
    <w:rsid w:val="45C75D73"/>
    <w:rsid w:val="46916C93"/>
    <w:rsid w:val="47431429"/>
    <w:rsid w:val="47667721"/>
    <w:rsid w:val="477D08F8"/>
    <w:rsid w:val="47CA56A6"/>
    <w:rsid w:val="48360929"/>
    <w:rsid w:val="4AE0041E"/>
    <w:rsid w:val="4B751C62"/>
    <w:rsid w:val="4B7C7600"/>
    <w:rsid w:val="4B850454"/>
    <w:rsid w:val="4CDB611E"/>
    <w:rsid w:val="4D790539"/>
    <w:rsid w:val="4DFA480C"/>
    <w:rsid w:val="4F4C7492"/>
    <w:rsid w:val="4F6B60D5"/>
    <w:rsid w:val="4FAB04B3"/>
    <w:rsid w:val="501156FB"/>
    <w:rsid w:val="50E973CA"/>
    <w:rsid w:val="51D20087"/>
    <w:rsid w:val="51F656F6"/>
    <w:rsid w:val="52293911"/>
    <w:rsid w:val="5248023B"/>
    <w:rsid w:val="525B6249"/>
    <w:rsid w:val="55657785"/>
    <w:rsid w:val="566E15F2"/>
    <w:rsid w:val="5A710CCE"/>
    <w:rsid w:val="5A944520"/>
    <w:rsid w:val="5C4B02AC"/>
    <w:rsid w:val="5C69192E"/>
    <w:rsid w:val="5D340C0F"/>
    <w:rsid w:val="5D9E581E"/>
    <w:rsid w:val="5E503559"/>
    <w:rsid w:val="5ED928ED"/>
    <w:rsid w:val="5F242B53"/>
    <w:rsid w:val="602A71D2"/>
    <w:rsid w:val="604A1623"/>
    <w:rsid w:val="604F7D9F"/>
    <w:rsid w:val="620F6680"/>
    <w:rsid w:val="62695A52"/>
    <w:rsid w:val="62A95CEB"/>
    <w:rsid w:val="63391B99"/>
    <w:rsid w:val="63B35DF0"/>
    <w:rsid w:val="64122457"/>
    <w:rsid w:val="641B6B36"/>
    <w:rsid w:val="651C36FE"/>
    <w:rsid w:val="66400FA5"/>
    <w:rsid w:val="665705F5"/>
    <w:rsid w:val="674C7A2E"/>
    <w:rsid w:val="678E3B9C"/>
    <w:rsid w:val="679D0BA9"/>
    <w:rsid w:val="68293505"/>
    <w:rsid w:val="689A2A1B"/>
    <w:rsid w:val="68C747E4"/>
    <w:rsid w:val="68D8246F"/>
    <w:rsid w:val="6987508D"/>
    <w:rsid w:val="69AE49D0"/>
    <w:rsid w:val="69C75A92"/>
    <w:rsid w:val="69D84D27"/>
    <w:rsid w:val="6A4B2860"/>
    <w:rsid w:val="6A732ED5"/>
    <w:rsid w:val="6B0B25AC"/>
    <w:rsid w:val="6B115AC6"/>
    <w:rsid w:val="6C012CD4"/>
    <w:rsid w:val="6C817869"/>
    <w:rsid w:val="6D8617C0"/>
    <w:rsid w:val="6E5F4DB6"/>
    <w:rsid w:val="6E6D2095"/>
    <w:rsid w:val="6EFB5BF5"/>
    <w:rsid w:val="6F9C219C"/>
    <w:rsid w:val="6FF71E7C"/>
    <w:rsid w:val="70B01C32"/>
    <w:rsid w:val="71197BF5"/>
    <w:rsid w:val="72F11C48"/>
    <w:rsid w:val="73EC487E"/>
    <w:rsid w:val="749B79B8"/>
    <w:rsid w:val="751C1DE6"/>
    <w:rsid w:val="76C43A85"/>
    <w:rsid w:val="774535D1"/>
    <w:rsid w:val="77606C26"/>
    <w:rsid w:val="776112D4"/>
    <w:rsid w:val="783D241E"/>
    <w:rsid w:val="786C2D3E"/>
    <w:rsid w:val="794D2FF2"/>
    <w:rsid w:val="797B789A"/>
    <w:rsid w:val="7A7E563D"/>
    <w:rsid w:val="7A801F18"/>
    <w:rsid w:val="7B0B0EFD"/>
    <w:rsid w:val="7B0F6797"/>
    <w:rsid w:val="7C405B5A"/>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style93_0"/>
    <w:basedOn w:val="27"/>
    <w:qFormat/>
    <w:uiPriority w:val="0"/>
    <w:pPr>
      <w:widowControl/>
      <w:spacing w:before="100" w:beforeAutospacing="1" w:after="100" w:afterAutospacing="1"/>
      <w:jc w:val="left"/>
    </w:pPr>
    <w:rPr>
      <w:rFonts w:ascii="宋体" w:hAnsi="宋体" w:cs="宋体"/>
      <w:sz w:val="24"/>
    </w:rPr>
  </w:style>
  <w:style w:type="paragraph" w:customStyle="1" w:styleId="27">
    <w:name w:val="Normal_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6164</Words>
  <Characters>6462</Characters>
  <Lines>12</Lines>
  <Paragraphs>3</Paragraphs>
  <TotalTime>5</TotalTime>
  <ScaleCrop>false</ScaleCrop>
  <LinksUpToDate>false</LinksUpToDate>
  <CharactersWithSpaces>6720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idy</cp:lastModifiedBy>
  <dcterms:modified xsi:type="dcterms:W3CDTF">2026-04-08T03:29:03Z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F818EF53067144BE8B8B12F475BCAA57_13</vt:lpwstr>
  </property>
  <property fmtid="{D5CDD505-2E9C-101B-9397-08002B2CF9AE}" pid="4" name="KSOTemplateDocerSaveRecord">
    <vt:lpwstr>eyJoZGlkIjoiMzg5NWMzYTViN2RiMjhmMDY5MDlkZTM2YzZiZjliM2MiLCJ1c2VySWQiOiI3MzYzODY5MzMifQ==</vt:lpwstr>
  </property>
</Properties>
</file>