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龙岗中心医院2025年度审计服务</w:t>
      </w:r>
      <w:r>
        <w:rPr>
          <w:rFonts w:hint="eastAsia" w:ascii="仿宋" w:hAnsi="仿宋" w:eastAsia="仿宋" w:cs="仿宋"/>
          <w:b/>
          <w:bCs/>
          <w:sz w:val="44"/>
          <w:szCs w:val="44"/>
          <w:highlight w:val="none"/>
          <w:lang w:val="en-US" w:eastAsia="zh-CN"/>
        </w:rPr>
        <w:t>项目</w:t>
      </w:r>
      <w:r>
        <w:rPr>
          <w:rFonts w:hint="eastAsia" w:ascii="仿宋" w:hAnsi="仿宋" w:eastAsia="仿宋" w:cs="仿宋"/>
          <w:b/>
          <w:bCs/>
          <w:sz w:val="44"/>
          <w:szCs w:val="44"/>
          <w:highlight w:val="none"/>
        </w:rPr>
        <w:t>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LGZXYYZBB20260403-1</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深圳市龙岗中心医院2025年度审计服务项目 </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8"/>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pPr>
        <w:pStyle w:val="49"/>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49"/>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r>
        <w:rPr>
          <w:rFonts w:hint="eastAsia" w:ascii="仿宋" w:hAnsi="仿宋" w:eastAsia="仿宋" w:cs="仿宋"/>
          <w:b/>
          <w:bCs/>
          <w:color w:val="FF0000"/>
          <w:spacing w:val="-4"/>
          <w:kern w:val="0"/>
          <w:sz w:val="21"/>
          <w:szCs w:val="21"/>
          <w:lang w:eastAsia="zh-CN"/>
        </w:rPr>
        <w:t>。</w:t>
      </w:r>
    </w:p>
    <w:p>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pPr>
        <w:pStyle w:val="16"/>
        <w:widowControl/>
        <w:spacing w:before="280" w:beforeAutospacing="0"/>
        <w:jc w:val="both"/>
        <w:outlineLvl w:val="1"/>
        <w:rPr>
          <w:rFonts w:hint="eastAsia" w:ascii="仿宋" w:hAnsi="仿宋" w:eastAsia="仿宋" w:cs="仿宋"/>
          <w:sz w:val="40"/>
          <w:szCs w:val="40"/>
          <w:highlight w:val="none"/>
        </w:rPr>
      </w:pPr>
    </w:p>
    <w:p>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7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评审中出现下列情形之一的，评审委员会应当启动异常低价投标（响应）审查程序：</w:t>
            </w: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1.投标（响应）报价低于全部通过符合性审查供应商投标（响应）报价平均值50%的，即投标（响应）报价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全部通过符合性审查供应商投标（响应）报价平均值×50%；</w:t>
            </w: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2.投标（响应）报价低于通过符合性审查的次低报价供应商投标（响应）报价50%的，即投标（响应）报价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通过符合性审查的次低报价供应商投标（响应）报价×50%；</w:t>
            </w: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3.投标（响应）报价低于采购项目最高限价45%的，即投标（响应）报价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采购项目最高限价×45%；</w:t>
            </w: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4.评审委员会基于专业判断，认为供应商报价过低，有可能影响产品质量或者不能诚信履约的其他情形。</w:t>
            </w: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未按招标文件所提供的《投标及履约承诺函》进行承诺；</w:t>
            </w: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未按招标文件对投标文件组成的要求提供投标文件；</w:t>
            </w:r>
          </w:p>
        </w:tc>
      </w:tr>
    </w:tbl>
    <w:p>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pPr>
        <w:pStyle w:val="16"/>
        <w:jc w:val="center"/>
        <w:outlineLvl w:val="1"/>
        <w:rPr>
          <w:rFonts w:hint="eastAsia" w:ascii="仿宋" w:hAnsi="仿宋" w:eastAsia="仿宋" w:cs="仿宋"/>
          <w:sz w:val="40"/>
          <w:szCs w:val="40"/>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spacing w:after="1134"/>
        <w:jc w:val="center"/>
        <w:outlineLvl w:val="1"/>
        <w:rPr>
          <w:rFonts w:hint="eastAsia" w:ascii="仿宋" w:hAnsi="仿宋" w:eastAsia="仿宋" w:cs="仿宋"/>
          <w:b/>
          <w:bCs/>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55"/>
        <w:gridCol w:w="35"/>
        <w:gridCol w:w="500"/>
        <w:gridCol w:w="524"/>
        <w:gridCol w:w="932"/>
        <w:gridCol w:w="935"/>
        <w:gridCol w:w="3501"/>
        <w:gridCol w:w="121"/>
        <w:gridCol w:w="1711"/>
        <w:gridCol w:w="79"/>
      </w:tblGrid>
      <w:tr>
        <w:tblPrEx>
          <w:tblCellMar>
            <w:top w:w="45" w:type="dxa"/>
            <w:left w:w="45" w:type="dxa"/>
            <w:bottom w:w="45" w:type="dxa"/>
            <w:right w:w="45" w:type="dxa"/>
          </w:tblCellMar>
        </w:tblPrEx>
        <w:trPr>
          <w:gridBefore w:val="1"/>
          <w:gridAfter w:val="2"/>
          <w:wBefore w:w="33" w:type="pct"/>
          <w:wAfter w:w="1065" w:type="pct"/>
          <w:tblCellSpacing w:w="0" w:type="dxa"/>
          <w:jc w:val="center"/>
        </w:trPr>
        <w:tc>
          <w:tcPr>
            <w:tcW w:w="3828" w:type="pct"/>
            <w:gridSpan w:val="6"/>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2"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p>
        </w:tc>
      </w:tr>
      <w:tr>
        <w:tblPrEx>
          <w:tblCellMar>
            <w:top w:w="45" w:type="dxa"/>
            <w:left w:w="45" w:type="dxa"/>
            <w:bottom w:w="45" w:type="dxa"/>
            <w:right w:w="45" w:type="dxa"/>
          </w:tblCellMar>
        </w:tblPrEx>
        <w:trPr>
          <w:gridBefore w:val="2"/>
          <w:gridAfter w:val="1"/>
          <w:wBefore w:w="54" w:type="pct"/>
          <w:wAfter w:w="47" w:type="pct"/>
          <w:trHeight w:val="90" w:hRule="atLeast"/>
          <w:tblCellSpacing w:w="0" w:type="dxa"/>
          <w:jc w:val="center"/>
        </w:trPr>
        <w:tc>
          <w:tcPr>
            <w:tcW w:w="4898"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134"/>
            </w:tblGrid>
            <w:tr>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highlight w:val="none"/>
                      <w:u w:val="single"/>
                    </w:rPr>
                    <w:t>租赁和商务服务业</w:t>
                  </w:r>
                  <w:r>
                    <w:rPr>
                      <w:rFonts w:hint="eastAsia" w:ascii="仿宋" w:hAnsi="仿宋" w:eastAsia="仿宋" w:cs="仿宋"/>
                      <w:color w:val="auto"/>
                      <w:kern w:val="0"/>
                      <w:sz w:val="24"/>
                      <w:szCs w:val="24"/>
                      <w:highlight w:val="none"/>
                      <w:u w:val="single"/>
                      <w:lang w:val="en-US" w:eastAsia="zh-CN"/>
                    </w:rPr>
                    <w:t>。</w:t>
                  </w:r>
                  <w:bookmarkEnd w:id="0"/>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2" w:type="pct"/>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2" w:type="pct"/>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rPr>
            </w:pPr>
            <w:r>
              <w:rPr>
                <w:rFonts w:hint="default" w:ascii="仿宋" w:hAnsi="仿宋" w:eastAsia="仿宋" w:cs="仿宋"/>
                <w:b/>
                <w:sz w:val="24"/>
                <w:highlight w:val="none"/>
                <w:lang w:val="en-US" w:eastAsia="zh-CN"/>
              </w:rPr>
              <w:t>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2" w:type="pct"/>
            <w:gridSpan w:val="3"/>
            <w:vMerge w:val="restart"/>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8"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15</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评分内容：</w:t>
            </w:r>
          </w:p>
          <w:p>
            <w:pPr>
              <w:pStyle w:val="6"/>
              <w:keepNext w:val="0"/>
              <w:keepLines w:val="0"/>
              <w:suppressLineNumbers w:val="0"/>
              <w:spacing w:before="0" w:beforeAutospacing="0" w:after="0" w:afterAutospacing="0"/>
              <w:ind w:left="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rPr>
              <w:t>针对本项目的需求制定项目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包括但不限于</w:t>
            </w:r>
            <w:r>
              <w:rPr>
                <w:rStyle w:val="44"/>
                <w:rFonts w:hint="eastAsia" w:ascii="仿宋" w:hAnsi="仿宋" w:eastAsia="仿宋" w:cs="仿宋"/>
                <w:sz w:val="24"/>
                <w:szCs w:val="24"/>
                <w:highlight w:val="none"/>
              </w:rPr>
              <w:t>以下内容：</w:t>
            </w:r>
          </w:p>
          <w:p>
            <w:pPr>
              <w:pStyle w:val="6"/>
              <w:keepNext w:val="0"/>
              <w:keepLines w:val="0"/>
              <w:numPr>
                <w:ilvl w:val="0"/>
                <w:numId w:val="0"/>
              </w:numPr>
              <w:suppressLineNumbers w:val="0"/>
              <w:spacing w:before="0" w:beforeAutospacing="0" w:after="0" w:afterAutospacing="0"/>
              <w:ind w:left="0" w:leftChars="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审计服务实施计划；</w:t>
            </w:r>
          </w:p>
          <w:p>
            <w:pPr>
              <w:pStyle w:val="6"/>
              <w:keepNext w:val="0"/>
              <w:keepLines w:val="0"/>
              <w:numPr>
                <w:ilvl w:val="0"/>
                <w:numId w:val="0"/>
              </w:numPr>
              <w:suppressLineNumbers w:val="0"/>
              <w:spacing w:before="0" w:beforeAutospacing="0" w:after="0" w:afterAutospacing="0"/>
              <w:ind w:left="0" w:leftChars="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人员安排；</w:t>
            </w:r>
          </w:p>
          <w:p>
            <w:pPr>
              <w:pStyle w:val="6"/>
              <w:keepNext w:val="0"/>
              <w:keepLines w:val="0"/>
              <w:numPr>
                <w:ilvl w:val="0"/>
                <w:numId w:val="0"/>
              </w:numPr>
              <w:suppressLineNumbers w:val="0"/>
              <w:spacing w:before="0" w:beforeAutospacing="0" w:after="0" w:afterAutospacing="0"/>
              <w:ind w:left="0" w:leftChars="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审计工作阶段安排；</w:t>
            </w:r>
          </w:p>
          <w:p>
            <w:pPr>
              <w:pStyle w:val="6"/>
              <w:keepNext w:val="0"/>
              <w:keepLines w:val="0"/>
              <w:numPr>
                <w:ilvl w:val="0"/>
                <w:numId w:val="0"/>
              </w:numPr>
              <w:suppressLineNumbers w:val="0"/>
              <w:spacing w:before="0" w:beforeAutospacing="0" w:after="0" w:afterAutospacing="0"/>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4.审计进度管理。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提供上述一项内容的得</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zh-CN"/>
              </w:rPr>
              <w:t>分，最高</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分，其他不得分。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在此基础上，</w:t>
            </w:r>
            <w:r>
              <w:rPr>
                <w:rFonts w:hint="eastAsia" w:ascii="仿宋" w:hAnsi="仿宋" w:eastAsia="仿宋" w:cs="仿宋"/>
                <w:color w:val="auto"/>
                <w:sz w:val="24"/>
                <w:szCs w:val="24"/>
                <w:highlight w:val="none"/>
              </w:rPr>
              <w:t>考察时间节点和步骤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人员安排及明确的分工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对突发情况有具体的应对措施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zh-CN"/>
              </w:rPr>
              <w:t>由评审委员进行评价</w:t>
            </w:r>
            <w:r>
              <w:rPr>
                <w:rFonts w:hint="eastAsia" w:ascii="仿宋" w:hAnsi="仿宋" w:eastAsia="仿宋" w:cs="仿宋"/>
                <w:color w:val="auto"/>
                <w:sz w:val="24"/>
                <w:szCs w:val="24"/>
                <w:highlight w:val="none"/>
              </w:rPr>
              <w:t>：</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方案整体科学合理、</w:t>
            </w:r>
            <w:r>
              <w:rPr>
                <w:rFonts w:hint="eastAsia" w:ascii="仿宋" w:hAnsi="仿宋" w:eastAsia="仿宋" w:cs="仿宋"/>
                <w:color w:val="auto"/>
                <w:sz w:val="24"/>
                <w:szCs w:val="24"/>
                <w:highlight w:val="none"/>
                <w:lang w:val="en-US" w:eastAsia="zh-CN"/>
              </w:rPr>
              <w:t>思路清晰；满足服务要求，人员配备充足，分工明确；能将“财报审计”、“内控评价及风险评估”项目做好整体的进度安排；实施方案可操作性强</w:t>
            </w:r>
            <w:r>
              <w:rPr>
                <w:rFonts w:hint="eastAsia" w:ascii="仿宋" w:hAnsi="仿宋" w:eastAsia="仿宋" w:cs="仿宋"/>
                <w:color w:val="auto"/>
                <w:sz w:val="24"/>
                <w:szCs w:val="24"/>
                <w:highlight w:val="none"/>
              </w:rPr>
              <w:t>，评审为优得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完成且</w:t>
            </w:r>
            <w:r>
              <w:rPr>
                <w:rFonts w:hint="eastAsia" w:ascii="仿宋" w:hAnsi="仿宋" w:eastAsia="仿宋" w:cs="仿宋"/>
                <w:color w:val="auto"/>
                <w:sz w:val="24"/>
                <w:szCs w:val="24"/>
                <w:highlight w:val="none"/>
              </w:rPr>
              <w:t>较合理、</w:t>
            </w:r>
            <w:r>
              <w:rPr>
                <w:rFonts w:hint="eastAsia" w:ascii="仿宋" w:hAnsi="仿宋" w:eastAsia="仿宋" w:cs="仿宋"/>
                <w:color w:val="auto"/>
                <w:sz w:val="24"/>
                <w:szCs w:val="24"/>
                <w:highlight w:val="none"/>
                <w:lang w:val="en-US" w:eastAsia="zh-CN"/>
              </w:rPr>
              <w:t>人员配置充足，分工较明确；基本能做好整体进度安排，具有</w:t>
            </w:r>
            <w:r>
              <w:rPr>
                <w:rFonts w:hint="eastAsia" w:ascii="仿宋" w:hAnsi="仿宋" w:eastAsia="仿宋" w:cs="仿宋"/>
                <w:color w:val="auto"/>
                <w:sz w:val="24"/>
                <w:szCs w:val="24"/>
                <w:highlight w:val="none"/>
              </w:rPr>
              <w:t>可操作性，评审为良得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方案较</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内容比较笼统，整体安排较为简单；人员配备充足，但分工不够明确</w:t>
            </w:r>
            <w:r>
              <w:rPr>
                <w:rFonts w:hint="eastAsia" w:ascii="仿宋" w:hAnsi="仿宋" w:eastAsia="仿宋" w:cs="仿宋"/>
                <w:color w:val="auto"/>
                <w:sz w:val="24"/>
                <w:szCs w:val="24"/>
                <w:highlight w:val="none"/>
              </w:rPr>
              <w:t>，评审为中得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方案较差、</w:t>
            </w:r>
            <w:r>
              <w:rPr>
                <w:rFonts w:hint="eastAsia" w:ascii="仿宋" w:hAnsi="仿宋" w:eastAsia="仿宋" w:cs="仿宋"/>
                <w:color w:val="auto"/>
                <w:sz w:val="24"/>
                <w:szCs w:val="24"/>
                <w:highlight w:val="none"/>
                <w:lang w:val="en-US" w:eastAsia="zh-CN"/>
              </w:rPr>
              <w:t>项目实施安排较为敷衍，人员配备不足或分工不明确，不能满足服务需求。</w:t>
            </w:r>
            <w:r>
              <w:rPr>
                <w:rFonts w:hint="eastAsia" w:ascii="仿宋" w:hAnsi="仿宋" w:eastAsia="仿宋" w:cs="仿宋"/>
                <w:color w:val="auto"/>
                <w:sz w:val="24"/>
                <w:szCs w:val="24"/>
                <w:highlight w:val="none"/>
              </w:rPr>
              <w:t>评审为差得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pStyle w:val="6"/>
              <w:keepNext w:val="0"/>
              <w:keepLines w:val="0"/>
              <w:suppressLineNumbers w:val="0"/>
              <w:spacing w:before="0" w:beforeAutospacing="0" w:after="0" w:afterAutospacing="0"/>
              <w:ind w:left="0" w:right="0"/>
              <w:rPr>
                <w:rFonts w:hint="eastAsia"/>
                <w:highlight w:val="none"/>
                <w:lang w:val="en-US" w:eastAsia="zh-CN"/>
              </w:rPr>
            </w:pPr>
            <w:r>
              <w:rPr>
                <w:rFonts w:hint="eastAsia" w:ascii="仿宋" w:hAnsi="仿宋" w:eastAsia="仿宋" w:cs="仿宋"/>
                <w:color w:val="auto"/>
                <w:sz w:val="24"/>
                <w:szCs w:val="24"/>
                <w:highlight w:val="none"/>
                <w:lang w:val="en-US" w:eastAsia="zh-CN"/>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质量保障措施及方案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（一）评分内容：</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重点考察项目质量保障措施及方案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包括但不限于以下内容：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1.组织管理：有对人员管理的说明（针对本项目的派驻人员管理，有固定的人员安排及工作要求）。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2.风险防控（人员管理的质量保证措施）：因所派驻人员突然离职、出现人员缺岗等突发情况有具体的应对措施（替换人员的资质及业务能力应符合投标需求并与投标承诺一致）；</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3.进度控制：保障服务质量及进度的措施，切实符合招标文件需求。</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保密措施制度说明</w:t>
            </w:r>
            <w:r>
              <w:rPr>
                <w:rFonts w:hint="eastAsia" w:ascii="仿宋" w:hAnsi="仿宋" w:eastAsia="仿宋" w:cs="仿宋"/>
                <w:color w:val="auto"/>
                <w:sz w:val="24"/>
                <w:szCs w:val="24"/>
                <w:highlight w:val="none"/>
                <w:lang w:val="en-US" w:eastAsia="zh-CN"/>
              </w:rPr>
              <w:t>；</w:t>
            </w:r>
          </w:p>
          <w:p>
            <w:pPr>
              <w:keepNext w:val="0"/>
              <w:keepLines w:val="0"/>
              <w:pageBreakBefore w:val="0"/>
              <w:suppressLineNumbers w:val="0"/>
              <w:kinsoku/>
              <w:wordWrap/>
              <w:overflowPunct/>
              <w:topLinePunct w:val="0"/>
              <w:bidi w:val="0"/>
              <w:snapToGrid/>
              <w:spacing w:before="0" w:beforeAutospacing="0" w:after="0" w:afterAutospacing="0" w:line="38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5.培训能力（说明具备外派审计组开展岗前业务培训的能力，确保审计团队在执行任务前充分掌握相关要求。）</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提供上述一项内容的得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zh-CN"/>
              </w:rPr>
              <w:t>分，最高</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分，其他不得分。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在此基础上，专家根据内容的合理性进行评分</w:t>
            </w:r>
            <w:r>
              <w:rPr>
                <w:rFonts w:hint="eastAsia" w:ascii="仿宋" w:hAnsi="仿宋" w:eastAsia="仿宋" w:cs="仿宋"/>
                <w:color w:val="auto"/>
                <w:sz w:val="24"/>
                <w:szCs w:val="24"/>
                <w:highlight w:val="none"/>
                <w:lang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方案整体科学合理、针对性强、</w:t>
            </w:r>
            <w:r>
              <w:rPr>
                <w:rFonts w:hint="eastAsia" w:ascii="仿宋" w:hAnsi="仿宋" w:eastAsia="仿宋" w:cs="仿宋"/>
                <w:color w:val="auto"/>
                <w:sz w:val="24"/>
                <w:szCs w:val="24"/>
                <w:highlight w:val="none"/>
                <w:lang w:val="en-US" w:eastAsia="zh-CN"/>
              </w:rPr>
              <w:t>可行性高</w:t>
            </w:r>
            <w:r>
              <w:rPr>
                <w:rFonts w:hint="eastAsia" w:ascii="仿宋" w:hAnsi="仿宋" w:eastAsia="仿宋" w:cs="仿宋"/>
                <w:color w:val="auto"/>
                <w:sz w:val="24"/>
                <w:szCs w:val="24"/>
                <w:highlight w:val="none"/>
              </w:rPr>
              <w:t>，评审为优得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方案较合理、有一定针对性</w:t>
            </w:r>
            <w:r>
              <w:rPr>
                <w:rFonts w:hint="eastAsia" w:ascii="仿宋" w:hAnsi="仿宋" w:eastAsia="仿宋" w:cs="仿宋"/>
                <w:color w:val="auto"/>
                <w:sz w:val="24"/>
                <w:szCs w:val="24"/>
                <w:highlight w:val="none"/>
                <w:lang w:val="en-US" w:eastAsia="zh-CN"/>
              </w:rPr>
              <w:t>及可行性</w:t>
            </w:r>
            <w:r>
              <w:rPr>
                <w:rFonts w:hint="eastAsia" w:ascii="仿宋" w:hAnsi="仿宋" w:eastAsia="仿宋" w:cs="仿宋"/>
                <w:color w:val="auto"/>
                <w:sz w:val="24"/>
                <w:szCs w:val="24"/>
                <w:highlight w:val="none"/>
              </w:rPr>
              <w:t>，评审为良得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方案较一般、针对性一般、</w:t>
            </w:r>
            <w:r>
              <w:rPr>
                <w:rFonts w:hint="eastAsia" w:ascii="仿宋" w:hAnsi="仿宋" w:eastAsia="仿宋" w:cs="仿宋"/>
                <w:color w:val="auto"/>
                <w:sz w:val="24"/>
                <w:szCs w:val="24"/>
                <w:highlight w:val="none"/>
                <w:lang w:val="en-US" w:eastAsia="zh-CN"/>
              </w:rPr>
              <w:t>可行性</w:t>
            </w:r>
            <w:r>
              <w:rPr>
                <w:rFonts w:hint="eastAsia" w:ascii="仿宋" w:hAnsi="仿宋" w:eastAsia="仿宋" w:cs="仿宋"/>
                <w:color w:val="auto"/>
                <w:sz w:val="24"/>
                <w:szCs w:val="24"/>
                <w:highlight w:val="none"/>
              </w:rPr>
              <w:t>一般，评审为中得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方案较差、针对性、无可操作性，评审为差得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pStyle w:val="6"/>
              <w:keepNext w:val="0"/>
              <w:keepLines w:val="0"/>
              <w:suppressLineNumbers w:val="0"/>
              <w:spacing w:before="0" w:beforeAutospacing="0" w:after="0" w:afterAutospacing="0"/>
              <w:ind w:left="0" w:right="0"/>
              <w:rPr>
                <w:rFonts w:hint="eastAsia"/>
                <w:highlight w:val="none"/>
                <w:lang w:val="en-US" w:eastAsia="zh-CN"/>
              </w:rPr>
            </w:pPr>
            <w:r>
              <w:rPr>
                <w:rFonts w:hint="eastAsia" w:ascii="仿宋" w:hAnsi="仿宋" w:eastAsia="仿宋" w:cs="仿宋"/>
                <w:color w:val="auto"/>
                <w:sz w:val="24"/>
                <w:szCs w:val="24"/>
                <w:highlight w:val="none"/>
                <w:lang w:val="en-US" w:eastAsia="zh-CN"/>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应急响应时间</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（一）评分内容：</w:t>
            </w:r>
          </w:p>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承诺应急响应情况</w:t>
            </w:r>
            <w:r>
              <w:rPr>
                <w:rFonts w:hint="eastAsia" w:ascii="仿宋" w:hAnsi="仿宋" w:eastAsia="仿宋" w:cs="仿宋"/>
                <w:color w:val="auto"/>
                <w:sz w:val="24"/>
                <w:szCs w:val="24"/>
                <w:highlight w:val="none"/>
                <w:lang w:eastAsia="zh-CN"/>
              </w:rPr>
              <w:t>：</w:t>
            </w:r>
          </w:p>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1.1.5</w:t>
            </w:r>
            <w:r>
              <w:rPr>
                <w:rFonts w:hint="eastAsia" w:ascii="仿宋" w:hAnsi="仿宋" w:eastAsia="仿宋" w:cs="仿宋"/>
                <w:color w:val="auto"/>
                <w:sz w:val="24"/>
                <w:szCs w:val="24"/>
                <w:highlight w:val="none"/>
              </w:rPr>
              <w:t>小时内响应</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处理</w:t>
            </w:r>
            <w:r>
              <w:rPr>
                <w:rFonts w:hint="eastAsia" w:ascii="仿宋" w:hAnsi="仿宋" w:eastAsia="仿宋" w:cs="仿宋"/>
                <w:color w:val="auto"/>
                <w:sz w:val="24"/>
                <w:szCs w:val="24"/>
                <w:highlight w:val="none"/>
                <w:lang w:val="en-US" w:eastAsia="zh-CN"/>
              </w:rPr>
              <w:t>问题</w:t>
            </w:r>
            <w:r>
              <w:rPr>
                <w:rFonts w:hint="eastAsia" w:ascii="仿宋" w:hAnsi="仿宋" w:eastAsia="仿宋" w:cs="仿宋"/>
                <w:color w:val="auto"/>
                <w:sz w:val="24"/>
                <w:szCs w:val="24"/>
                <w:highlight w:val="none"/>
              </w:rPr>
              <w:t xml:space="preserve">的得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2.≥1.5</w:t>
            </w:r>
            <w:r>
              <w:rPr>
                <w:rFonts w:hint="eastAsia" w:ascii="仿宋" w:hAnsi="仿宋" w:eastAsia="仿宋" w:cs="仿宋"/>
                <w:color w:val="auto"/>
                <w:sz w:val="24"/>
                <w:szCs w:val="24"/>
                <w:highlight w:val="none"/>
              </w:rPr>
              <w:t>小时到</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小时内响应</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处理</w:t>
            </w:r>
            <w:r>
              <w:rPr>
                <w:rFonts w:hint="eastAsia" w:ascii="仿宋" w:hAnsi="仿宋" w:eastAsia="仿宋" w:cs="仿宋"/>
                <w:color w:val="auto"/>
                <w:sz w:val="24"/>
                <w:szCs w:val="24"/>
                <w:highlight w:val="none"/>
                <w:lang w:val="en-US" w:eastAsia="zh-CN"/>
              </w:rPr>
              <w:t>问题</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小时响应</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处理</w:t>
            </w:r>
            <w:r>
              <w:rPr>
                <w:rFonts w:hint="eastAsia" w:ascii="仿宋" w:hAnsi="仿宋" w:eastAsia="仿宋" w:cs="仿宋"/>
                <w:color w:val="auto"/>
                <w:sz w:val="24"/>
                <w:szCs w:val="24"/>
                <w:highlight w:val="none"/>
                <w:lang w:val="en-US" w:eastAsia="zh-CN"/>
              </w:rPr>
              <w:t>问题</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（二）评分依据：</w:t>
            </w:r>
          </w:p>
          <w:p>
            <w:pPr>
              <w:keepNext w:val="0"/>
              <w:keepLines w:val="0"/>
              <w:suppressLineNumbers w:val="0"/>
              <w:wordWrap w:val="0"/>
              <w:adjustRightInd w:val="0"/>
              <w:snapToGrid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提供应急响应时间承诺函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val="en-US" w:eastAsia="zh-CN"/>
              </w:rPr>
              <w:t>并加盖公章）</w:t>
            </w:r>
            <w:r>
              <w:rPr>
                <w:rFonts w:hint="eastAsia" w:ascii="仿宋" w:hAnsi="仿宋" w:eastAsia="仿宋" w:cs="仿宋"/>
                <w:color w:val="auto"/>
                <w:sz w:val="24"/>
                <w:szCs w:val="24"/>
                <w:highlight w:val="none"/>
              </w:rPr>
              <w:t>，未提供或提供不符合要求本项不得分或提供的不清晰导致专家无法判断的或所提供的证明材料未能体现上述评分内容的不得分。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52" w:type="pct"/>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22" w:type="pct"/>
            <w:gridSpan w:val="4"/>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评分内容：</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投标人提供从</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月1日至本项目投标截止日（以合同签订日期为准）</w:t>
            </w:r>
            <w:r>
              <w:rPr>
                <w:rFonts w:hint="eastAsia" w:ascii="仿宋" w:hAnsi="仿宋" w:eastAsia="仿宋" w:cs="仿宋"/>
                <w:color w:val="auto"/>
                <w:sz w:val="24"/>
                <w:szCs w:val="24"/>
                <w:highlight w:val="none"/>
                <w:lang w:val="en-US" w:eastAsia="zh-CN"/>
              </w:rPr>
              <w:t>与本项目</w:t>
            </w:r>
            <w:r>
              <w:rPr>
                <w:rFonts w:hint="eastAsia" w:ascii="仿宋" w:hAnsi="仿宋" w:eastAsia="仿宋" w:cs="仿宋"/>
                <w:color w:val="auto"/>
                <w:sz w:val="24"/>
                <w:szCs w:val="24"/>
                <w:highlight w:val="none"/>
              </w:rPr>
              <w:t>相关</w:t>
            </w:r>
            <w:r>
              <w:rPr>
                <w:rFonts w:hint="eastAsia" w:ascii="仿宋" w:hAnsi="仿宋" w:eastAsia="仿宋" w:cs="仿宋"/>
                <w:color w:val="auto"/>
                <w:sz w:val="24"/>
                <w:szCs w:val="24"/>
                <w:highlight w:val="none"/>
                <w:lang w:val="en-US" w:eastAsia="zh-CN"/>
              </w:rPr>
              <w:t>的同类</w:t>
            </w:r>
            <w:r>
              <w:rPr>
                <w:rFonts w:hint="eastAsia" w:ascii="仿宋" w:hAnsi="仿宋" w:eastAsia="仿宋" w:cs="仿宋"/>
                <w:color w:val="auto"/>
                <w:sz w:val="24"/>
                <w:szCs w:val="24"/>
                <w:highlight w:val="none"/>
              </w:rPr>
              <w:t>业绩</w:t>
            </w:r>
            <w:r>
              <w:rPr>
                <w:rFonts w:hint="eastAsia" w:ascii="仿宋" w:hAnsi="仿宋" w:eastAsia="仿宋" w:cs="仿宋"/>
                <w:color w:val="auto"/>
                <w:sz w:val="24"/>
                <w:szCs w:val="24"/>
                <w:highlight w:val="none"/>
                <w:lang w:eastAsia="zh-CN"/>
              </w:rPr>
              <w:t>（项目履约验收完毕且合格）。</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注：长期续签合同只计算一个业绩。</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1.每提供一份</w:t>
            </w:r>
            <w:r>
              <w:rPr>
                <w:rFonts w:hint="eastAsia" w:ascii="仿宋" w:hAnsi="仿宋" w:eastAsia="仿宋" w:cs="仿宋"/>
                <w:color w:val="auto"/>
                <w:sz w:val="24"/>
                <w:szCs w:val="24"/>
                <w:highlight w:val="none"/>
                <w:lang w:val="en-US" w:eastAsia="zh-CN"/>
              </w:rPr>
              <w:t>医疗卫生行业</w:t>
            </w:r>
            <w:r>
              <w:rPr>
                <w:rFonts w:hint="eastAsia" w:ascii="仿宋" w:hAnsi="仿宋" w:eastAsia="仿宋" w:cs="仿宋"/>
                <w:color w:val="auto"/>
                <w:sz w:val="24"/>
                <w:szCs w:val="24"/>
                <w:highlight w:val="none"/>
              </w:rPr>
              <w:t>年度财务报表审计业务合同，得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分；以此类推，本项最高</w:t>
            </w:r>
            <w:r>
              <w:rPr>
                <w:rFonts w:hint="eastAsia"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rPr>
              <w:t>6分。</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2.每提供一份</w:t>
            </w:r>
            <w:r>
              <w:rPr>
                <w:rFonts w:hint="eastAsia" w:ascii="仿宋" w:hAnsi="仿宋" w:eastAsia="仿宋" w:cs="仿宋"/>
                <w:color w:val="auto"/>
                <w:sz w:val="24"/>
                <w:szCs w:val="24"/>
                <w:highlight w:val="none"/>
                <w:lang w:val="en-US" w:eastAsia="zh-CN"/>
              </w:rPr>
              <w:t>医疗卫生行业年度</w:t>
            </w:r>
            <w:r>
              <w:rPr>
                <w:rFonts w:hint="eastAsia" w:ascii="仿宋" w:hAnsi="仿宋" w:eastAsia="仿宋" w:cs="仿宋"/>
                <w:color w:val="auto"/>
                <w:sz w:val="24"/>
                <w:szCs w:val="24"/>
                <w:highlight w:val="none"/>
              </w:rPr>
              <w:t>内部控制评价</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合同，得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分，本项最高</w:t>
            </w:r>
            <w:r>
              <w:rPr>
                <w:rFonts w:hint="eastAsia" w:ascii="仿宋" w:hAnsi="仿宋" w:eastAsia="仿宋" w:cs="仿宋"/>
                <w:color w:val="auto"/>
                <w:sz w:val="24"/>
                <w:szCs w:val="24"/>
                <w:highlight w:val="none"/>
                <w:lang w:val="en-US" w:eastAsia="zh-CN"/>
              </w:rPr>
              <w:t>得4.5</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.每提供一份</w:t>
            </w:r>
            <w:r>
              <w:rPr>
                <w:rFonts w:hint="eastAsia" w:ascii="仿宋" w:hAnsi="仿宋" w:eastAsia="仿宋" w:cs="仿宋"/>
                <w:color w:val="auto"/>
                <w:sz w:val="24"/>
                <w:szCs w:val="24"/>
                <w:highlight w:val="none"/>
                <w:lang w:val="en-US" w:eastAsia="zh-CN"/>
              </w:rPr>
              <w:t>医疗卫生行业年度内控风险评估项目</w:t>
            </w:r>
            <w:r>
              <w:rPr>
                <w:rFonts w:hint="eastAsia" w:ascii="仿宋" w:hAnsi="仿宋" w:eastAsia="仿宋" w:cs="仿宋"/>
                <w:color w:val="auto"/>
                <w:sz w:val="24"/>
                <w:szCs w:val="24"/>
                <w:highlight w:val="none"/>
              </w:rPr>
              <w:t>合同，得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分，本项最高</w:t>
            </w:r>
            <w:r>
              <w:rPr>
                <w:rFonts w:hint="eastAsia" w:ascii="仿宋" w:hAnsi="仿宋" w:eastAsia="仿宋" w:cs="仿宋"/>
                <w:color w:val="auto"/>
                <w:sz w:val="24"/>
                <w:szCs w:val="24"/>
                <w:highlight w:val="none"/>
                <w:lang w:val="en-US" w:eastAsia="zh-CN"/>
              </w:rPr>
              <w:t>得4.5</w:t>
            </w:r>
            <w:r>
              <w:rPr>
                <w:rFonts w:hint="eastAsia" w:ascii="仿宋" w:hAnsi="仿宋" w:eastAsia="仿宋" w:cs="仿宋"/>
                <w:color w:val="auto"/>
                <w:sz w:val="24"/>
                <w:szCs w:val="24"/>
                <w:highlight w:val="none"/>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1.提供合同关键页（包括但不仅限于：合同服务内容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合同签订日期、双方盖章页（合同乙方需为投标人）等）和项目履约验收完毕且合格的相关证明材料。</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以上资料均要求提供</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履约评价</w:t>
            </w:r>
          </w:p>
        </w:tc>
        <w:tc>
          <w:tcPr>
            <w:tcW w:w="557"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 评分内容：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在上述中有效的同类项目业绩中</w:t>
            </w:r>
            <w:r>
              <w:rPr>
                <w:rFonts w:hint="eastAsia" w:ascii="仿宋" w:hAnsi="仿宋" w:eastAsia="仿宋" w:cs="仿宋"/>
                <w:color w:val="000000"/>
                <w:szCs w:val="24"/>
                <w:highlight w:val="none"/>
                <w:lang w:val="en-US" w:eastAsia="zh-CN"/>
              </w:rPr>
              <w:t>完整履约周期</w:t>
            </w:r>
            <w:r>
              <w:rPr>
                <w:rFonts w:hint="eastAsia" w:ascii="仿宋" w:hAnsi="仿宋" w:eastAsia="仿宋" w:cs="仿宋"/>
                <w:color w:val="auto"/>
                <w:sz w:val="24"/>
                <w:szCs w:val="24"/>
                <w:highlight w:val="none"/>
              </w:rPr>
              <w:t>经采购单位出具的履约评价材料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履约评价结果为优</w:t>
            </w:r>
            <w:r>
              <w:rPr>
                <w:rFonts w:hint="eastAsia" w:ascii="仿宋" w:hAnsi="仿宋" w:eastAsia="仿宋" w:cs="仿宋"/>
                <w:color w:val="auto"/>
                <w:sz w:val="24"/>
                <w:szCs w:val="24"/>
                <w:highlight w:val="none"/>
                <w:lang w:val="en-US" w:eastAsia="zh-CN"/>
              </w:rPr>
              <w:t>或优秀或满意或非常满意或</w:t>
            </w:r>
            <w:r>
              <w:rPr>
                <w:rFonts w:hint="eastAsia" w:ascii="仿宋" w:hAnsi="仿宋" w:eastAsia="仿宋" w:cs="仿宋"/>
                <w:color w:val="auto"/>
                <w:sz w:val="24"/>
                <w:szCs w:val="24"/>
                <w:highlight w:val="none"/>
              </w:rPr>
              <w:t>履约评价</w:t>
            </w:r>
            <w:r>
              <w:rPr>
                <w:rFonts w:hint="eastAsia" w:ascii="仿宋" w:hAnsi="仿宋" w:eastAsia="仿宋" w:cs="仿宋"/>
                <w:color w:val="auto"/>
                <w:sz w:val="24"/>
                <w:szCs w:val="24"/>
                <w:highlight w:val="none"/>
                <w:lang w:val="en-US" w:eastAsia="zh-CN"/>
              </w:rPr>
              <w:t>材料中最优评价</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，每提供1份得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同一个有效业绩只计算一个履约评价。</w:t>
            </w:r>
            <w:r>
              <w:rPr>
                <w:rFonts w:hint="eastAsia" w:ascii="仿宋" w:hAnsi="仿宋" w:eastAsia="仿宋" w:cs="仿宋"/>
                <w:color w:val="auto"/>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（二）评分依据：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color w:val="auto"/>
                <w:highlight w:val="none"/>
              </w:rPr>
            </w:pPr>
            <w:r>
              <w:rPr>
                <w:rFonts w:hint="eastAsia" w:ascii="仿宋" w:hAnsi="仿宋" w:eastAsia="仿宋" w:cs="仿宋"/>
                <w:color w:val="auto"/>
                <w:highlight w:val="none"/>
              </w:rPr>
              <w:t>1.提供完整履约周期的履约评价证明材料（加盖</w:t>
            </w: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甲方公章或业务章）。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以上资料均要求提供</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55"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rPr>
              <w:t>拟安排本项目成员</w:t>
            </w:r>
          </w:p>
        </w:tc>
        <w:tc>
          <w:tcPr>
            <w:tcW w:w="557"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18</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（一）评分内容：</w:t>
            </w:r>
          </w:p>
          <w:p>
            <w:pPr>
              <w:pStyle w:val="6"/>
              <w:keepNext w:val="0"/>
              <w:keepLines w:val="0"/>
              <w:pageBreakBefore w:val="0"/>
              <w:widowControl w:val="0"/>
              <w:suppressLineNumbers w:val="0"/>
              <w:kinsoku/>
              <w:wordWrap/>
              <w:overflowPunct/>
              <w:topLinePunct w:val="0"/>
              <w:bidi w:val="0"/>
              <w:adjustRightInd w:val="0"/>
              <w:snapToGrid w:val="0"/>
              <w:spacing w:before="3" w:beforeAutospacing="0" w:after="0" w:afterAutospacing="0" w:line="380" w:lineRule="exact"/>
              <w:ind w:left="110" w:right="-29"/>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投入本项目的人员须是投标人自有员工，在此基础上：</w:t>
            </w:r>
          </w:p>
          <w:p>
            <w:pPr>
              <w:keepNext w:val="0"/>
              <w:keepLines w:val="0"/>
              <w:pageBreakBefore w:val="0"/>
              <w:widowControl w:val="0"/>
              <w:numPr>
                <w:ilvl w:val="0"/>
                <w:numId w:val="1"/>
              </w:numPr>
              <w:suppressLineNumbers w:val="0"/>
              <w:kinsoku/>
              <w:wordWrap/>
              <w:overflowPunct/>
              <w:topLinePunct w:val="0"/>
              <w:bidi w:val="0"/>
              <w:adjustRightInd w:val="0"/>
              <w:snapToGrid w:val="0"/>
              <w:spacing w:before="3" w:beforeAutospacing="0" w:after="0" w:afterAutospacing="0" w:line="380" w:lineRule="exact"/>
              <w:ind w:left="110" w:right="-29"/>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拟安排本项目负责人（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人），本小项最高得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p>
            <w:pPr>
              <w:keepNext w:val="0"/>
              <w:keepLines w:val="0"/>
              <w:pageBreakBefore w:val="0"/>
              <w:widowControl w:val="0"/>
              <w:numPr>
                <w:ilvl w:val="0"/>
                <w:numId w:val="0"/>
              </w:numPr>
              <w:suppressLineNumbers w:val="0"/>
              <w:kinsoku/>
              <w:wordWrap/>
              <w:overflowPunct/>
              <w:topLinePunct w:val="0"/>
              <w:bidi w:val="0"/>
              <w:adjustRightInd w:val="0"/>
              <w:snapToGrid w:val="0"/>
              <w:spacing w:before="3" w:beforeAutospacing="0" w:after="0" w:afterAutospacing="0" w:line="380" w:lineRule="exact"/>
              <w:ind w:left="0" w:right="-29"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月1日至本项目投标截止日</w:t>
            </w:r>
            <w:r>
              <w:rPr>
                <w:rFonts w:hint="eastAsia" w:ascii="仿宋" w:hAnsi="仿宋" w:eastAsia="仿宋" w:cs="仿宋"/>
                <w:b w:val="0"/>
                <w:bCs/>
                <w:color w:val="auto"/>
                <w:kern w:val="2"/>
                <w:sz w:val="24"/>
                <w:szCs w:val="24"/>
                <w:highlight w:val="none"/>
                <w:lang w:val="en-US" w:eastAsia="zh-CN" w:bidi="ar-SA"/>
              </w:rPr>
              <w:t>，具有医疗卫生行业年度财务报表审计项目相关工作经验1次得1.5分，以此类推，本项最高分3分。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月1日至本项目投标截止日</w:t>
            </w:r>
            <w:r>
              <w:rPr>
                <w:rFonts w:hint="eastAsia" w:ascii="仿宋" w:hAnsi="仿宋" w:eastAsia="仿宋" w:cs="仿宋"/>
                <w:color w:val="auto"/>
                <w:sz w:val="24"/>
                <w:szCs w:val="24"/>
                <w:highlight w:val="none"/>
                <w:lang w:eastAsia="zh-CN"/>
              </w:rPr>
              <w:t>，</w:t>
            </w:r>
            <w:r>
              <w:rPr>
                <w:rFonts w:hint="eastAsia" w:ascii="仿宋" w:hAnsi="仿宋" w:eastAsia="仿宋" w:cs="仿宋"/>
                <w:b w:val="0"/>
                <w:bCs/>
                <w:color w:val="auto"/>
                <w:kern w:val="2"/>
                <w:sz w:val="24"/>
                <w:szCs w:val="24"/>
                <w:highlight w:val="none"/>
                <w:lang w:val="en-US" w:eastAsia="zh-CN" w:bidi="ar-SA"/>
              </w:rPr>
              <w:t>具有医疗卫生行业年度内部控制评价项目相关工作经验1次得1.5分，以此类推，本项最高分3分。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月1日至本项目投标截止日</w:t>
            </w:r>
            <w:r>
              <w:rPr>
                <w:rFonts w:hint="eastAsia" w:ascii="仿宋" w:hAnsi="仿宋" w:eastAsia="仿宋" w:cs="仿宋"/>
                <w:color w:val="auto"/>
                <w:sz w:val="24"/>
                <w:szCs w:val="24"/>
                <w:highlight w:val="none"/>
                <w:lang w:eastAsia="zh-CN"/>
              </w:rPr>
              <w:t>，</w:t>
            </w:r>
            <w:r>
              <w:rPr>
                <w:rFonts w:hint="eastAsia" w:ascii="仿宋" w:hAnsi="仿宋" w:eastAsia="仿宋" w:cs="仿宋"/>
                <w:b w:val="0"/>
                <w:bCs/>
                <w:color w:val="auto"/>
                <w:kern w:val="2"/>
                <w:sz w:val="24"/>
                <w:szCs w:val="24"/>
                <w:highlight w:val="none"/>
                <w:lang w:val="en-US" w:eastAsia="zh-CN" w:bidi="ar-SA"/>
              </w:rPr>
              <w:t>具有医疗卫生行业年度内控风险评估项目相关工作经验1次得1.5分，以此类推，本项最高分3分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2.拟派本项目团队成员（至少3人，不含项目负责人），本小项最高得9分：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月1日至本项目投标截止日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拟派</w:t>
            </w:r>
            <w:r>
              <w:rPr>
                <w:rFonts w:hint="eastAsia" w:ascii="仿宋" w:hAnsi="仿宋" w:eastAsia="仿宋" w:cs="仿宋"/>
                <w:b w:val="0"/>
                <w:bCs/>
                <w:color w:val="auto"/>
                <w:kern w:val="2"/>
                <w:sz w:val="24"/>
                <w:szCs w:val="24"/>
                <w:highlight w:val="none"/>
                <w:lang w:val="en-US" w:eastAsia="zh-CN" w:bidi="ar-SA"/>
              </w:rPr>
              <w:t>审计助理具有</w:t>
            </w:r>
            <w:r>
              <w:rPr>
                <w:rFonts w:hint="eastAsia" w:ascii="仿宋" w:hAnsi="仿宋" w:eastAsia="仿宋" w:cs="仿宋"/>
                <w:b w:val="0"/>
                <w:bCs/>
                <w:color w:val="auto"/>
                <w:sz w:val="24"/>
                <w:szCs w:val="24"/>
                <w:highlight w:val="none"/>
                <w:lang w:val="en-US" w:eastAsia="zh-CN"/>
              </w:rPr>
              <w:t>医疗卫生行业</w:t>
            </w:r>
            <w:r>
              <w:rPr>
                <w:rFonts w:hint="eastAsia" w:ascii="仿宋" w:hAnsi="仿宋" w:eastAsia="仿宋" w:cs="仿宋"/>
                <w:b w:val="0"/>
                <w:bCs/>
                <w:color w:val="auto"/>
                <w:sz w:val="24"/>
                <w:szCs w:val="24"/>
                <w:highlight w:val="none"/>
                <w:lang w:eastAsia="zh-CN"/>
              </w:rPr>
              <w:t>审计</w:t>
            </w:r>
            <w:r>
              <w:rPr>
                <w:rFonts w:hint="eastAsia" w:ascii="仿宋" w:hAnsi="仿宋" w:eastAsia="仿宋" w:cs="仿宋"/>
                <w:b w:val="0"/>
                <w:bCs/>
                <w:color w:val="auto"/>
                <w:sz w:val="24"/>
                <w:szCs w:val="24"/>
                <w:highlight w:val="none"/>
                <w:lang w:val="en-US" w:eastAsia="zh-CN"/>
              </w:rPr>
              <w:t>项目相关工作</w:t>
            </w:r>
            <w:r>
              <w:rPr>
                <w:rFonts w:hint="eastAsia" w:ascii="仿宋" w:hAnsi="仿宋" w:eastAsia="仿宋" w:cs="仿宋"/>
                <w:b w:val="0"/>
                <w:bCs/>
                <w:color w:val="auto"/>
                <w:sz w:val="24"/>
                <w:szCs w:val="24"/>
                <w:highlight w:val="none"/>
                <w:lang w:eastAsia="zh-CN"/>
              </w:rPr>
              <w:t>经验</w:t>
            </w:r>
            <w:r>
              <w:rPr>
                <w:rFonts w:hint="eastAsia" w:ascii="仿宋" w:hAnsi="仿宋" w:eastAsia="仿宋" w:cs="仿宋"/>
                <w:b w:val="0"/>
                <w:bCs/>
                <w:color w:val="auto"/>
                <w:kern w:val="2"/>
                <w:sz w:val="24"/>
                <w:szCs w:val="24"/>
                <w:highlight w:val="none"/>
                <w:lang w:val="en-US" w:eastAsia="zh-CN" w:bidi="ar-SA"/>
              </w:rPr>
              <w:t>，每提供1名得1.5分，最高得4.5分。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（2）每提供1名具备中级会计/中级审计及以上职称得1.5分，最高得4.5分。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zh-CN" w:eastAsia="zh-CN"/>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zh-CN" w:eastAsia="zh-CN"/>
              </w:rPr>
              <w:t>评分依据</w:t>
            </w:r>
            <w:r>
              <w:rPr>
                <w:rFonts w:hint="eastAsia" w:ascii="仿宋" w:hAnsi="仿宋" w:eastAsia="仿宋" w:cs="仿宋"/>
                <w:b/>
                <w:bCs/>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请提供上述人员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2.提供人员的</w:t>
            </w:r>
            <w:r>
              <w:rPr>
                <w:rFonts w:hint="eastAsia" w:ascii="仿宋" w:hAnsi="仿宋" w:eastAsia="仿宋" w:cs="仿宋"/>
                <w:bCs/>
                <w:color w:val="auto"/>
                <w:sz w:val="24"/>
                <w:szCs w:val="24"/>
                <w:highlight w:val="none"/>
                <w:lang w:val="en-US" w:eastAsia="zh-CN"/>
              </w:rPr>
              <w:t>职称证书</w:t>
            </w:r>
            <w:r>
              <w:rPr>
                <w:rFonts w:hint="eastAsia" w:ascii="仿宋" w:hAnsi="仿宋" w:eastAsia="仿宋" w:cs="仿宋"/>
                <w:bCs/>
                <w:color w:val="auto"/>
                <w:sz w:val="24"/>
                <w:szCs w:val="24"/>
                <w:highlight w:val="none"/>
              </w:rPr>
              <w:t>扫描件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同一成员具有多种证书，</w:t>
            </w:r>
            <w:r>
              <w:rPr>
                <w:rFonts w:hint="eastAsia" w:ascii="仿宋" w:hAnsi="仿宋" w:eastAsia="仿宋" w:cs="仿宋"/>
                <w:bCs/>
                <w:color w:val="auto"/>
                <w:sz w:val="24"/>
                <w:szCs w:val="24"/>
                <w:highlight w:val="none"/>
                <w:lang w:val="en-US" w:eastAsia="zh-CN"/>
              </w:rPr>
              <w:t>就高原则</w:t>
            </w:r>
            <w:r>
              <w:rPr>
                <w:rFonts w:hint="eastAsia" w:ascii="仿宋" w:hAnsi="仿宋" w:eastAsia="仿宋" w:cs="仿宋"/>
                <w:bCs/>
                <w:color w:val="auto"/>
                <w:sz w:val="24"/>
                <w:szCs w:val="24"/>
                <w:highlight w:val="none"/>
              </w:rPr>
              <w:t>不可重复得分。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涉及人员工作经验的，提供项目合同关键页（应包含但不限于合同签约主体名称、项目（合同）名称、服务内容、签订合同时间、签约主体公章、体现上述人员姓名等关键信息）；通过合同关键信息无法判断是否得分的，也可以</w:t>
            </w:r>
            <w:r>
              <w:rPr>
                <w:rFonts w:hint="eastAsia" w:ascii="仿宋" w:hAnsi="仿宋" w:eastAsia="仿宋" w:cs="仿宋"/>
                <w:bCs/>
                <w:color w:val="auto"/>
                <w:sz w:val="24"/>
                <w:szCs w:val="24"/>
                <w:highlight w:val="none"/>
                <w:lang w:val="en-US" w:eastAsia="zh-CN"/>
              </w:rPr>
              <w:t>同时</w:t>
            </w:r>
            <w:r>
              <w:rPr>
                <w:rFonts w:hint="eastAsia" w:ascii="仿宋" w:hAnsi="仿宋" w:eastAsia="仿宋" w:cs="仿宋"/>
                <w:bCs/>
                <w:color w:val="auto"/>
                <w:sz w:val="24"/>
                <w:szCs w:val="24"/>
                <w:highlight w:val="none"/>
              </w:rPr>
              <w:t>提供能证明得分的其他证明资料，如合同甲方出具的证明文件或投标人承诺的工作证明等。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rPr>
              <w:t>4.以上资料均要求提供扫描件，原件备查。评分中出现无证明资料或专家无法凭所提供资料判断是否得分的情况，一律作不得分处理。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6" w:hRule="atLeast"/>
          <w:tblCellSpacing w:w="0" w:type="dxa"/>
          <w:jc w:val="center"/>
        </w:trPr>
        <w:tc>
          <w:tcPr>
            <w:tcW w:w="352"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2"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pPr>
        <w:pStyle w:val="16"/>
        <w:keepNext w:val="0"/>
        <w:keepLines w:val="0"/>
        <w:widowControl/>
        <w:suppressLineNumbers w:val="0"/>
        <w:spacing w:before="0" w:beforeAutospacing="0" w:after="0" w:afterAutospacing="0" w:line="379" w:lineRule="auto"/>
        <w:ind w:left="0" w:leftChars="0" w:right="454" w:firstLine="0" w:firstLineChars="0"/>
        <w:jc w:val="both"/>
        <w:outlineLvl w:val="0"/>
        <w:rPr>
          <w:rFonts w:hint="eastAsia"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pPr>
        <w:widowControl w:val="0"/>
        <w:numPr>
          <w:ilvl w:val="0"/>
          <w:numId w:val="3"/>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pPr>
        <w:widowControl w:val="0"/>
        <w:numPr>
          <w:ilvl w:val="0"/>
          <w:numId w:val="3"/>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pPr>
        <w:numPr>
          <w:ilvl w:val="0"/>
          <w:numId w:val="4"/>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pPr>
        <w:numPr>
          <w:ilvl w:val="0"/>
          <w:numId w:val="4"/>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（五）投标人法定代表人（负责人）证明书及法定代表人（负责人）身份证扫描件；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（六）投标人法定代表人（负责人）授权书及被授权人身份证扫描件；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（九）投标人具有</w:t>
      </w:r>
      <w:r>
        <w:rPr>
          <w:rFonts w:hint="eastAsia" w:ascii="仿宋" w:hAnsi="仿宋" w:eastAsia="仿宋" w:cs="仿宋"/>
          <w:sz w:val="24"/>
          <w:szCs w:val="24"/>
          <w:highlight w:val="none"/>
          <w:lang w:val="en-US" w:eastAsia="zh-CN"/>
        </w:rPr>
        <w:t>有效</w:t>
      </w:r>
      <w:r>
        <w:rPr>
          <w:rFonts w:hint="eastAsia" w:ascii="仿宋" w:hAnsi="仿宋" w:eastAsia="仿宋" w:cs="仿宋"/>
          <w:sz w:val="24"/>
          <w:szCs w:val="24"/>
          <w:highlight w:val="none"/>
        </w:rPr>
        <w:t>的会计师事务所执业证书（提供证件</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，原件备查；如国家另有规定，则适用其规定）。</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w:t>
      </w:r>
      <w:r>
        <w:rPr>
          <w:rFonts w:hint="eastAsia" w:ascii="仿宋" w:hAnsi="仿宋" w:eastAsia="仿宋" w:cs="仿宋"/>
          <w:sz w:val="24"/>
          <w:szCs w:val="24"/>
          <w:highlight w:val="none"/>
          <w:lang w:eastAsia="zh-CN"/>
        </w:rPr>
        <w:t>签订</w:t>
      </w:r>
      <w:r>
        <w:rPr>
          <w:rFonts w:hint="eastAsia" w:ascii="仿宋" w:hAnsi="仿宋" w:eastAsia="仿宋" w:cs="仿宋"/>
          <w:sz w:val="24"/>
          <w:szCs w:val="24"/>
          <w:highlight w:val="none"/>
        </w:rPr>
        <w:t>合同程序。</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pPr>
        <w:numPr>
          <w:ilvl w:val="0"/>
          <w:numId w:val="5"/>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LGZXYYZBB20260403-1</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 xml:space="preserve">深圳市龙岗中心医院2025年度审计服务项目 </w:t>
            </w:r>
          </w:p>
        </w:tc>
        <w:tc>
          <w:tcPr>
            <w:tcW w:w="1378"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185000.00</w:t>
            </w:r>
          </w:p>
        </w:tc>
      </w:tr>
    </w:tbl>
    <w:p>
      <w:pPr>
        <w:pStyle w:val="2"/>
        <w:spacing w:before="120" w:beforeLines="50" w:after="120" w:afterLines="50"/>
        <w:jc w:val="both"/>
        <w:rPr>
          <w:rFonts w:hint="eastAsia" w:ascii="仿宋" w:hAnsi="仿宋" w:eastAsia="仿宋" w:cs="仿宋"/>
          <w:color w:val="auto"/>
          <w:szCs w:val="24"/>
          <w:highlight w:val="none"/>
        </w:rPr>
      </w:pPr>
    </w:p>
    <w:p>
      <w:pPr>
        <w:pStyle w:val="2"/>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pPr>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rPr>
        <w:t>根据《中华人民共和国审计法》《事业单位会计准则》《医院财务制度》（财社</w:t>
      </w:r>
      <w:r>
        <w:rPr>
          <w:rFonts w:hint="eastAsia" w:ascii="仿宋" w:hAnsi="仿宋" w:eastAsia="仿宋" w:cs="仿宋"/>
          <w:color w:val="auto"/>
          <w:sz w:val="24"/>
          <w:highlight w:val="none"/>
          <w:lang w:eastAsia="zh-CN"/>
        </w:rPr>
        <w:t>〔2010〕306号</w:t>
      </w:r>
      <w:r>
        <w:rPr>
          <w:rFonts w:hint="eastAsia" w:ascii="仿宋" w:hAnsi="仿宋" w:eastAsia="仿宋" w:cs="仿宋"/>
          <w:color w:val="auto"/>
          <w:sz w:val="24"/>
          <w:highlight w:val="none"/>
        </w:rPr>
        <w:t>）、《行政事业单位内部控制规范（试行）》《关于印发公立医院内部控制管理办法的通知》（国卫财务发</w:t>
      </w:r>
      <w:r>
        <w:rPr>
          <w:rFonts w:hint="eastAsia" w:ascii="仿宋" w:hAnsi="仿宋" w:eastAsia="仿宋" w:cs="仿宋"/>
          <w:color w:val="auto"/>
          <w:sz w:val="24"/>
          <w:highlight w:val="none"/>
          <w:lang w:eastAsia="zh-CN"/>
        </w:rPr>
        <w:t>〔2020〕31号</w:t>
      </w:r>
      <w:r>
        <w:rPr>
          <w:rFonts w:hint="eastAsia" w:ascii="仿宋" w:hAnsi="仿宋" w:eastAsia="仿宋" w:cs="仿宋"/>
          <w:color w:val="auto"/>
          <w:sz w:val="24"/>
          <w:highlight w:val="none"/>
        </w:rPr>
        <w:t>）以及国家其他有关法律法规规定，聘请具备专业资质的会计师事务所，对医院2025年度的财务状况、经营成果及现金流量进行审计，并出具审计报告；同时，对医院2025年度内部控制体系的设计与执行有效性进行全面评价，识别内控缺陷，出具内控评价报告；识别和分析医院经济活动及相关业务活动面临的潜在内外部风险，形成风险评估报告。</w:t>
      </w:r>
    </w:p>
    <w:p>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三、</w:t>
      </w:r>
      <w:bookmarkStart w:id="1" w:name="_Hlk72073432"/>
      <w:r>
        <w:rPr>
          <w:rFonts w:hint="eastAsia" w:ascii="仿宋" w:hAnsi="仿宋" w:eastAsia="仿宋" w:cs="仿宋"/>
          <w:szCs w:val="24"/>
          <w:highlight w:val="none"/>
        </w:rPr>
        <w:t>服务需求明细</w:t>
      </w:r>
      <w:bookmarkEnd w:id="1"/>
    </w:p>
    <w:tbl>
      <w:tblPr>
        <w:tblStyle w:val="19"/>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64"/>
        <w:gridCol w:w="1309"/>
        <w:gridCol w:w="764"/>
        <w:gridCol w:w="914"/>
        <w:gridCol w:w="1486"/>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97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6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4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5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872"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最高单价限价（元）</w:t>
            </w:r>
          </w:p>
        </w:tc>
        <w:tc>
          <w:tcPr>
            <w:tcW w:w="113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26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97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LGZXYYZBB20260403-1</w:t>
            </w:r>
          </w:p>
        </w:tc>
        <w:tc>
          <w:tcPr>
            <w:tcW w:w="76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2025年度审计服务</w:t>
            </w:r>
          </w:p>
        </w:tc>
        <w:tc>
          <w:tcPr>
            <w:tcW w:w="4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en-US" w:eastAsia="zh-CN"/>
              </w:rPr>
              <w:t>1</w:t>
            </w:r>
          </w:p>
        </w:tc>
        <w:tc>
          <w:tcPr>
            <w:tcW w:w="536"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w:t>
            </w:r>
          </w:p>
        </w:tc>
        <w:tc>
          <w:tcPr>
            <w:tcW w:w="87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185000.00</w:t>
            </w:r>
          </w:p>
        </w:tc>
        <w:tc>
          <w:tcPr>
            <w:tcW w:w="113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含2025年度财务报表审计项目、2025年度内部控制评价及风险评估项目</w:t>
            </w:r>
          </w:p>
        </w:tc>
      </w:tr>
    </w:tbl>
    <w:p>
      <w:pPr>
        <w:pStyle w:val="2"/>
        <w:spacing w:before="120" w:beforeLines="50" w:after="120" w:afterLines="50"/>
        <w:jc w:val="both"/>
        <w:rPr>
          <w:rFonts w:hint="eastAsia" w:ascii="仿宋" w:hAnsi="仿宋" w:eastAsia="仿宋" w:cs="仿宋"/>
          <w:szCs w:val="24"/>
          <w:highlight w:val="none"/>
          <w:lang w:eastAsia="zh-CN"/>
        </w:rPr>
      </w:pPr>
    </w:p>
    <w:p>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四、实质性条款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项目负责人：</w:t>
            </w:r>
          </w:p>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1.人员数量：1人；</w:t>
            </w:r>
          </w:p>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3.项目负责人具有注册会计师证书（提供证书扫描件，原件备查；如国家另有规定，则适用其规定）。</w:t>
            </w:r>
          </w:p>
          <w:p>
            <w:pPr>
              <w:keepNext w:val="0"/>
              <w:keepLines w:val="0"/>
              <w:suppressLineNumbers w:val="0"/>
              <w:spacing w:before="0" w:beforeAutospacing="0" w:after="0" w:afterAutospacing="0"/>
              <w:ind w:left="0" w:right="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4.合同签订后提供项目组成员分工名单，经采购人认可。项目组人员在服务期内不得调整更换，如因特殊情况确需调整更换，需经采购人同意后再作变更。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团队成员（项目负责人除外）</w:t>
            </w:r>
            <w:r>
              <w:rPr>
                <w:rFonts w:hint="eastAsia" w:ascii="仿宋" w:hAnsi="仿宋" w:eastAsia="仿宋" w:cs="仿宋"/>
                <w:sz w:val="24"/>
                <w:szCs w:val="24"/>
                <w:highlight w:val="none"/>
                <w:lang w:eastAsia="zh-CN"/>
              </w:rPr>
              <w:t>：</w:t>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1.人员数量：至少3人；</w:t>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3.合同签订后提供项目组成员分工名单，经采购人认可。项目组人员在服务期内不得调整更换，如因特殊情况确需调整更换，需经采购人同意后再作变更。</w:t>
            </w:r>
          </w:p>
        </w:tc>
      </w:tr>
    </w:tbl>
    <w:p>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pPr>
        <w:rPr>
          <w:rFonts w:hint="eastAsia" w:ascii="仿宋" w:hAnsi="仿宋" w:eastAsia="仿宋" w:cs="仿宋"/>
          <w:b/>
          <w:bCs/>
          <w:sz w:val="24"/>
          <w:highlight w:val="none"/>
        </w:rPr>
      </w:pPr>
    </w:p>
    <w:p>
      <w:pPr>
        <w:ind w:left="2800"/>
        <w:jc w:val="left"/>
        <w:outlineLvl w:val="0"/>
        <w:rPr>
          <w:rFonts w:hint="eastAsia" w:ascii="仿宋" w:hAnsi="仿宋" w:eastAsia="仿宋" w:cs="仿宋"/>
          <w:b/>
          <w:bCs w:val="0"/>
          <w:kern w:val="0"/>
          <w:sz w:val="24"/>
          <w:szCs w:val="24"/>
          <w:highlight w:val="none"/>
          <w:lang w:val="en-US" w:eastAsia="zh-CN" w:bidi="ar-SA"/>
        </w:rPr>
      </w:pPr>
    </w:p>
    <w:p>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五、技术要求</w:t>
      </w:r>
    </w:p>
    <w:p>
      <w:pPr>
        <w:spacing w:line="500" w:lineRule="exact"/>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（一）服务需求</w:t>
      </w:r>
      <w:r>
        <w:rPr>
          <w:rFonts w:hint="eastAsia" w:ascii="仿宋" w:hAnsi="仿宋" w:eastAsia="仿宋" w:cs="仿宋"/>
          <w:b/>
          <w:bCs w:val="0"/>
          <w:color w:val="FF0000"/>
          <w:kern w:val="0"/>
          <w:sz w:val="24"/>
          <w:szCs w:val="24"/>
          <w:highlight w:val="none"/>
          <w:lang w:val="en-US" w:eastAsia="zh-CN" w:bidi="ar-SA"/>
        </w:rPr>
        <w:t>（以下条款为必须满足条款，无需投标人响应，均作为采购合同条款，投标人在中标（成交）后均须满足。）</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1.采购人将与中标人签订合同，并要求对上述审计项目分别出具审计报告（即分别出具2025年度财务报表审计报告、2025年度内部控制评价报告及2025年度内控风险评估报告）。</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2.在约定的时间内出具审计报告，并保证审计报告的质量。</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由采购人收集、整理、复制、研究的与本合同项目工作有关的所有资料在提供给投标人时，均被视为保密的，不得泄露给除采购人或其指定的代表之外的任何人、企业或单位，不管本合同因何种原因终止，本条款一直约束投标人。</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4.中标人在履行合同过程中所获得或接触到的任何内部数据资料，未经采购人同意，不得向第三方透露。</w:t>
      </w:r>
    </w:p>
    <w:p>
      <w:pPr>
        <w:widowControl/>
        <w:ind w:firstLine="480" w:firstLineChars="200"/>
        <w:rPr>
          <w:rFonts w:hint="eastAsia" w:ascii="仿宋" w:hAnsi="仿宋" w:eastAsia="仿宋" w:cs="仿宋"/>
          <w:b/>
          <w:kern w:val="0"/>
          <w:sz w:val="24"/>
          <w:highlight w:val="none"/>
        </w:rPr>
      </w:pPr>
      <w:r>
        <w:rPr>
          <w:rFonts w:hint="eastAsia" w:ascii="仿宋" w:hAnsi="仿宋" w:eastAsia="仿宋" w:cs="仿宋"/>
          <w:color w:val="000000"/>
          <w:kern w:val="0"/>
          <w:sz w:val="24"/>
          <w:szCs w:val="24"/>
          <w:highlight w:val="none"/>
          <w:lang w:val="en-US" w:eastAsia="zh-CN"/>
        </w:rPr>
        <w:t>5.中标人实施项目的一切程序都应符合国家安全、保密的有关规定和标准。</w:t>
      </w:r>
    </w:p>
    <w:p>
      <w:pPr>
        <w:widowControl/>
        <w:rPr>
          <w:rFonts w:hint="eastAsia" w:ascii="仿宋" w:hAnsi="仿宋" w:eastAsia="仿宋" w:cs="仿宋"/>
          <w:b/>
          <w:kern w:val="0"/>
          <w:sz w:val="24"/>
          <w:highlight w:val="none"/>
        </w:rPr>
      </w:pPr>
      <w:r>
        <w:rPr>
          <w:rFonts w:hint="eastAsia" w:ascii="仿宋" w:hAnsi="仿宋" w:eastAsia="仿宋" w:cs="仿宋"/>
          <w:b/>
          <w:kern w:val="0"/>
          <w:sz w:val="24"/>
          <w:highlight w:val="none"/>
        </w:rPr>
        <w:t>（</w:t>
      </w:r>
      <w:r>
        <w:rPr>
          <w:rFonts w:hint="eastAsia" w:ascii="仿宋" w:hAnsi="仿宋" w:eastAsia="仿宋" w:cs="仿宋"/>
          <w:b/>
          <w:kern w:val="0"/>
          <w:sz w:val="24"/>
          <w:highlight w:val="none"/>
          <w:lang w:val="en-US" w:eastAsia="zh-CN"/>
        </w:rPr>
        <w:t>二</w:t>
      </w:r>
      <w:r>
        <w:rPr>
          <w:rFonts w:hint="eastAsia" w:ascii="仿宋" w:hAnsi="仿宋" w:eastAsia="仿宋" w:cs="仿宋"/>
          <w:b/>
          <w:kern w:val="0"/>
          <w:sz w:val="24"/>
          <w:highlight w:val="none"/>
        </w:rPr>
        <w:t>）项目人员需求一览表</w:t>
      </w:r>
    </w:p>
    <w:tbl>
      <w:tblPr>
        <w:tblStyle w:val="19"/>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467"/>
        <w:gridCol w:w="3957"/>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5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w:t>
            </w:r>
          </w:p>
        </w:tc>
        <w:tc>
          <w:tcPr>
            <w:tcW w:w="231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★人员必须具备条件</w:t>
            </w:r>
          </w:p>
        </w:tc>
        <w:tc>
          <w:tcPr>
            <w:tcW w:w="13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5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b/>
                <w:kern w:val="0"/>
                <w:sz w:val="24"/>
                <w:highlight w:val="none"/>
              </w:rPr>
              <w:t>项目负责人</w:t>
            </w:r>
          </w:p>
        </w:tc>
        <w:tc>
          <w:tcPr>
            <w:tcW w:w="231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1.人员数量：1人；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3.项目负责人具有注册会计师证书（提供证书扫描件，原件备查；如国家另有规定，则适用其规定）。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4.合同签订后提供项目组成员分工名单，经采购人认可。项目组人员在服务期内不得调整更换，如因特殊情况确需调整更换，需经采购人同意后再作变更。</w:t>
            </w:r>
          </w:p>
        </w:tc>
        <w:tc>
          <w:tcPr>
            <w:tcW w:w="13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1.2023年3月1日至本项目投标截止日，具有医疗卫生行业年度财务报表审计项目相关工作经验。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2.2023年3月1日至本项目投标截止日，具有医疗卫生行业年度内部控制评价项目相关工作经验。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3.2023年3月1日至本项目投标截止日，具有医疗卫生行业年度内控风险评估项目相关工作经验。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5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团队成员</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b/>
                <w:kern w:val="0"/>
                <w:sz w:val="24"/>
                <w:highlight w:val="none"/>
              </w:rPr>
              <w:t>项目负责人</w:t>
            </w:r>
            <w:r>
              <w:rPr>
                <w:rFonts w:hint="eastAsia" w:ascii="仿宋" w:hAnsi="仿宋" w:eastAsia="仿宋" w:cs="仿宋"/>
                <w:b/>
                <w:kern w:val="0"/>
                <w:sz w:val="24"/>
                <w:highlight w:val="none"/>
                <w:lang w:val="en-US" w:eastAsia="zh-CN"/>
              </w:rPr>
              <w:t>除外</w:t>
            </w:r>
            <w:r>
              <w:rPr>
                <w:rFonts w:hint="eastAsia" w:ascii="仿宋" w:hAnsi="仿宋" w:eastAsia="仿宋" w:cs="仿宋"/>
                <w:color w:val="000000"/>
                <w:kern w:val="0"/>
                <w:sz w:val="24"/>
                <w:szCs w:val="24"/>
                <w:highlight w:val="none"/>
                <w:lang w:val="en-US" w:eastAsia="zh-CN"/>
              </w:rPr>
              <w:t>）</w:t>
            </w:r>
          </w:p>
        </w:tc>
        <w:tc>
          <w:tcPr>
            <w:tcW w:w="231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1.人员数量：</w:t>
            </w:r>
            <w:r>
              <w:rPr>
                <w:rFonts w:hint="eastAsia" w:ascii="仿宋" w:hAnsi="仿宋" w:eastAsia="仿宋" w:cs="仿宋"/>
                <w:color w:val="000000"/>
                <w:kern w:val="0"/>
                <w:sz w:val="24"/>
                <w:szCs w:val="24"/>
                <w:highlight w:val="none"/>
                <w:lang w:val="en-US" w:eastAsia="zh-CN"/>
              </w:rPr>
              <w:t>至少3</w:t>
            </w:r>
            <w:r>
              <w:rPr>
                <w:rFonts w:hint="eastAsia" w:ascii="仿宋" w:hAnsi="仿宋" w:eastAsia="仿宋" w:cs="仿宋"/>
                <w:color w:val="000000"/>
                <w:kern w:val="0"/>
                <w:sz w:val="24"/>
                <w:szCs w:val="24"/>
                <w:highlight w:val="none"/>
              </w:rPr>
              <w:t>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3.合同签订后提供项目组成员分工名单，经采购人认可。项目组人员在服务期内不得调整更换，如因特殊情况确需调整更换，需经采购人同意后再作变更。</w:t>
            </w:r>
          </w:p>
        </w:tc>
        <w:tc>
          <w:tcPr>
            <w:tcW w:w="13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1.2023年3月1日至本项目投标截止日，拟派审计助理具有医疗卫生行业审计项目相关工作经验。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2.具备中级会计/中级审计及以上职称。</w:t>
            </w:r>
          </w:p>
        </w:tc>
      </w:tr>
    </w:tbl>
    <w:p>
      <w:pPr>
        <w:pageBreakBefore w:val="0"/>
        <w:kinsoku/>
        <w:wordWrap/>
        <w:overflowPunct/>
        <w:topLinePunct w:val="0"/>
        <w:bidi w:val="0"/>
        <w:spacing w:line="240" w:lineRule="auto"/>
        <w:jc w:val="left"/>
        <w:rPr>
          <w:rFonts w:hint="eastAsia" w:ascii="仿宋" w:hAnsi="仿宋" w:eastAsia="仿宋" w:cs="仿宋"/>
          <w:b/>
          <w:bCs w:val="0"/>
          <w:sz w:val="21"/>
          <w:szCs w:val="21"/>
          <w:highlight w:val="none"/>
          <w:lang w:eastAsia="zh-CN"/>
        </w:rPr>
      </w:pPr>
    </w:p>
    <w:p>
      <w:pPr>
        <w:jc w:val="both"/>
        <w:outlineLvl w:val="0"/>
        <w:rPr>
          <w:rFonts w:hint="eastAsia" w:ascii="仿宋" w:hAnsi="仿宋" w:eastAsia="仿宋" w:cs="仿宋"/>
          <w:b/>
          <w:bCs w:val="0"/>
          <w:kern w:val="0"/>
          <w:sz w:val="24"/>
          <w:szCs w:val="24"/>
          <w:highlight w:val="none"/>
          <w:lang w:val="en-US" w:eastAsia="zh-CN" w:bidi="ar-SA"/>
        </w:rPr>
      </w:pPr>
    </w:p>
    <w:p>
      <w:pPr>
        <w:spacing w:line="500" w:lineRule="exact"/>
        <w:rPr>
          <w:rFonts w:hint="eastAsia" w:ascii="仿宋" w:hAnsi="仿宋" w:eastAsia="仿宋" w:cs="仿宋"/>
          <w:b/>
          <w:bCs w:val="0"/>
          <w:color w:val="FF000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六、商务要求</w:t>
      </w:r>
      <w:r>
        <w:rPr>
          <w:rFonts w:hint="eastAsia" w:ascii="仿宋" w:hAnsi="仿宋" w:eastAsia="仿宋" w:cs="仿宋"/>
          <w:b/>
          <w:bCs w:val="0"/>
          <w:color w:val="FF0000"/>
          <w:kern w:val="0"/>
          <w:sz w:val="24"/>
          <w:szCs w:val="24"/>
          <w:highlight w:val="none"/>
          <w:lang w:val="en-US" w:eastAsia="zh-CN" w:bidi="ar-SA"/>
        </w:rPr>
        <w:t>（以下条款为必须满足条款，无需投标人响应，均作为采购合同条款，投标人在中标（成交）后均须满足。）</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394"/>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目录</w:t>
            </w:r>
          </w:p>
        </w:tc>
        <w:tc>
          <w:tcPr>
            <w:tcW w:w="38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服务期限</w:t>
            </w:r>
          </w:p>
        </w:tc>
        <w:tc>
          <w:tcPr>
            <w:tcW w:w="3849" w:type="pct"/>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Calibri"/>
                <w:b/>
                <w:color w:val="auto"/>
                <w:kern w:val="2"/>
                <w:sz w:val="21"/>
                <w:szCs w:val="21"/>
                <w:highlight w:val="none"/>
                <w:u w:val="single"/>
                <w:lang w:val="en-US" w:eastAsia="zh-CN" w:bidi="ar-SA"/>
              </w:rPr>
            </w:pPr>
            <w:r>
              <w:rPr>
                <w:rFonts w:hint="eastAsia" w:ascii="仿宋" w:hAnsi="仿宋" w:eastAsia="仿宋" w:cs="仿宋"/>
                <w:color w:val="000000"/>
                <w:kern w:val="0"/>
                <w:sz w:val="24"/>
                <w:szCs w:val="24"/>
                <w:highlight w:val="none"/>
                <w:lang w:val="en-US" w:eastAsia="zh-CN"/>
              </w:rPr>
              <w:t>合同签订之日起，至中标人完成审计服务项目，出具审计报告，并经采购人验收合格后终止。服务期限预计4个月，具体以实际验收合格之日终止。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服务地点</w:t>
            </w:r>
          </w:p>
        </w:tc>
        <w:tc>
          <w:tcPr>
            <w:tcW w:w="3849" w:type="pct"/>
            <w:shd w:val="clear" w:color="auto" w:fill="auto"/>
            <w:vAlign w:val="center"/>
          </w:tcPr>
          <w:p>
            <w:pPr>
              <w:keepNext w:val="0"/>
              <w:keepLines w:val="0"/>
              <w:suppressLineNumbers w:val="0"/>
              <w:spacing w:before="0" w:beforeAutospacing="0" w:after="0" w:afterAutospacing="0"/>
              <w:ind w:left="0" w:right="0"/>
              <w:jc w:val="both"/>
              <w:outlineLvl w:val="0"/>
              <w:rPr>
                <w:rFonts w:hint="eastAsia" w:ascii="宋体" w:hAnsi="宋体" w:eastAsia="宋体" w:cs="Calibri"/>
                <w:b/>
                <w:color w:val="auto"/>
                <w:kern w:val="2"/>
                <w:sz w:val="28"/>
                <w:szCs w:val="28"/>
                <w:highlight w:val="none"/>
                <w:lang w:val="en-US" w:eastAsia="zh-CN" w:bidi="ar-SA"/>
              </w:rPr>
            </w:pPr>
            <w:r>
              <w:rPr>
                <w:rFonts w:hint="eastAsia" w:ascii="仿宋" w:hAnsi="仿宋" w:eastAsia="仿宋" w:cs="仿宋"/>
                <w:color w:val="000000"/>
                <w:kern w:val="0"/>
                <w:sz w:val="24"/>
                <w:szCs w:val="24"/>
                <w:highlight w:val="none"/>
                <w:lang w:val="en-US" w:eastAsia="zh-CN"/>
              </w:rPr>
              <w:t>深圳市龙岗中心医院指定地点。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8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付款方式</w:t>
            </w:r>
          </w:p>
        </w:tc>
        <w:tc>
          <w:tcPr>
            <w:tcW w:w="38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r>
              <w:rPr>
                <w:rFonts w:hint="default" w:ascii="仿宋" w:hAnsi="仿宋" w:eastAsia="仿宋" w:cs="仿宋"/>
                <w:color w:val="000000"/>
                <w:kern w:val="0"/>
                <w:sz w:val="24"/>
                <w:szCs w:val="24"/>
                <w:highlight w:val="none"/>
                <w:lang w:val="en-US" w:eastAsia="zh-CN"/>
              </w:rPr>
              <w:t>合同签订后</w:t>
            </w:r>
            <w:r>
              <w:rPr>
                <w:rFonts w:hint="eastAsia" w:ascii="仿宋" w:hAnsi="仿宋" w:eastAsia="仿宋" w:cs="仿宋"/>
                <w:color w:val="000000"/>
                <w:kern w:val="0"/>
                <w:sz w:val="24"/>
                <w:szCs w:val="24"/>
                <w:highlight w:val="none"/>
                <w:lang w:val="en-US" w:eastAsia="zh-CN"/>
              </w:rPr>
              <w:t>，</w:t>
            </w:r>
            <w:r>
              <w:rPr>
                <w:rFonts w:hint="default" w:ascii="仿宋" w:hAnsi="仿宋" w:eastAsia="仿宋" w:cs="仿宋"/>
                <w:color w:val="000000"/>
                <w:kern w:val="0"/>
                <w:sz w:val="24"/>
                <w:szCs w:val="24"/>
                <w:lang w:val="en-US" w:eastAsia="zh-CN" w:bidi="ar"/>
              </w:rPr>
              <w:t>采购人收到中标人</w:t>
            </w:r>
            <w:r>
              <w:rPr>
                <w:rFonts w:hint="default" w:ascii="仿宋" w:hAnsi="仿宋" w:eastAsia="仿宋" w:cs="仿宋"/>
                <w:color w:val="000000"/>
                <w:kern w:val="0"/>
                <w:sz w:val="24"/>
                <w:szCs w:val="24"/>
                <w:highlight w:val="none"/>
                <w:lang w:val="en-US" w:eastAsia="zh-CN"/>
              </w:rPr>
              <w:t>增值税</w:t>
            </w:r>
            <w:r>
              <w:rPr>
                <w:rFonts w:hint="default" w:ascii="仿宋" w:hAnsi="仿宋" w:eastAsia="仿宋" w:cs="仿宋"/>
                <w:color w:val="000000"/>
                <w:kern w:val="0"/>
                <w:sz w:val="24"/>
                <w:szCs w:val="24"/>
                <w:lang w:val="en-US" w:eastAsia="zh-CN" w:bidi="ar"/>
              </w:rPr>
              <w:t>发票后按照相应时间规定支付</w:t>
            </w:r>
            <w:r>
              <w:rPr>
                <w:rFonts w:hint="default" w:ascii="仿宋" w:hAnsi="仿宋" w:eastAsia="仿宋" w:cs="仿宋"/>
                <w:color w:val="000000"/>
                <w:kern w:val="0"/>
                <w:sz w:val="24"/>
                <w:szCs w:val="24"/>
                <w:highlight w:val="none"/>
                <w:lang w:val="en-US" w:eastAsia="zh-CN"/>
              </w:rPr>
              <w:t>合同总价50%的款项。</w:t>
            </w:r>
          </w:p>
          <w:p>
            <w:pPr>
              <w:keepNext w:val="0"/>
              <w:keepLines w:val="0"/>
              <w:suppressLineNumbers w:val="0"/>
              <w:spacing w:before="0" w:beforeAutospacing="0" w:after="0" w:afterAutospacing="0"/>
              <w:ind w:left="0" w:right="0"/>
              <w:jc w:val="both"/>
              <w:rPr>
                <w:rFonts w:hint="eastAsia" w:ascii="宋体" w:hAnsi="宋体" w:eastAsia="宋体" w:cs="Calibri"/>
                <w:color w:val="auto"/>
                <w:kern w:val="2"/>
                <w:sz w:val="21"/>
                <w:szCs w:val="21"/>
                <w:highlight w:val="none"/>
                <w:lang w:val="en-US" w:eastAsia="zh-CN" w:bidi="ar-SA"/>
              </w:rPr>
            </w:pPr>
            <w:r>
              <w:rPr>
                <w:rFonts w:hint="eastAsia" w:ascii="仿宋" w:hAnsi="仿宋" w:eastAsia="仿宋" w:cs="仿宋"/>
                <w:color w:val="000000"/>
                <w:kern w:val="0"/>
                <w:sz w:val="24"/>
                <w:szCs w:val="24"/>
                <w:highlight w:val="none"/>
                <w:lang w:val="en-US" w:eastAsia="zh-CN"/>
              </w:rPr>
              <w:t>2.中标人</w:t>
            </w:r>
            <w:r>
              <w:rPr>
                <w:rFonts w:hint="default" w:ascii="仿宋" w:hAnsi="仿宋" w:eastAsia="仿宋" w:cs="仿宋"/>
                <w:color w:val="000000"/>
                <w:kern w:val="0"/>
                <w:sz w:val="24"/>
                <w:szCs w:val="24"/>
                <w:highlight w:val="none"/>
                <w:lang w:val="en-US" w:eastAsia="zh-CN"/>
              </w:rPr>
              <w:t>正式出具审计报告，经</w:t>
            </w:r>
            <w:r>
              <w:rPr>
                <w:rFonts w:hint="eastAsia" w:ascii="仿宋" w:hAnsi="仿宋" w:eastAsia="仿宋" w:cs="仿宋"/>
                <w:color w:val="000000"/>
                <w:kern w:val="0"/>
                <w:sz w:val="24"/>
                <w:szCs w:val="24"/>
                <w:highlight w:val="none"/>
                <w:lang w:val="en-US" w:eastAsia="zh-CN"/>
              </w:rPr>
              <w:t>采购人</w:t>
            </w:r>
            <w:r>
              <w:rPr>
                <w:rFonts w:hint="default" w:ascii="仿宋" w:hAnsi="仿宋" w:eastAsia="仿宋" w:cs="仿宋"/>
                <w:color w:val="000000"/>
                <w:kern w:val="0"/>
                <w:sz w:val="24"/>
                <w:szCs w:val="24"/>
                <w:highlight w:val="none"/>
                <w:lang w:val="en-US" w:eastAsia="zh-CN"/>
              </w:rPr>
              <w:t>验收合格后，</w:t>
            </w:r>
            <w:r>
              <w:rPr>
                <w:rFonts w:hint="eastAsia" w:ascii="仿宋" w:hAnsi="仿宋" w:eastAsia="仿宋" w:cs="仿宋"/>
                <w:color w:val="000000"/>
                <w:kern w:val="0"/>
                <w:sz w:val="24"/>
                <w:szCs w:val="24"/>
                <w:highlight w:val="none"/>
                <w:lang w:val="en-US" w:eastAsia="zh-CN"/>
              </w:rPr>
              <w:t>在</w:t>
            </w:r>
            <w:r>
              <w:rPr>
                <w:rFonts w:hint="default" w:ascii="仿宋" w:hAnsi="仿宋" w:eastAsia="仿宋" w:cs="仿宋"/>
                <w:color w:val="000000"/>
                <w:kern w:val="0"/>
                <w:sz w:val="24"/>
                <w:szCs w:val="24"/>
                <w:highlight w:val="none"/>
                <w:lang w:val="en-US" w:eastAsia="zh-CN"/>
              </w:rPr>
              <w:t>收到</w:t>
            </w:r>
            <w:r>
              <w:rPr>
                <w:rFonts w:hint="eastAsia" w:ascii="仿宋" w:hAnsi="仿宋" w:eastAsia="仿宋" w:cs="仿宋"/>
                <w:color w:val="000000"/>
                <w:kern w:val="0"/>
                <w:sz w:val="24"/>
                <w:szCs w:val="24"/>
                <w:highlight w:val="none"/>
                <w:lang w:val="en-US" w:eastAsia="zh-CN"/>
              </w:rPr>
              <w:t>中标人</w:t>
            </w:r>
            <w:r>
              <w:rPr>
                <w:rFonts w:hint="default" w:ascii="仿宋" w:hAnsi="仿宋" w:eastAsia="仿宋" w:cs="仿宋"/>
                <w:color w:val="000000"/>
                <w:kern w:val="0"/>
                <w:sz w:val="24"/>
                <w:szCs w:val="24"/>
                <w:highlight w:val="none"/>
                <w:lang w:val="en-US" w:eastAsia="zh-CN"/>
              </w:rPr>
              <w:t>增值税发票后</w:t>
            </w:r>
            <w:r>
              <w:rPr>
                <w:rFonts w:hint="default" w:ascii="仿宋" w:hAnsi="仿宋" w:eastAsia="仿宋" w:cs="仿宋"/>
                <w:color w:val="000000"/>
                <w:kern w:val="0"/>
                <w:sz w:val="24"/>
                <w:szCs w:val="24"/>
                <w:lang w:val="en-US" w:eastAsia="zh-CN" w:bidi="ar"/>
              </w:rPr>
              <w:t>按照相应时间规定支付</w:t>
            </w:r>
            <w:r>
              <w:rPr>
                <w:rFonts w:hint="eastAsia" w:ascii="仿宋" w:hAnsi="仿宋" w:eastAsia="仿宋" w:cs="仿宋"/>
                <w:color w:val="000000"/>
                <w:kern w:val="0"/>
                <w:sz w:val="24"/>
                <w:szCs w:val="24"/>
                <w:lang w:val="en-US" w:eastAsia="zh-CN" w:bidi="ar"/>
              </w:rPr>
              <w:t>剩余合同款项，即</w:t>
            </w:r>
            <w:r>
              <w:rPr>
                <w:rFonts w:hint="default" w:ascii="仿宋" w:hAnsi="仿宋" w:eastAsia="仿宋" w:cs="仿宋"/>
                <w:color w:val="000000"/>
                <w:kern w:val="0"/>
                <w:sz w:val="24"/>
                <w:szCs w:val="24"/>
                <w:highlight w:val="none"/>
                <w:lang w:val="en-US" w:eastAsia="zh-CN"/>
              </w:rPr>
              <w:t>合同总价50%的款项。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8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关于验收</w:t>
            </w:r>
          </w:p>
        </w:tc>
        <w:tc>
          <w:tcPr>
            <w:tcW w:w="38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Calibri"/>
                <w:color w:val="auto"/>
                <w:kern w:val="2"/>
                <w:sz w:val="21"/>
                <w:szCs w:val="21"/>
                <w:highlight w:val="none"/>
                <w:lang w:val="en-US" w:eastAsia="zh-CN" w:bidi="ar-SA"/>
              </w:rPr>
            </w:pPr>
            <w:r>
              <w:rPr>
                <w:rFonts w:hint="eastAsia" w:ascii="仿宋" w:hAnsi="仿宋" w:eastAsia="仿宋" w:cs="仿宋"/>
                <w:color w:val="000000"/>
                <w:kern w:val="0"/>
                <w:sz w:val="24"/>
                <w:szCs w:val="24"/>
                <w:highlight w:val="none"/>
                <w:lang w:val="en-US" w:eastAsia="zh-CN"/>
              </w:rPr>
              <w:t>服务经过双方检验认可后，签署验收报告。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8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其他</w:t>
            </w:r>
          </w:p>
        </w:tc>
        <w:tc>
          <w:tcPr>
            <w:tcW w:w="3849" w:type="pct"/>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1.若中标人不能按采购人要求（质量、数量、价格等方面）进行服务，则采购人有权追究中标人的违约责任，有权单方解除合同，并不用对中标人做任何赔偿；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2.中标人因服务过程中出现人身安全事故，中标人独立承担一切刑事、民事责任，与甲方无关；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3.中标人有下列行为之一的，取消服务供应商资格，且采购人可直接解除合同：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（1）弄虚作假、隐瞒真实情况骗取入围供应商资格的；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（2）因行贿、受贿、串通投标、转包、挂靠等受到有关政府部门处罚的；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（3）因其公司资质降低达不到预选供应商资质条件的或被行业主管部门责令停业或取消资质的；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（4）有商业贿赂行为的；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（5）擅自变更或者中止采购合同的。</w:t>
            </w:r>
          </w:p>
        </w:tc>
      </w:tr>
    </w:tbl>
    <w:p>
      <w:pPr>
        <w:rPr>
          <w:rFonts w:hint="eastAsia" w:ascii="仿宋" w:hAnsi="仿宋" w:eastAsia="仿宋" w:cs="仿宋"/>
          <w:bCs/>
          <w:color w:val="000000"/>
          <w:sz w:val="24"/>
          <w:szCs w:val="24"/>
          <w:highlight w:val="none"/>
        </w:rPr>
      </w:pPr>
    </w:p>
    <w:p>
      <w:pPr>
        <w:widowControl/>
        <w:jc w:val="left"/>
        <w:rPr>
          <w:rFonts w:hint="eastAsia" w:ascii="仿宋" w:hAnsi="仿宋" w:eastAsia="仿宋" w:cs="仿宋"/>
          <w:highlight w:val="none"/>
        </w:rPr>
      </w:pPr>
    </w:p>
    <w:p>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pPr>
        <w:outlineLvl w:val="2"/>
        <w:rPr>
          <w:rFonts w:hint="eastAsia" w:ascii="仿宋" w:hAnsi="仿宋" w:eastAsia="仿宋" w:cs="仿宋"/>
          <w:sz w:val="24"/>
          <w:szCs w:val="24"/>
          <w:highlight w:val="none"/>
        </w:rPr>
      </w:pPr>
      <w:r>
        <w:rPr>
          <w:rStyle w:val="32"/>
          <w:rFonts w:hint="eastAsia" w:ascii="仿宋" w:hAnsi="仿宋" w:eastAsia="仿宋" w:cs="仿宋"/>
          <w:b/>
          <w:bCs w:val="0"/>
          <w:sz w:val="24"/>
          <w:szCs w:val="24"/>
          <w:highlight w:val="none"/>
        </w:rPr>
        <w:t>投标文件组成</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pPr>
        <w:pStyle w:val="25"/>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7.合同条款及格式</w:t>
      </w:r>
    </w:p>
    <w:p>
      <w:pPr>
        <w:pStyle w:val="25"/>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8.投标人认为需要加以说明的其他内容</w:t>
      </w: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2"/>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pPr>
        <w:pStyle w:val="6"/>
        <w:rPr>
          <w:rFonts w:hint="eastAsia" w:ascii="仿宋" w:hAnsi="仿宋" w:eastAsia="仿宋" w:cs="仿宋"/>
          <w:highlight w:val="none"/>
        </w:rPr>
      </w:pPr>
    </w:p>
    <w:p>
      <w:pPr>
        <w:keepNext/>
        <w:keepLines/>
        <w:spacing w:line="360" w:lineRule="auto"/>
        <w:outlineLvl w:val="3"/>
        <w:rPr>
          <w:rFonts w:hint="eastAsia" w:ascii="仿宋" w:hAnsi="仿宋" w:eastAsia="仿宋" w:cs="仿宋"/>
          <w:b/>
          <w:bCs/>
          <w:sz w:val="24"/>
          <w:szCs w:val="24"/>
          <w:highlight w:val="none"/>
        </w:rPr>
      </w:pPr>
      <w:bookmarkStart w:id="2" w:name="_Toc24797"/>
      <w:bookmarkStart w:id="3" w:name="_Toc24698"/>
      <w:bookmarkStart w:id="4" w:name="_Toc18075"/>
      <w:bookmarkStart w:id="5" w:name="_Toc5828"/>
      <w:r>
        <w:rPr>
          <w:rFonts w:hint="eastAsia" w:ascii="仿宋" w:hAnsi="仿宋" w:eastAsia="仿宋" w:cs="仿宋"/>
          <w:b/>
          <w:bCs/>
          <w:sz w:val="24"/>
          <w:szCs w:val="24"/>
          <w:highlight w:val="none"/>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4366" w:type="dxa"/>
            <w:gridSpan w:val="3"/>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keepNext w:val="0"/>
              <w:keepLines w:val="0"/>
              <w:suppressLineNumbers w:val="0"/>
              <w:spacing w:before="0" w:beforeAutospacing="0" w:after="0" w:afterAutospacing="0" w:line="360" w:lineRule="auto"/>
              <w:ind w:left="0" w:right="0"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pPr>
        <w:numPr>
          <w:ilvl w:val="0"/>
          <w:numId w:val="6"/>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pPr>
        <w:pStyle w:val="5"/>
        <w:ind w:left="0" w:leftChars="0" w:firstLine="0" w:firstLineChars="0"/>
        <w:rPr>
          <w:rFonts w:hint="eastAsia" w:ascii="仿宋" w:hAnsi="仿宋" w:eastAsia="仿宋" w:cs="仿宋"/>
          <w:b w:val="0"/>
          <w:i w:val="0"/>
          <w:caps w:val="0"/>
          <w:spacing w:val="0"/>
          <w:w w:val="100"/>
          <w:sz w:val="28"/>
          <w:highlight w:val="none"/>
        </w:rPr>
      </w:pPr>
    </w:p>
    <w:p>
      <w:pPr>
        <w:pStyle w:val="6"/>
        <w:rPr>
          <w:rFonts w:hint="eastAsia" w:ascii="仿宋" w:hAnsi="仿宋" w:eastAsia="仿宋" w:cs="仿宋"/>
          <w:highlight w:val="none"/>
        </w:rPr>
      </w:pPr>
    </w:p>
    <w:p>
      <w:pPr>
        <w:pStyle w:val="17"/>
        <w:rPr>
          <w:rFonts w:hint="eastAsia" w:ascii="仿宋" w:hAnsi="仿宋" w:eastAsia="仿宋" w:cs="仿宋"/>
          <w:highlight w:val="none"/>
        </w:rPr>
      </w:pPr>
    </w:p>
    <w:p>
      <w:pPr>
        <w:rPr>
          <w:rFonts w:hint="eastAsia" w:ascii="仿宋" w:hAnsi="仿宋" w:eastAsia="仿宋" w:cs="仿宋"/>
          <w:highlight w:val="none"/>
        </w:rPr>
      </w:pPr>
    </w:p>
    <w:p>
      <w:pPr>
        <w:pStyle w:val="25"/>
        <w:rPr>
          <w:rFonts w:hint="eastAsia" w:ascii="仿宋" w:hAnsi="仿宋" w:eastAsia="仿宋" w:cs="仿宋"/>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t>二、投标函</w:t>
      </w:r>
      <w:bookmarkEnd w:id="6"/>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6"/>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pPr>
        <w:ind w:left="540" w:leftChars="257"/>
        <w:rPr>
          <w:rFonts w:hint="eastAsia" w:ascii="仿宋" w:hAnsi="仿宋" w:eastAsia="仿宋" w:cs="仿宋"/>
          <w:color w:val="auto"/>
          <w:sz w:val="24"/>
          <w:szCs w:val="24"/>
          <w:highlight w:val="none"/>
        </w:rPr>
      </w:pP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pPr>
        <w:rPr>
          <w:rFonts w:hint="eastAsia" w:ascii="仿宋" w:hAnsi="仿宋" w:eastAsia="仿宋" w:cs="仿宋"/>
          <w:highlight w:val="none"/>
        </w:rPr>
      </w:pPr>
    </w:p>
    <w:p>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05"/>
        <w:gridCol w:w="1759"/>
        <w:gridCol w:w="450"/>
        <w:gridCol w:w="477"/>
        <w:gridCol w:w="1299"/>
        <w:gridCol w:w="937"/>
        <w:gridCol w:w="95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6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103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rPr>
              <w:t>服务需求名称</w:t>
            </w:r>
          </w:p>
        </w:tc>
        <w:tc>
          <w:tcPr>
            <w:tcW w:w="264"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79"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76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最高单价限价（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49"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单价（元）</w:t>
            </w:r>
          </w:p>
        </w:tc>
        <w:tc>
          <w:tcPr>
            <w:tcW w:w="5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64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预算</w:t>
            </w:r>
            <w:r>
              <w:rPr>
                <w:rFonts w:hint="eastAsia" w:ascii="仿宋" w:hAnsi="仿宋" w:eastAsia="仿宋" w:cs="仿宋"/>
                <w:sz w:val="24"/>
                <w:szCs w:val="24"/>
                <w:highlight w:val="none"/>
                <w:lang w:val="en-US" w:eastAsia="zh-CN"/>
              </w:rPr>
              <w:t>金额</w:t>
            </w:r>
            <w:r>
              <w:rPr>
                <w:rFonts w:hint="eastAsia" w:ascii="仿宋" w:hAnsi="仿宋" w:eastAsia="仿宋" w:cs="仿宋"/>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25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6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LGZXYYZBB20260403-1</w:t>
            </w:r>
          </w:p>
        </w:tc>
        <w:tc>
          <w:tcPr>
            <w:tcW w:w="103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2025年度审计服务</w:t>
            </w:r>
          </w:p>
        </w:tc>
        <w:tc>
          <w:tcPr>
            <w:tcW w:w="264" w:type="pct"/>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279" w:type="pct"/>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w:t>
            </w:r>
          </w:p>
        </w:tc>
        <w:tc>
          <w:tcPr>
            <w:tcW w:w="76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185000.00</w:t>
            </w:r>
          </w:p>
        </w:tc>
        <w:tc>
          <w:tcPr>
            <w:tcW w:w="54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p>
        </w:tc>
        <w:tc>
          <w:tcPr>
            <w:tcW w:w="646" w:type="pct"/>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56" w:type="pct"/>
            <w:vAlign w:val="center"/>
          </w:tcPr>
          <w:p>
            <w:pPr>
              <w:keepNext w:val="0"/>
              <w:keepLines w:val="0"/>
              <w:suppressLineNumbers w:val="0"/>
              <w:spacing w:before="0" w:beforeAutospacing="0" w:after="0" w:afterAutospacing="0"/>
              <w:ind w:left="0" w:right="0"/>
              <w:jc w:val="both"/>
              <w:rPr>
                <w:rFonts w:hint="eastAsia" w:ascii="仿宋" w:hAnsi="仿宋" w:eastAsia="仿宋" w:cs="仿宋"/>
                <w:bCs/>
                <w:sz w:val="24"/>
                <w:szCs w:val="24"/>
                <w:highlight w:val="none"/>
              </w:rPr>
            </w:pPr>
          </w:p>
        </w:tc>
        <w:tc>
          <w:tcPr>
            <w:tcW w:w="4743" w:type="pct"/>
            <w:gridSpan w:val="8"/>
            <w:vAlign w:val="center"/>
          </w:tcPr>
          <w:p>
            <w:pPr>
              <w:keepNext w:val="0"/>
              <w:keepLines w:val="0"/>
              <w:suppressLineNumbers w:val="0"/>
              <w:spacing w:before="0" w:beforeAutospacing="0" w:after="0" w:afterAutospacing="0"/>
              <w:ind w:left="0" w:right="0"/>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合计（即投标总价；币种：人民币；单位：元）</w:t>
            </w:r>
          </w:p>
          <w:p>
            <w:pPr>
              <w:keepNext w:val="0"/>
              <w:keepLines w:val="0"/>
              <w:suppressLineNumbers w:val="0"/>
              <w:spacing w:before="0" w:beforeAutospacing="0" w:after="0" w:afterAutospacing="0"/>
              <w:ind w:left="0" w:right="0"/>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小写：           大写：</w:t>
            </w:r>
          </w:p>
        </w:tc>
      </w:tr>
    </w:tbl>
    <w:p>
      <w:pPr>
        <w:ind w:firstLine="482" w:firstLineChars="200"/>
        <w:rPr>
          <w:rFonts w:hint="eastAsia" w:ascii="仿宋" w:hAnsi="仿宋" w:eastAsia="仿宋" w:cs="仿宋"/>
          <w:b/>
          <w:bCs/>
          <w:sz w:val="24"/>
          <w:highlight w:val="none"/>
        </w:rPr>
      </w:pPr>
    </w:p>
    <w:p>
      <w:pPr>
        <w:ind w:firstLine="482" w:firstLineChars="200"/>
        <w:rPr>
          <w:rFonts w:hint="eastAsia" w:ascii="仿宋" w:hAnsi="仿宋" w:eastAsia="仿宋" w:cs="仿宋"/>
          <w:b/>
          <w:bCs/>
          <w:sz w:val="24"/>
          <w:highlight w:val="none"/>
        </w:rPr>
      </w:pPr>
    </w:p>
    <w:p>
      <w:pPr>
        <w:tabs>
          <w:tab w:val="left" w:pos="720"/>
        </w:tabs>
        <w:jc w:val="center"/>
        <w:rPr>
          <w:rFonts w:hint="eastAsia" w:ascii="仿宋" w:hAnsi="仿宋" w:eastAsia="仿宋" w:cs="仿宋"/>
          <w:b/>
          <w:sz w:val="24"/>
          <w:highlight w:val="none"/>
        </w:rPr>
      </w:pPr>
      <w:r>
        <w:rPr>
          <w:rFonts w:hint="eastAsia" w:ascii="仿宋" w:hAnsi="仿宋" w:eastAsia="仿宋" w:cs="仿宋"/>
          <w:b/>
          <w:sz w:val="24"/>
          <w:highlight w:val="none"/>
        </w:rPr>
        <w:t>（二）投标人认为需要涉及的其他内容报价清单</w:t>
      </w:r>
    </w:p>
    <w:p>
      <w:pPr>
        <w:rPr>
          <w:rFonts w:hint="eastAsia" w:ascii="仿宋" w:hAnsi="仿宋" w:eastAsia="仿宋" w:cs="仿宋"/>
          <w:b/>
          <w:bCs/>
          <w:highlight w:val="none"/>
        </w:rPr>
      </w:pPr>
    </w:p>
    <w:p>
      <w:pPr>
        <w:ind w:firstLine="482" w:firstLineChars="200"/>
        <w:rPr>
          <w:rFonts w:hint="eastAsia" w:ascii="仿宋" w:hAnsi="仿宋" w:eastAsia="仿宋" w:cs="仿宋"/>
          <w:b/>
          <w:bCs/>
          <w:sz w:val="24"/>
          <w:highlight w:val="none"/>
        </w:rPr>
      </w:pPr>
    </w:p>
    <w:p>
      <w:pPr>
        <w:pStyle w:val="10"/>
        <w:spacing w:line="360" w:lineRule="auto"/>
        <w:ind w:firstLine="420" w:firstLineChars="200"/>
        <w:rPr>
          <w:rFonts w:hint="eastAsia" w:ascii="仿宋" w:hAnsi="仿宋" w:eastAsia="仿宋" w:cs="仿宋"/>
          <w:szCs w:val="21"/>
          <w:highlight w:val="none"/>
        </w:rPr>
      </w:pPr>
    </w:p>
    <w:p>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仿宋" w:hAnsi="仿宋" w:eastAsia="仿宋" w:cs="仿宋"/>
          <w:b/>
          <w:szCs w:val="21"/>
          <w:highlight w:val="none"/>
        </w:rPr>
      </w:pPr>
      <w:bookmarkStart w:id="7" w:name="_Toc7602"/>
    </w:p>
    <w:bookmarkEnd w:id="7"/>
    <w:p>
      <w:pPr>
        <w:rPr>
          <w:rFonts w:hint="eastAsia" w:ascii="仿宋" w:hAnsi="仿宋" w:eastAsia="仿宋" w:cs="仿宋"/>
          <w:highlight w:val="none"/>
        </w:rPr>
      </w:pP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pPr>
        <w:adjustRightInd w:val="0"/>
        <w:jc w:val="center"/>
        <w:outlineLvl w:val="4"/>
        <w:rPr>
          <w:rFonts w:hint="eastAsia" w:ascii="仿宋" w:hAnsi="仿宋" w:eastAsia="仿宋" w:cs="仿宋"/>
          <w:b/>
          <w:bCs/>
          <w:sz w:val="24"/>
          <w:szCs w:val="24"/>
          <w:highlight w:val="none"/>
        </w:rPr>
      </w:pPr>
    </w:p>
    <w:p>
      <w:pPr>
        <w:adjustRightInd w:val="0"/>
        <w:jc w:val="both"/>
        <w:outlineLvl w:val="4"/>
        <w:rPr>
          <w:rFonts w:hint="eastAsia" w:ascii="仿宋" w:hAnsi="仿宋" w:eastAsia="仿宋" w:cs="仿宋"/>
          <w:b/>
          <w:bCs/>
          <w:sz w:val="24"/>
          <w:szCs w:val="24"/>
          <w:highlight w:val="none"/>
          <w:lang w:val="en-US" w:eastAsia="zh-CN"/>
        </w:rPr>
      </w:pPr>
    </w:p>
    <w:p>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pPr>
        <w:shd w:val="clear"/>
        <w:snapToGrid w:val="0"/>
        <w:spacing w:line="360" w:lineRule="auto"/>
        <w:rPr>
          <w:rFonts w:hint="eastAsia" w:ascii="仿宋" w:hAnsi="仿宋" w:eastAsia="仿宋" w:cs="仿宋"/>
          <w:color w:val="auto"/>
          <w:sz w:val="24"/>
          <w:szCs w:val="24"/>
          <w:highlight w:val="none"/>
        </w:rPr>
      </w:pP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5"/>
        <w:widowControl w:val="0"/>
        <w:numPr>
          <w:ilvl w:val="0"/>
          <w:numId w:val="0"/>
        </w:numPr>
        <w:jc w:val="both"/>
        <w:rPr>
          <w:rFonts w:hint="default" w:ascii="仿宋" w:hAnsi="仿宋" w:eastAsia="仿宋" w:cs="仿宋"/>
          <w:b/>
          <w:bCs/>
          <w:sz w:val="24"/>
          <w:szCs w:val="24"/>
          <w:highlight w:val="none"/>
          <w:lang w:val="en-US" w:eastAsia="zh-CN"/>
        </w:rPr>
      </w:pPr>
    </w:p>
    <w:p>
      <w:pPr>
        <w:pStyle w:val="5"/>
        <w:widowControl w:val="0"/>
        <w:numPr>
          <w:ilvl w:val="0"/>
          <w:numId w:val="0"/>
        </w:numPr>
        <w:jc w:val="both"/>
        <w:rPr>
          <w:rFonts w:hint="default" w:ascii="仿宋" w:hAnsi="仿宋" w:eastAsia="仿宋" w:cs="仿宋"/>
          <w:b/>
          <w:bCs/>
          <w:sz w:val="24"/>
          <w:szCs w:val="24"/>
          <w:highlight w:val="none"/>
          <w:lang w:val="en-US" w:eastAsia="zh-CN"/>
        </w:rPr>
      </w:pPr>
    </w:p>
    <w:p>
      <w:pPr>
        <w:rPr>
          <w:rFonts w:hint="eastAsia" w:ascii="仿宋" w:hAnsi="仿宋" w:eastAsia="仿宋" w:cs="仿宋"/>
          <w:b/>
          <w:bCs/>
          <w:kern w:val="2"/>
          <w:sz w:val="24"/>
          <w:szCs w:val="24"/>
          <w:highlight w:val="none"/>
          <w:lang w:val="en-US" w:eastAsia="zh-CN" w:bidi="ar-SA"/>
        </w:rPr>
      </w:pPr>
      <w:bookmarkStart w:id="8" w:name="_Toc29757"/>
      <w:bookmarkStart w:id="9" w:name="_Toc743"/>
      <w:r>
        <w:rPr>
          <w:rFonts w:hint="eastAsia" w:ascii="仿宋" w:hAnsi="仿宋" w:eastAsia="仿宋" w:cs="仿宋"/>
          <w:b/>
          <w:bCs/>
          <w:kern w:val="2"/>
          <w:sz w:val="24"/>
          <w:szCs w:val="24"/>
          <w:highlight w:val="none"/>
          <w:lang w:val="en-US" w:eastAsia="zh-CN" w:bidi="ar-SA"/>
        </w:rPr>
        <w:br w:type="page"/>
      </w:r>
    </w:p>
    <w:bookmarkEnd w:id="8"/>
    <w:bookmarkEnd w:id="9"/>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法定代表人（负责人）证明书格式</w:t>
      </w:r>
    </w:p>
    <w:p>
      <w:pPr>
        <w:pStyle w:val="10"/>
        <w:spacing w:line="360" w:lineRule="auto"/>
        <w:jc w:val="center"/>
        <w:rPr>
          <w:rFonts w:hint="eastAsia" w:ascii="仿宋" w:hAnsi="仿宋" w:eastAsia="仿宋" w:cs="仿宋"/>
          <w:b/>
          <w:bCs/>
          <w:sz w:val="24"/>
          <w:szCs w:val="24"/>
          <w:highlight w:val="none"/>
        </w:rPr>
      </w:pPr>
    </w:p>
    <w:p>
      <w:pPr>
        <w:pStyle w:val="1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法定代表人（负责人）证明书</w:t>
      </w:r>
    </w:p>
    <w:p>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（姓名），现任我单位</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职务，为法定代表人（负责人），身份证件号为：</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u w:val="none"/>
          <w:lang w:eastAsia="zh-CN"/>
        </w:rPr>
        <w:t>特</w:t>
      </w:r>
      <w:r>
        <w:rPr>
          <w:rFonts w:hint="eastAsia" w:ascii="仿宋" w:hAnsi="仿宋" w:eastAsia="仿宋" w:cs="仿宋"/>
          <w:kern w:val="2"/>
          <w:sz w:val="24"/>
          <w:szCs w:val="24"/>
          <w:lang w:eastAsia="zh-CN"/>
        </w:rPr>
        <w:t>此证明。</w:t>
      </w:r>
    </w:p>
    <w:p>
      <w:pPr>
        <w:widowControl w:val="0"/>
        <w:spacing w:line="360" w:lineRule="auto"/>
        <w:ind w:firstLine="480" w:firstLineChars="200"/>
        <w:jc w:val="both"/>
        <w:rPr>
          <w:rFonts w:hint="eastAsia" w:ascii="仿宋" w:hAnsi="仿宋" w:eastAsia="仿宋" w:cs="仿宋"/>
          <w:kern w:val="2"/>
          <w:sz w:val="24"/>
          <w:szCs w:val="24"/>
          <w:lang w:eastAsia="zh-CN"/>
        </w:rPr>
      </w:pPr>
    </w:p>
    <w:p>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有效期与我方在深圳市龙岗中心医院</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采购（项目编号：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 xml:space="preserve">）中投标有效期一致。   </w:t>
      </w:r>
    </w:p>
    <w:p>
      <w:pPr>
        <w:widowControl w:val="0"/>
        <w:spacing w:line="360" w:lineRule="auto"/>
        <w:ind w:firstLine="480" w:firstLineChars="200"/>
        <w:jc w:val="both"/>
        <w:rPr>
          <w:rFonts w:hint="eastAsia" w:ascii="仿宋" w:hAnsi="仿宋" w:eastAsia="仿宋" w:cs="仿宋"/>
          <w:kern w:val="2"/>
          <w:sz w:val="24"/>
          <w:szCs w:val="24"/>
          <w:lang w:eastAsia="zh-CN"/>
        </w:rPr>
      </w:pPr>
    </w:p>
    <w:p>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投标人名称：</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（盖章）</w:t>
      </w:r>
    </w:p>
    <w:p>
      <w:pPr>
        <w:widowControl w:val="0"/>
        <w:spacing w:line="360" w:lineRule="auto"/>
        <w:ind w:firstLine="5280" w:firstLineChars="2200"/>
        <w:jc w:val="both"/>
        <w:rPr>
          <w:rFonts w:hint="eastAsia" w:ascii="仿宋" w:hAnsi="仿宋" w:eastAsia="仿宋" w:cs="仿宋"/>
          <w:kern w:val="2"/>
          <w:sz w:val="24"/>
          <w:szCs w:val="24"/>
          <w:lang w:eastAsia="zh-CN"/>
        </w:rPr>
      </w:pPr>
    </w:p>
    <w:p>
      <w:pPr>
        <w:widowControl w:val="0"/>
        <w:spacing w:line="360" w:lineRule="auto"/>
        <w:ind w:firstLine="5280" w:firstLineChars="2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签发日期： 年  月  日      </w:t>
      </w:r>
    </w:p>
    <w:p>
      <w:pPr>
        <w:widowControl w:val="0"/>
        <w:spacing w:line="360" w:lineRule="auto"/>
        <w:ind w:firstLine="3120" w:firstLineChars="1300"/>
        <w:jc w:val="both"/>
        <w:rPr>
          <w:rFonts w:hint="eastAsia" w:ascii="仿宋" w:hAnsi="仿宋" w:eastAsia="仿宋" w:cs="仿宋"/>
          <w:kern w:val="2"/>
          <w:sz w:val="24"/>
          <w:szCs w:val="24"/>
          <w:lang w:eastAsia="zh-CN"/>
        </w:rPr>
      </w:pPr>
    </w:p>
    <w:p>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说明：1、法定代表人为投标人（企业事业单位、国家机关、社会团体）的主要行政负责人。</w:t>
      </w:r>
    </w:p>
    <w:p>
      <w:pPr>
        <w:widowControl w:val="0"/>
        <w:numPr>
          <w:ilvl w:val="0"/>
          <w:numId w:val="7"/>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本证明书要提供法定代表人（负责人）相关身份证明文件：身份证扫描件（正反两面）；港澳台居民可提供来往通行证扫描件；非中国国籍管辖范围人员，可提供公安部门认可的身份证明材料扫描件。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7"/>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本项目投标授权代表为法定代表人（负责人）的，无需提供《投标文件签署授权委托书》。</w:t>
      </w:r>
    </w:p>
    <w:p>
      <w:pPr>
        <w:widowControl w:val="0"/>
        <w:numPr>
          <w:ilvl w:val="0"/>
          <w:numId w:val="7"/>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内容必须填写真实、清楚，涂改无效，不得转让、买卖。</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c>
          <w:tcPr>
            <w:tcW w:w="4265" w:type="dxa"/>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r>
    </w:tbl>
    <w:p>
      <w:pPr>
        <w:keepNext/>
        <w:keepLines/>
        <w:spacing w:line="360" w:lineRule="auto"/>
        <w:rPr>
          <w:rFonts w:hint="eastAsia" w:ascii="仿宋" w:hAnsi="仿宋" w:eastAsia="仿宋" w:cs="仿宋"/>
          <w:sz w:val="24"/>
          <w:szCs w:val="24"/>
          <w:highlight w:val="none"/>
        </w:rPr>
      </w:pPr>
    </w:p>
    <w:p>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法定代表人（负责人）授权书格式（投标人代表为法定代表人（负责人）的无须提供本格式）</w:t>
      </w:r>
    </w:p>
    <w:p>
      <w:pPr>
        <w:spacing w:line="360" w:lineRule="auto"/>
        <w:jc w:val="center"/>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法定代表人（负责人）授权书</w:t>
      </w:r>
    </w:p>
    <w:p>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本授权委托书声明：我</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（姓名）系</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（投标人名称）的法定代表人（负责人），现授权委托</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（姓名），</w:t>
      </w:r>
      <w:r>
        <w:rPr>
          <w:rFonts w:hint="eastAsia" w:ascii="仿宋" w:hAnsi="仿宋" w:eastAsia="仿宋" w:cs="仿宋"/>
          <w:kern w:val="2"/>
          <w:sz w:val="24"/>
          <w:szCs w:val="24"/>
          <w:lang w:val="en-US" w:eastAsia="zh-CN"/>
        </w:rPr>
        <w:t>身份证件号：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val="en-US" w:eastAsia="zh-CN"/>
        </w:rPr>
        <w:t>职务：</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eastAsia="zh-CN"/>
        </w:rPr>
        <w:t>为我单位签署本项目已递交的投标文件的法定代表人（负责人）的授权委托代理人，代理人全权代表我所签署的本项目已递交的投标文件内容我均承认。</w:t>
      </w:r>
    </w:p>
    <w:p>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代理人无转委托权，特此委托。</w:t>
      </w:r>
    </w:p>
    <w:p>
      <w:pPr>
        <w:widowControl w:val="0"/>
        <w:spacing w:line="360" w:lineRule="auto"/>
        <w:ind w:firstLine="480" w:firstLineChars="200"/>
        <w:jc w:val="both"/>
        <w:rPr>
          <w:rFonts w:hint="eastAsia" w:ascii="仿宋" w:hAnsi="仿宋" w:eastAsia="仿宋" w:cs="仿宋"/>
          <w:kern w:val="2"/>
          <w:sz w:val="24"/>
          <w:szCs w:val="24"/>
          <w:lang w:eastAsia="zh-CN"/>
        </w:rPr>
      </w:pPr>
    </w:p>
    <w:p>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本授权书于</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lang w:eastAsia="zh-CN"/>
        </w:rPr>
        <w:t>年</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月</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日签字生效，有效期与本项目我方投标有效期一致，特此声明。</w:t>
      </w:r>
    </w:p>
    <w:p>
      <w:pPr>
        <w:widowControl w:val="0"/>
        <w:spacing w:line="360" w:lineRule="auto"/>
        <w:ind w:firstLine="480" w:firstLineChars="200"/>
        <w:jc w:val="both"/>
        <w:rPr>
          <w:rFonts w:hint="eastAsia" w:ascii="仿宋" w:hAnsi="仿宋" w:eastAsia="仿宋" w:cs="仿宋"/>
          <w:kern w:val="2"/>
          <w:sz w:val="24"/>
          <w:szCs w:val="24"/>
          <w:lang w:eastAsia="zh-CN"/>
        </w:rPr>
      </w:pPr>
    </w:p>
    <w:p>
      <w:pPr>
        <w:spacing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p>
    <w:p>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r>
        <w:rPr>
          <w:rFonts w:hint="eastAsia" w:ascii="仿宋" w:hAnsi="仿宋" w:eastAsia="仿宋" w:cs="仿宋"/>
          <w:color w:val="auto"/>
          <w:sz w:val="24"/>
          <w:szCs w:val="24"/>
          <w:highlight w:val="none"/>
          <w:lang w:val="en-US" w:eastAsia="zh-CN"/>
        </w:rPr>
        <w:t>或签章</w:t>
      </w:r>
      <w:r>
        <w:rPr>
          <w:rFonts w:hint="eastAsia" w:ascii="仿宋" w:hAnsi="仿宋" w:eastAsia="仿宋" w:cs="仿宋"/>
          <w:color w:val="auto"/>
          <w:sz w:val="24"/>
          <w:szCs w:val="24"/>
          <w:highlight w:val="none"/>
        </w:rPr>
        <w:t>）：</w:t>
      </w:r>
    </w:p>
    <w:p>
      <w:pPr>
        <w:widowControl w:val="0"/>
        <w:spacing w:line="360" w:lineRule="auto"/>
        <w:ind w:firstLine="480" w:firstLineChars="200"/>
        <w:jc w:val="both"/>
        <w:rPr>
          <w:rFonts w:hint="eastAsia" w:ascii="仿宋" w:hAnsi="仿宋" w:eastAsia="仿宋" w:cs="仿宋"/>
          <w:kern w:val="2"/>
          <w:sz w:val="24"/>
          <w:szCs w:val="24"/>
          <w:lang w:eastAsia="zh-CN"/>
        </w:rPr>
      </w:pPr>
    </w:p>
    <w:p>
      <w:pPr>
        <w:widowControl w:val="0"/>
        <w:spacing w:line="360" w:lineRule="auto"/>
        <w:ind w:firstLine="482" w:firstLineChars="200"/>
        <w:jc w:val="both"/>
        <w:rPr>
          <w:rFonts w:hint="eastAsia" w:ascii="仿宋" w:hAnsi="仿宋" w:eastAsia="仿宋" w:cs="仿宋"/>
          <w:b/>
          <w:color w:val="FF0000"/>
          <w:kern w:val="2"/>
          <w:sz w:val="24"/>
          <w:szCs w:val="24"/>
          <w:lang w:eastAsia="zh-CN"/>
        </w:rPr>
      </w:pPr>
      <w:r>
        <w:rPr>
          <w:rFonts w:hint="eastAsia" w:ascii="仿宋" w:hAnsi="仿宋" w:eastAsia="仿宋" w:cs="仿宋"/>
          <w:b/>
          <w:color w:val="FF0000"/>
          <w:kern w:val="2"/>
          <w:sz w:val="24"/>
          <w:szCs w:val="24"/>
          <w:lang w:eastAsia="zh-CN"/>
        </w:rPr>
        <w:t>附：请提供代理人身份证扫描件（正反两面）；港澳台居民可提供来往通行证扫描件；非中国国籍管辖范围人员，可提供公安部门认可的身份证明材料扫描件。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c>
          <w:tcPr>
            <w:tcW w:w="4265" w:type="dxa"/>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r>
    </w:tbl>
    <w:p>
      <w:pPr>
        <w:widowControl/>
        <w:autoSpaceDE w:val="0"/>
        <w:autoSpaceDN w:val="0"/>
        <w:ind w:right="893"/>
        <w:textAlignment w:val="bottom"/>
        <w:rPr>
          <w:rFonts w:hint="eastAsia" w:ascii="仿宋" w:hAnsi="仿宋" w:eastAsia="仿宋" w:cs="仿宋"/>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val="0"/>
        <w:keepLines w:val="0"/>
        <w:numPr>
          <w:ilvl w:val="-1"/>
          <w:numId w:val="0"/>
        </w:numPr>
        <w:spacing w:line="240" w:lineRule="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pPr>
        <w:spacing w:before="184" w:line="208" w:lineRule="auto"/>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spacing w:line="75" w:lineRule="exact"/>
        <w:rPr>
          <w:rFonts w:hint="eastAsia" w:ascii="仿宋" w:hAnsi="仿宋" w:eastAsia="仿宋" w:cs="仿宋"/>
          <w:highlight w:val="none"/>
        </w:rPr>
      </w:pPr>
    </w:p>
    <w:tbl>
      <w:tblPr>
        <w:tblStyle w:val="47"/>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noWrap w:val="0"/>
            <w:vAlign w:val="center"/>
          </w:tcPr>
          <w:p>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noWrap w:val="0"/>
            <w:vAlign w:val="center"/>
          </w:tcPr>
          <w:p>
            <w:pPr>
              <w:jc w:val="center"/>
              <w:rPr>
                <w:rFonts w:hint="eastAsia" w:ascii="仿宋" w:hAnsi="仿宋" w:eastAsia="仿宋" w:cs="仿宋"/>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noWrap w:val="0"/>
            <w:vAlign w:val="center"/>
          </w:tcPr>
          <w:p>
            <w:pPr>
              <w:jc w:val="center"/>
              <w:rPr>
                <w:rFonts w:hint="eastAsia" w:ascii="仿宋" w:hAnsi="仿宋" w:eastAsia="仿宋" w:cs="仿宋"/>
                <w:sz w:val="24"/>
                <w:szCs w:val="24"/>
                <w:highlight w:val="none"/>
                <w:lang w:val="en-US" w:eastAsia="zh-CN"/>
              </w:rPr>
            </w:pPr>
          </w:p>
        </w:tc>
        <w:tc>
          <w:tcPr>
            <w:tcW w:w="1122"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noWrap w:val="0"/>
            <w:vAlign w:val="center"/>
          </w:tcPr>
          <w:p>
            <w:pPr>
              <w:jc w:val="center"/>
              <w:rPr>
                <w:rFonts w:hint="eastAsia" w:ascii="仿宋" w:hAnsi="仿宋" w:eastAsia="仿宋" w:cs="仿宋"/>
                <w:sz w:val="24"/>
                <w:szCs w:val="24"/>
                <w:highlight w:val="none"/>
              </w:rPr>
            </w:pPr>
          </w:p>
        </w:tc>
        <w:tc>
          <w:tcPr>
            <w:tcW w:w="1122" w:type="pct"/>
            <w:gridSpan w:val="2"/>
            <w:noWrap w:val="0"/>
            <w:vAlign w:val="center"/>
          </w:tcPr>
          <w:p>
            <w:pPr>
              <w:jc w:val="center"/>
              <w:rPr>
                <w:rFonts w:hint="eastAsia" w:ascii="仿宋" w:hAnsi="仿宋" w:eastAsia="仿宋" w:cs="仿宋"/>
                <w:sz w:val="24"/>
                <w:szCs w:val="24"/>
                <w:highlight w:val="none"/>
              </w:rPr>
            </w:pPr>
          </w:p>
        </w:tc>
        <w:tc>
          <w:tcPr>
            <w:tcW w:w="897" w:type="pct"/>
            <w:noWrap w:val="0"/>
            <w:vAlign w:val="center"/>
          </w:tcPr>
          <w:p>
            <w:pPr>
              <w:jc w:val="center"/>
              <w:rPr>
                <w:rFonts w:hint="eastAsia" w:ascii="仿宋" w:hAnsi="仿宋" w:eastAsia="仿宋" w:cs="仿宋"/>
                <w:sz w:val="24"/>
                <w:szCs w:val="24"/>
                <w:highlight w:val="none"/>
              </w:rPr>
            </w:pPr>
          </w:p>
        </w:tc>
        <w:tc>
          <w:tcPr>
            <w:tcW w:w="848" w:type="pct"/>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pPr>
              <w:pStyle w:val="46"/>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noWrap w:val="0"/>
            <w:vAlign w:val="center"/>
          </w:tcPr>
          <w:p>
            <w:pPr>
              <w:jc w:val="center"/>
              <w:rPr>
                <w:rFonts w:hint="eastAsia" w:ascii="仿宋" w:hAnsi="仿宋" w:eastAsia="仿宋" w:cs="仿宋"/>
                <w:sz w:val="24"/>
                <w:szCs w:val="24"/>
                <w:highlight w:val="none"/>
              </w:rPr>
            </w:pPr>
          </w:p>
        </w:tc>
        <w:tc>
          <w:tcPr>
            <w:tcW w:w="1122" w:type="pct"/>
            <w:gridSpan w:val="2"/>
            <w:noWrap w:val="0"/>
            <w:vAlign w:val="center"/>
          </w:tcPr>
          <w:p>
            <w:pPr>
              <w:jc w:val="center"/>
              <w:rPr>
                <w:rFonts w:hint="eastAsia" w:ascii="仿宋" w:hAnsi="仿宋" w:eastAsia="仿宋" w:cs="仿宋"/>
                <w:sz w:val="24"/>
                <w:szCs w:val="24"/>
                <w:highlight w:val="none"/>
              </w:rPr>
            </w:pPr>
          </w:p>
        </w:tc>
        <w:tc>
          <w:tcPr>
            <w:tcW w:w="897" w:type="pct"/>
            <w:noWrap w:val="0"/>
            <w:vAlign w:val="center"/>
          </w:tcPr>
          <w:p>
            <w:pPr>
              <w:jc w:val="center"/>
              <w:rPr>
                <w:rFonts w:hint="eastAsia" w:ascii="仿宋" w:hAnsi="仿宋" w:eastAsia="仿宋" w:cs="仿宋"/>
                <w:sz w:val="24"/>
                <w:szCs w:val="24"/>
                <w:highlight w:val="none"/>
              </w:rPr>
            </w:pPr>
          </w:p>
        </w:tc>
        <w:tc>
          <w:tcPr>
            <w:tcW w:w="848" w:type="pct"/>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noWrap w:val="0"/>
            <w:vAlign w:val="center"/>
          </w:tcPr>
          <w:p>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897" w:type="pct"/>
            <w:noWrap w:val="0"/>
            <w:vAlign w:val="center"/>
          </w:tcPr>
          <w:p>
            <w:pPr>
              <w:spacing w:line="240" w:lineRule="auto"/>
              <w:ind w:left="0"/>
              <w:jc w:val="center"/>
              <w:rPr>
                <w:rFonts w:hint="eastAsia" w:ascii="仿宋" w:hAnsi="仿宋" w:eastAsia="仿宋" w:cs="仿宋"/>
                <w:sz w:val="24"/>
                <w:szCs w:val="24"/>
                <w:highlight w:val="none"/>
              </w:rPr>
            </w:pPr>
          </w:p>
        </w:tc>
        <w:tc>
          <w:tcPr>
            <w:tcW w:w="848" w:type="pct"/>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noWrap w:val="0"/>
            <w:vAlign w:val="center"/>
          </w:tcPr>
          <w:p>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897" w:type="pct"/>
            <w:noWrap w:val="0"/>
            <w:vAlign w:val="center"/>
          </w:tcPr>
          <w:p>
            <w:pPr>
              <w:spacing w:line="240" w:lineRule="auto"/>
              <w:ind w:left="0"/>
              <w:jc w:val="center"/>
              <w:rPr>
                <w:rFonts w:hint="eastAsia" w:ascii="仿宋" w:hAnsi="仿宋" w:eastAsia="仿宋" w:cs="仿宋"/>
                <w:sz w:val="24"/>
                <w:szCs w:val="24"/>
                <w:highlight w:val="none"/>
              </w:rPr>
            </w:pPr>
          </w:p>
        </w:tc>
        <w:tc>
          <w:tcPr>
            <w:tcW w:w="848" w:type="pct"/>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noWrap w:val="0"/>
            <w:vAlign w:val="center"/>
          </w:tcPr>
          <w:p>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897" w:type="pct"/>
            <w:noWrap w:val="0"/>
            <w:vAlign w:val="center"/>
          </w:tcPr>
          <w:p>
            <w:pPr>
              <w:spacing w:line="240" w:lineRule="auto"/>
              <w:ind w:left="0"/>
              <w:jc w:val="center"/>
              <w:rPr>
                <w:rFonts w:hint="eastAsia" w:ascii="仿宋" w:hAnsi="仿宋" w:eastAsia="仿宋" w:cs="仿宋"/>
                <w:sz w:val="24"/>
                <w:szCs w:val="24"/>
                <w:highlight w:val="none"/>
              </w:rPr>
            </w:pPr>
          </w:p>
        </w:tc>
        <w:tc>
          <w:tcPr>
            <w:tcW w:w="848" w:type="pct"/>
            <w:noWrap w:val="0"/>
            <w:vAlign w:val="center"/>
          </w:tcPr>
          <w:p>
            <w:pPr>
              <w:spacing w:line="240" w:lineRule="auto"/>
              <w:ind w:left="0"/>
              <w:jc w:val="center"/>
              <w:rPr>
                <w:rFonts w:hint="eastAsia" w:ascii="仿宋" w:hAnsi="仿宋" w:eastAsia="仿宋" w:cs="仿宋"/>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noWrap w:val="0"/>
            <w:vAlign w:val="center"/>
          </w:tcPr>
          <w:p>
            <w:pPr>
              <w:pStyle w:val="46"/>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pPr>
              <w:pStyle w:val="46"/>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pPr>
              <w:pStyle w:val="46"/>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noWrap w:val="0"/>
            <w:vAlign w:val="center"/>
          </w:tcPr>
          <w:p>
            <w:pPr>
              <w:pStyle w:val="46"/>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pPr>
        <w:pStyle w:val="15"/>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rPr>
        <w:t>投标人务必完整填写上述《供应商基本情况表》中的相关信息，如无对应人员或内容的，应填写“无”，否则引起的不利后果由其自行承担。</w:t>
      </w:r>
    </w:p>
    <w:p>
      <w:pPr>
        <w:pStyle w:val="15"/>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15"/>
        <w:ind w:firstLine="482" w:firstLineChars="200"/>
        <w:rPr>
          <w:rFonts w:hint="eastAsia"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投标时需提供以下附件，该要求作为供应商资格性审查的证明材料。如未提供，视为未提供资格审查的相关证明材料，按资格审查不通过处理。</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pPr>
        <w:pStyle w:val="15"/>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pPr>
        <w:pStyle w:val="15"/>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pPr>
        <w:pStyle w:val="15"/>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15"/>
        <w:rPr>
          <w:rFonts w:hint="eastAsia" w:ascii="仿宋" w:hAnsi="仿宋" w:eastAsia="仿宋" w:cs="仿宋"/>
          <w:b/>
          <w:bCs/>
          <w:color w:val="auto"/>
          <w:sz w:val="24"/>
          <w:szCs w:val="24"/>
          <w:highlight w:val="none"/>
        </w:rPr>
      </w:pPr>
    </w:p>
    <w:p>
      <w:pPr>
        <w:pStyle w:val="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pPr>
        <w:pStyle w:val="10"/>
        <w:adjustRightInd w:val="0"/>
        <w:snapToGrid w:val="0"/>
        <w:spacing w:line="360" w:lineRule="auto"/>
        <w:rPr>
          <w:rFonts w:hint="eastAsia" w:hAnsi="宋体" w:cs="宋体"/>
          <w:szCs w:val="21"/>
        </w:rPr>
      </w:pPr>
    </w:p>
    <w:p>
      <w:pPr>
        <w:pStyle w:val="10"/>
        <w:adjustRightInd w:val="0"/>
        <w:snapToGrid w:val="0"/>
        <w:spacing w:line="360" w:lineRule="auto"/>
        <w:rPr>
          <w:rFonts w:hint="eastAsia" w:hAnsi="宋体" w:cs="宋体"/>
          <w:szCs w:val="21"/>
        </w:rPr>
      </w:pPr>
    </w:p>
    <w:p>
      <w:pPr>
        <w:pStyle w:val="10"/>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兹证明，上述说明属实，并已提供相应资料和数据，我方同意遵照贵方要求出示有关证明文件。</w:t>
      </w:r>
    </w:p>
    <w:p>
      <w:pPr>
        <w:pStyle w:val="10"/>
        <w:adjustRightInd w:val="0"/>
        <w:snapToGrid w:val="0"/>
        <w:spacing w:line="360" w:lineRule="auto"/>
        <w:rPr>
          <w:rFonts w:hint="eastAsia" w:ascii="仿宋" w:hAnsi="仿宋" w:eastAsia="仿宋" w:cs="仿宋"/>
          <w:sz w:val="24"/>
          <w:szCs w:val="24"/>
        </w:rPr>
      </w:pPr>
    </w:p>
    <w:p>
      <w:pPr>
        <w:pStyle w:val="10"/>
        <w:adjustRightInd w:val="0"/>
        <w:snapToGrid w:val="0"/>
        <w:spacing w:line="360" w:lineRule="auto"/>
        <w:rPr>
          <w:rFonts w:hint="eastAsia" w:ascii="仿宋" w:hAnsi="仿宋" w:eastAsia="仿宋" w:cs="仿宋"/>
          <w:sz w:val="24"/>
          <w:szCs w:val="24"/>
        </w:rPr>
      </w:pPr>
    </w:p>
    <w:p>
      <w:pPr>
        <w:pStyle w:val="10"/>
        <w:adjustRightInd w:val="0"/>
        <w:snapToGrid w:val="0"/>
        <w:spacing w:line="360" w:lineRule="auto"/>
        <w:ind w:firstLine="2160" w:firstLineChars="900"/>
        <w:rPr>
          <w:rFonts w:hint="eastAsia" w:ascii="仿宋" w:hAnsi="仿宋" w:eastAsia="仿宋" w:cs="仿宋"/>
          <w:sz w:val="24"/>
          <w:szCs w:val="24"/>
        </w:rPr>
      </w:pPr>
      <w:r>
        <w:rPr>
          <w:rFonts w:hint="eastAsia" w:ascii="仿宋" w:hAnsi="仿宋" w:eastAsia="仿宋" w:cs="仿宋"/>
          <w:sz w:val="24"/>
          <w:szCs w:val="24"/>
        </w:rPr>
        <w:t xml:space="preserve">投标人（公章）：               </w:t>
      </w:r>
    </w:p>
    <w:p>
      <w:pPr>
        <w:pStyle w:val="10"/>
        <w:adjustRightInd w:val="0"/>
        <w:snapToGrid w:val="0"/>
        <w:spacing w:line="360" w:lineRule="auto"/>
        <w:ind w:firstLine="2160" w:firstLineChars="900"/>
        <w:rPr>
          <w:rFonts w:hint="eastAsia" w:ascii="仿宋" w:hAnsi="仿宋" w:eastAsia="仿宋" w:cs="仿宋"/>
          <w:sz w:val="24"/>
          <w:szCs w:val="24"/>
        </w:rPr>
      </w:pPr>
      <w:r>
        <w:rPr>
          <w:rFonts w:hint="eastAsia" w:ascii="仿宋" w:hAnsi="仿宋" w:eastAsia="仿宋" w:cs="仿宋"/>
          <w:sz w:val="24"/>
          <w:szCs w:val="24"/>
        </w:rPr>
        <w:t>法定代表人（负责人）或其授权代表签字或签章：</w:t>
      </w:r>
    </w:p>
    <w:p>
      <w:pPr>
        <w:pStyle w:val="10"/>
        <w:adjustRightInd w:val="0"/>
        <w:snapToGrid w:val="0"/>
        <w:spacing w:line="360" w:lineRule="auto"/>
        <w:ind w:firstLine="2160" w:firstLineChars="900"/>
        <w:rPr>
          <w:rFonts w:hint="eastAsia" w:ascii="仿宋" w:hAnsi="仿宋" w:eastAsia="仿宋" w:cs="仿宋"/>
          <w:sz w:val="24"/>
          <w:szCs w:val="24"/>
        </w:rPr>
      </w:pPr>
      <w:r>
        <w:rPr>
          <w:rFonts w:hint="eastAsia" w:ascii="仿宋" w:hAnsi="仿宋" w:eastAsia="仿宋" w:cs="仿宋"/>
          <w:sz w:val="24"/>
          <w:szCs w:val="24"/>
        </w:rPr>
        <w:t>日期：      年    月    日</w:t>
      </w:r>
    </w:p>
    <w:p>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服务需求明细”的“服务需求名称”一栏为准）；如果涉及多项服务（标的）为同一企业制造，“标的名称”下划线处可以如实填写多项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pPr>
        <w:pStyle w:val="6"/>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sz w:val="24"/>
          <w:szCs w:val="24"/>
          <w:highlight w:val="none"/>
          <w:u w:val="single"/>
        </w:rPr>
        <w:t>2025年度审计服务</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pPr>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pPr>
        <w:widowControl w:val="0"/>
        <w:jc w:val="both"/>
        <w:rPr>
          <w:rFonts w:hint="eastAsia" w:ascii="仿宋" w:hAnsi="仿宋" w:eastAsia="仿宋" w:cs="仿宋"/>
          <w:b/>
          <w:bCs/>
          <w:sz w:val="24"/>
          <w:szCs w:val="24"/>
          <w:highlight w:val="none"/>
        </w:rPr>
      </w:pPr>
    </w:p>
    <w:p>
      <w:pPr>
        <w:widowControl w:val="0"/>
        <w:jc w:val="both"/>
        <w:rPr>
          <w:rFonts w:hint="eastAsia" w:ascii="仿宋" w:hAnsi="仿宋" w:eastAsia="仿宋" w:cs="仿宋"/>
          <w:color w:val="FF0000"/>
          <w:kern w:val="2"/>
          <w:sz w:val="24"/>
          <w:szCs w:val="24"/>
          <w:highlight w:val="none"/>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66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158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8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13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664" w:type="dxa"/>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项目负责人：</w:t>
            </w:r>
          </w:p>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1.人员数量：1人；</w:t>
            </w:r>
          </w:p>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3.项目负责人具有注册会计师证书（提供证书扫描件，原件备查；如国家另有规定，则适用其规定）。</w:t>
            </w:r>
          </w:p>
          <w:p>
            <w:pPr>
              <w:keepNext w:val="0"/>
              <w:keepLines w:val="0"/>
              <w:suppressLineNumbers w:val="0"/>
              <w:spacing w:before="0" w:beforeAutospacing="0" w:after="0" w:afterAutospacing="0"/>
              <w:ind w:left="0" w:leftChars="0" w:right="0" w:rightChars="0"/>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4.合同签订后提供项目组成员分工名单，经采购人认可。项目组人员在服务期内不得调整更换，如因特殊情况确需调整更换，需经采购人同意后再作变更。</w:t>
            </w:r>
          </w:p>
        </w:tc>
        <w:tc>
          <w:tcPr>
            <w:tcW w:w="1588" w:type="dxa"/>
            <w:vAlign w:val="center"/>
          </w:tcPr>
          <w:p>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b/>
                <w:sz w:val="24"/>
                <w:highlight w:val="yellow"/>
                <w:lang w:val="en-US" w:eastAsia="zh-CN"/>
              </w:rPr>
            </w:pPr>
            <w:r>
              <w:rPr>
                <w:rFonts w:hint="eastAsia" w:ascii="仿宋" w:hAnsi="仿宋" w:eastAsia="仿宋" w:cs="仿宋"/>
                <w:b/>
                <w:sz w:val="24"/>
                <w:highlight w:val="yellow"/>
                <w:lang w:val="en-US" w:eastAsia="zh-CN"/>
              </w:rPr>
              <w:t>“投标响应”一栏应当详细填写投标人自身响应情况，而不能不合理照搬照抄实质性条款具体内容。存在未填写或响应不全（包括未填写整项实质性条款具体内容或者仅填写响应、全部响应等情况）均视为负偏离。</w:t>
            </w:r>
          </w:p>
          <w:p>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kern w:val="0"/>
                <w:sz w:val="24"/>
                <w:szCs w:val="24"/>
                <w:highlight w:val="none"/>
              </w:rPr>
            </w:pPr>
          </w:p>
        </w:tc>
        <w:tc>
          <w:tcPr>
            <w:tcW w:w="1842" w:type="dxa"/>
            <w:vAlign w:val="center"/>
          </w:tcPr>
          <w:p>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b/>
                <w:sz w:val="24"/>
                <w:highlight w:val="yellow"/>
                <w:lang w:val="en-US" w:eastAsia="zh-CN"/>
              </w:rPr>
            </w:pPr>
            <w:r>
              <w:rPr>
                <w:rFonts w:hint="eastAsia" w:ascii="仿宋" w:hAnsi="仿宋" w:eastAsia="仿宋" w:cs="仿宋"/>
                <w:b/>
                <w:sz w:val="24"/>
                <w:highlight w:val="yellow"/>
                <w:lang w:val="en-US"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 w:val="24"/>
                <w:szCs w:val="24"/>
                <w:highlight w:val="none"/>
              </w:rPr>
            </w:pPr>
          </w:p>
        </w:tc>
        <w:tc>
          <w:tcPr>
            <w:tcW w:w="1393"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664" w:type="dxa"/>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团队成员（项目负责人除外）</w:t>
            </w:r>
            <w:r>
              <w:rPr>
                <w:rFonts w:hint="eastAsia" w:ascii="仿宋" w:hAnsi="仿宋" w:eastAsia="仿宋" w:cs="仿宋"/>
                <w:sz w:val="24"/>
                <w:szCs w:val="24"/>
                <w:highlight w:val="none"/>
                <w:lang w:eastAsia="zh-CN"/>
              </w:rPr>
              <w:t>：</w:t>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1.人员数量：至少3人；</w:t>
            </w:r>
          </w:p>
          <w:p>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suppressLineNumbers w:val="0"/>
              <w:spacing w:before="0" w:beforeAutospacing="0" w:after="0" w:afterAutospacing="0"/>
              <w:ind w:left="0" w:leftChars="0" w:right="0" w:rightChars="0"/>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3.合同签订后提供项目组成员分工名单，经采购人认可。项目组人员在服务期内不得调整更换，如因特殊情况确需调整更换，需经采购人同意后再作变更。</w:t>
            </w:r>
          </w:p>
        </w:tc>
        <w:tc>
          <w:tcPr>
            <w:tcW w:w="1588" w:type="dxa"/>
            <w:vAlign w:val="center"/>
          </w:tcPr>
          <w:p>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b/>
                <w:sz w:val="24"/>
                <w:highlight w:val="yellow"/>
                <w:lang w:val="en-US" w:eastAsia="zh-CN"/>
              </w:rPr>
            </w:pPr>
            <w:r>
              <w:rPr>
                <w:rFonts w:hint="eastAsia" w:ascii="仿宋" w:hAnsi="仿宋" w:eastAsia="仿宋" w:cs="仿宋"/>
                <w:b/>
                <w:sz w:val="24"/>
                <w:highlight w:val="yellow"/>
                <w:lang w:val="en-US" w:eastAsia="zh-CN"/>
              </w:rPr>
              <w:t>“投标响应”一栏应当详细填写投标人自身响应情况，而不能不合理照搬照抄实质性条款具体内容。存在未填写或响应不全（包括未填写整项实质性条款具体内容或者仅填写响应、全部响应等情况）均视为负偏离。</w:t>
            </w:r>
          </w:p>
          <w:p>
            <w:pPr>
              <w:keepNext w:val="0"/>
              <w:keepLines w:val="0"/>
              <w:suppressLineNumbers w:val="0"/>
              <w:adjustRightInd w:val="0"/>
              <w:snapToGrid w:val="0"/>
              <w:spacing w:before="0" w:beforeAutospacing="0" w:after="0" w:afterAutospacing="0" w:line="360" w:lineRule="auto"/>
              <w:ind w:left="0" w:leftChars="0" w:right="0" w:rightChars="0"/>
              <w:jc w:val="both"/>
              <w:rPr>
                <w:rFonts w:hint="default" w:ascii="宋体" w:hAnsi="宋体"/>
                <w:kern w:val="0"/>
                <w:sz w:val="24"/>
                <w:szCs w:val="24"/>
                <w:highlight w:val="none"/>
              </w:rPr>
            </w:pPr>
          </w:p>
        </w:tc>
        <w:tc>
          <w:tcPr>
            <w:tcW w:w="1842" w:type="dxa"/>
            <w:vAlign w:val="center"/>
          </w:tcPr>
          <w:p>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b/>
                <w:sz w:val="24"/>
                <w:highlight w:val="yellow"/>
                <w:lang w:val="en-US" w:eastAsia="zh-CN"/>
              </w:rPr>
            </w:pPr>
            <w:r>
              <w:rPr>
                <w:rFonts w:hint="eastAsia" w:ascii="仿宋" w:hAnsi="仿宋" w:eastAsia="仿宋" w:cs="仿宋"/>
                <w:b/>
                <w:sz w:val="24"/>
                <w:highlight w:val="yellow"/>
                <w:lang w:val="en-US"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宋体" w:hAnsi="宋体"/>
                <w:kern w:val="0"/>
                <w:sz w:val="24"/>
                <w:szCs w:val="24"/>
                <w:highlight w:val="none"/>
              </w:rPr>
            </w:pPr>
          </w:p>
        </w:tc>
        <w:tc>
          <w:tcPr>
            <w:tcW w:w="1393"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bl>
    <w:p>
      <w:pPr>
        <w:numPr>
          <w:ilvl w:val="0"/>
          <w:numId w:val="0"/>
        </w:numPr>
        <w:ind w:leftChars="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pPr>
        <w:numPr>
          <w:ilvl w:val="0"/>
          <w:numId w:val="0"/>
        </w:numPr>
        <w:ind w:leftChars="0" w:firstLine="482" w:firstLineChars="200"/>
        <w:jc w:val="both"/>
        <w:rPr>
          <w:rFonts w:hint="eastAsia" w:ascii="仿宋" w:hAnsi="仿宋" w:eastAsia="仿宋" w:cs="仿宋"/>
          <w:b/>
          <w:sz w:val="24"/>
          <w:highlight w:val="yellow"/>
          <w:lang w:val="en-US" w:eastAsia="zh-CN"/>
        </w:rPr>
      </w:pPr>
      <w:r>
        <w:rPr>
          <w:rFonts w:hint="eastAsia" w:ascii="仿宋" w:hAnsi="仿宋" w:eastAsia="仿宋" w:cs="仿宋"/>
          <w:b/>
          <w:sz w:val="24"/>
          <w:highlight w:val="yellow"/>
          <w:lang w:val="en-US" w:eastAsia="zh-CN"/>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pPr>
        <w:numPr>
          <w:ilvl w:val="0"/>
          <w:numId w:val="0"/>
        </w:numPr>
        <w:ind w:leftChars="0" w:firstLine="482" w:firstLineChars="200"/>
        <w:jc w:val="both"/>
        <w:rPr>
          <w:rFonts w:hint="eastAsia" w:ascii="仿宋" w:hAnsi="仿宋" w:eastAsia="仿宋" w:cs="仿宋"/>
          <w:b/>
          <w:sz w:val="24"/>
          <w:highlight w:val="yellow"/>
          <w:lang w:val="en-US" w:eastAsia="zh-CN"/>
        </w:rPr>
      </w:pPr>
      <w:r>
        <w:rPr>
          <w:rFonts w:hint="eastAsia" w:ascii="仿宋" w:hAnsi="仿宋" w:eastAsia="仿宋" w:cs="仿宋"/>
          <w:b/>
          <w:sz w:val="24"/>
          <w:highlight w:val="yellow"/>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pPr>
        <w:numPr>
          <w:ilvl w:val="0"/>
          <w:numId w:val="0"/>
        </w:numPr>
        <w:ind w:leftChars="0"/>
        <w:jc w:val="both"/>
        <w:rPr>
          <w:rFonts w:hint="eastAsia" w:ascii="仿宋" w:hAnsi="仿宋" w:eastAsia="仿宋" w:cs="仿宋"/>
          <w:b/>
          <w:sz w:val="24"/>
          <w:highlight w:val="none"/>
          <w:lang w:val="en-US" w:eastAsia="zh-CN"/>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七、合同条款及格式</w:t>
      </w:r>
    </w:p>
    <w:p>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pPr>
        <w:autoSpaceDE w:val="0"/>
        <w:autoSpaceDN w:val="0"/>
        <w:adjustRightInd w:val="0"/>
        <w:spacing w:before="16" w:line="520" w:lineRule="exact"/>
        <w:rPr>
          <w:rFonts w:hint="eastAsia" w:ascii="仿宋" w:hAnsi="仿宋" w:eastAsia="仿宋" w:cs="仿宋"/>
          <w:b/>
          <w:bCs/>
          <w:kern w:val="0"/>
          <w:sz w:val="24"/>
          <w:szCs w:val="24"/>
          <w:u w:val="single"/>
        </w:rPr>
      </w:pPr>
      <w:r>
        <w:rPr>
          <w:rFonts w:hint="eastAsia" w:ascii="仿宋" w:hAnsi="仿宋" w:eastAsia="仿宋" w:cs="仿宋"/>
          <w:b/>
          <w:bCs/>
          <w:kern w:val="2"/>
          <w:sz w:val="28"/>
          <w:highlight w:val="none"/>
          <w:lang w:val="en-US" w:eastAsia="zh-CN"/>
        </w:rPr>
        <w:t xml:space="preserve">   </w:t>
      </w:r>
      <w:r>
        <w:rPr>
          <w:rFonts w:hint="eastAsia" w:ascii="仿宋" w:hAnsi="仿宋" w:eastAsia="仿宋" w:cs="仿宋"/>
          <w:kern w:val="0"/>
          <w:sz w:val="24"/>
          <w:szCs w:val="24"/>
        </w:rPr>
        <w:t>甲方：</w:t>
      </w:r>
    </w:p>
    <w:p>
      <w:pPr>
        <w:autoSpaceDE w:val="0"/>
        <w:autoSpaceDN w:val="0"/>
        <w:adjustRightInd w:val="0"/>
        <w:spacing w:before="16" w:line="5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乙方：</w:t>
      </w:r>
    </w:p>
    <w:p>
      <w:pPr>
        <w:autoSpaceDE w:val="0"/>
        <w:autoSpaceDN w:val="0"/>
        <w:adjustRightInd w:val="0"/>
        <w:spacing w:line="360" w:lineRule="auto"/>
        <w:ind w:firstLine="484" w:firstLineChars="202"/>
        <w:rPr>
          <w:rFonts w:hint="eastAsia" w:ascii="仿宋" w:hAnsi="仿宋" w:eastAsia="仿宋" w:cs="仿宋"/>
          <w:kern w:val="0"/>
          <w:sz w:val="24"/>
          <w:szCs w:val="24"/>
        </w:rPr>
      </w:pPr>
      <w:r>
        <w:rPr>
          <w:rFonts w:hint="eastAsia" w:ascii="仿宋" w:hAnsi="仿宋" w:eastAsia="仿宋" w:cs="仿宋"/>
          <w:kern w:val="0"/>
          <w:sz w:val="24"/>
          <w:szCs w:val="24"/>
        </w:rPr>
        <w:t>兹由甲方委托乙方对甲方开展审计工作事宜，根据《中华人民共和国民法典》及相关法律法规的规定，经双方协商，达成以下约定：</w:t>
      </w:r>
    </w:p>
    <w:p>
      <w:pPr>
        <w:pStyle w:val="36"/>
        <w:numPr>
          <w:ilvl w:val="-1"/>
          <w:numId w:val="0"/>
        </w:numPr>
        <w:autoSpaceDE w:val="0"/>
        <w:autoSpaceDN w:val="0"/>
        <w:adjustRightInd w:val="0"/>
        <w:spacing w:before="240" w:line="520" w:lineRule="exact"/>
        <w:ind w:left="426" w:right="-23" w:firstLine="0" w:firstLineChars="0"/>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一、</w:t>
      </w:r>
      <w:r>
        <w:rPr>
          <w:rFonts w:hint="eastAsia" w:ascii="仿宋" w:hAnsi="仿宋" w:eastAsia="仿宋" w:cs="仿宋"/>
          <w:b/>
          <w:kern w:val="0"/>
          <w:sz w:val="24"/>
          <w:szCs w:val="24"/>
        </w:rPr>
        <w:t>审计内容</w:t>
      </w:r>
      <w:r>
        <w:rPr>
          <w:rFonts w:hint="eastAsia" w:ascii="仿宋" w:hAnsi="仿宋" w:eastAsia="仿宋" w:cs="仿宋"/>
          <w:b/>
          <w:kern w:val="0"/>
          <w:sz w:val="24"/>
          <w:szCs w:val="24"/>
          <w:lang w:eastAsia="zh-CN"/>
        </w:rPr>
        <w:t>：</w:t>
      </w:r>
    </w:p>
    <w:p>
      <w:pPr>
        <w:autoSpaceDE w:val="0"/>
        <w:autoSpaceDN w:val="0"/>
        <w:adjustRightInd w:val="0"/>
        <w:spacing w:line="520" w:lineRule="exact"/>
        <w:ind w:firstLine="484" w:firstLineChars="20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乙方接受甲方委托，对甲方以下内容实施审计：</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1.202</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年度</w:t>
      </w:r>
      <w:r>
        <w:rPr>
          <w:rFonts w:hint="eastAsia" w:ascii="仿宋" w:hAnsi="仿宋" w:eastAsia="仿宋" w:cs="仿宋"/>
          <w:color w:val="auto"/>
          <w:kern w:val="0"/>
          <w:sz w:val="24"/>
          <w:szCs w:val="24"/>
          <w:highlight w:val="none"/>
          <w:lang w:val="en-US" w:eastAsia="zh-CN"/>
        </w:rPr>
        <w:t>财务</w:t>
      </w:r>
      <w:r>
        <w:rPr>
          <w:rFonts w:hint="eastAsia" w:ascii="仿宋" w:hAnsi="仿宋" w:eastAsia="仿宋" w:cs="仿宋"/>
          <w:color w:val="auto"/>
          <w:kern w:val="0"/>
          <w:sz w:val="24"/>
          <w:szCs w:val="24"/>
          <w:highlight w:val="none"/>
        </w:rPr>
        <w:t>报表审计（包括资产负债表、收入费用总表、现金流量表、财政补助收支情况表以及有关附表、医院财务报表附注等）。</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实施2025年度内部控制评价应当按照行政事业单位内部控制评价基本指标，以真实佐证材料为支撑，客观评价内部控制建立与实施情况。具体</w:t>
      </w:r>
      <w:r>
        <w:rPr>
          <w:rFonts w:hint="eastAsia" w:ascii="仿宋" w:hAnsi="仿宋" w:eastAsia="仿宋" w:cs="仿宋"/>
          <w:color w:val="auto"/>
          <w:kern w:val="0"/>
          <w:sz w:val="24"/>
          <w:szCs w:val="24"/>
          <w:highlight w:val="none"/>
          <w:lang w:eastAsia="zh-CN"/>
        </w:rPr>
        <w:t>分为</w:t>
      </w:r>
      <w:r>
        <w:rPr>
          <w:rFonts w:hint="eastAsia" w:ascii="仿宋" w:hAnsi="仿宋" w:eastAsia="仿宋" w:cs="仿宋"/>
          <w:color w:val="auto"/>
          <w:kern w:val="0"/>
          <w:sz w:val="24"/>
          <w:szCs w:val="24"/>
          <w:highlight w:val="none"/>
        </w:rPr>
        <w:t>内部控制设计有效性评价和内部控制运行有效性评价，</w:t>
      </w:r>
      <w:r>
        <w:rPr>
          <w:rFonts w:hint="eastAsia" w:ascii="仿宋" w:hAnsi="仿宋" w:eastAsia="仿宋" w:cs="仿宋"/>
          <w:color w:val="auto"/>
          <w:kern w:val="0"/>
          <w:sz w:val="24"/>
          <w:szCs w:val="24"/>
          <w:highlight w:val="none"/>
          <w:lang w:val="en-US" w:eastAsia="zh-CN"/>
        </w:rPr>
        <w:t>评价业务范围应涵盖组织层面内部控制情况、业务层面内部控制情况、内部监督情况以及其他情况，其中组织层面内部控制情况包括：议事决策机制、规范权力运行情况、内部控制组织架构设置及运行情况、会计核算和财务报告情况、内部控制信息系统建立与实施情况；业务层面内部控制情况包括：</w:t>
      </w:r>
      <w:r>
        <w:rPr>
          <w:rFonts w:hint="eastAsia" w:ascii="仿宋" w:hAnsi="仿宋" w:eastAsia="仿宋" w:cs="仿宋"/>
          <w:color w:val="auto"/>
          <w:kern w:val="0"/>
          <w:sz w:val="24"/>
          <w:szCs w:val="24"/>
          <w:highlight w:val="none"/>
        </w:rPr>
        <w:t>预算管理、收支管理、政府采购管理情况、资产管理情况、建设项目管理情况、合同管理情况</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内部监督情况包括：内部监督制度建立和实施情况</w:t>
      </w:r>
      <w:r>
        <w:rPr>
          <w:rFonts w:hint="eastAsia" w:ascii="仿宋" w:hAnsi="仿宋" w:eastAsia="仿宋" w:cs="仿宋"/>
          <w:color w:val="auto"/>
          <w:kern w:val="0"/>
          <w:sz w:val="24"/>
          <w:szCs w:val="24"/>
          <w:highlight w:val="none"/>
        </w:rPr>
        <w:t>。内部控制评价报告至少应当包括：真实性声明、评价工作总体情况、评价依据、评价范围、评价程序和防范、风险及其认定、风险整改及对重大风险拟采取的控制措施、评价结论等内容。</w:t>
      </w:r>
    </w:p>
    <w:p>
      <w:pPr>
        <w:autoSpaceDE w:val="0"/>
        <w:autoSpaceDN w:val="0"/>
        <w:adjustRightInd w:val="0"/>
        <w:spacing w:line="520" w:lineRule="exact"/>
        <w:ind w:firstLine="484" w:firstLineChars="202"/>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实施2025年度风险评估旨在全面识别经济活动内部控制中的潜在风险点，优化内部控制流程，强化廉政风险防控机制，提升决策科学性，确保单位内控管理的合规性。系统梳理内部控制管理现状，深度剖析现有制度及业务流程中存在的漏洞，精准定位风险隐患点，评估范围分为：单位层面风险和业务活动层面风险，其中单位层面风险主要包括：内部控制工作组织情况、内部控制机制建设情况、内部管理制度及业务流程图完善情况、内部控制关键岗位情况、财务信息的编报情况、内部控制信息系统建设情况及其他情况等；业务层面风险主要包括：预算业务、收支业务、采购业务、资产业务、建设项目业务、合同业务及其他业务等各项经济活动。</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二、双方的责任</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（一）甲方的责任</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1.根据《</w:t>
      </w:r>
      <w:r>
        <w:rPr>
          <w:rFonts w:hint="eastAsia" w:ascii="仿宋" w:hAnsi="仿宋" w:eastAsia="仿宋" w:cs="仿宋"/>
          <w:color w:val="auto"/>
          <w:kern w:val="0"/>
          <w:sz w:val="24"/>
          <w:szCs w:val="24"/>
          <w:lang w:val="en-US" w:eastAsia="zh-CN"/>
        </w:rPr>
        <w:t>中华人民共和国会计法</w:t>
      </w:r>
      <w:r>
        <w:rPr>
          <w:rFonts w:hint="eastAsia" w:ascii="仿宋" w:hAnsi="仿宋" w:eastAsia="仿宋" w:cs="仿宋"/>
          <w:color w:val="auto"/>
          <w:kern w:val="0"/>
          <w:sz w:val="24"/>
          <w:szCs w:val="24"/>
        </w:rPr>
        <w:t>》，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2.按照《</w:t>
      </w:r>
      <w:r>
        <w:rPr>
          <w:rFonts w:hint="eastAsia" w:ascii="仿宋" w:hAnsi="仿宋" w:eastAsia="仿宋" w:cs="仿宋"/>
          <w:color w:val="auto"/>
          <w:kern w:val="0"/>
          <w:sz w:val="24"/>
          <w:szCs w:val="24"/>
          <w:lang w:val="en-US" w:eastAsia="zh-CN"/>
        </w:rPr>
        <w:t>政府会计准则</w:t>
      </w:r>
      <w:r>
        <w:rPr>
          <w:rFonts w:hint="eastAsia" w:ascii="仿宋" w:hAnsi="仿宋" w:eastAsia="仿宋" w:cs="仿宋"/>
          <w:color w:val="auto"/>
          <w:kern w:val="0"/>
          <w:sz w:val="24"/>
          <w:szCs w:val="24"/>
        </w:rPr>
        <w:t>》的规定编制和公允列报财务报表是甲方管理层的责任，这种责任包括：（1）按照《</w:t>
      </w:r>
      <w:r>
        <w:rPr>
          <w:rFonts w:hint="eastAsia" w:ascii="仿宋" w:hAnsi="仿宋" w:eastAsia="仿宋" w:cs="仿宋"/>
          <w:color w:val="auto"/>
          <w:kern w:val="0"/>
          <w:sz w:val="24"/>
          <w:szCs w:val="24"/>
          <w:lang w:val="en-US" w:eastAsia="zh-CN"/>
        </w:rPr>
        <w:t>政府会计准则</w:t>
      </w:r>
      <w:r>
        <w:rPr>
          <w:rFonts w:hint="eastAsia" w:ascii="仿宋" w:hAnsi="仿宋" w:eastAsia="仿宋" w:cs="仿宋"/>
          <w:color w:val="auto"/>
          <w:kern w:val="0"/>
          <w:sz w:val="24"/>
          <w:szCs w:val="24"/>
        </w:rPr>
        <w:t>》的规定编制财务报表，并使其公允反映；（2）设计、实施和维护必要的内部控制，以使财务报表不存在由于舞弊或错误而导致的重大错报。</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3.及时为乙方的审计工作提供与审计有关的所有记录、文件和所需要的其他有关资料，并保证所提供资料的真实性和完整性。</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4.确保乙方不受限制地接触其认为必要的甲方内部人员和</w:t>
      </w:r>
      <w:r>
        <w:rPr>
          <w:rFonts w:hint="eastAsia" w:ascii="仿宋" w:hAnsi="仿宋" w:eastAsia="仿宋" w:cs="仿宋"/>
          <w:color w:val="auto"/>
          <w:kern w:val="0"/>
          <w:sz w:val="24"/>
          <w:szCs w:val="24"/>
          <w:lang w:eastAsia="zh-CN"/>
        </w:rPr>
        <w:t>其他</w:t>
      </w:r>
      <w:r>
        <w:rPr>
          <w:rFonts w:hint="eastAsia" w:ascii="仿宋" w:hAnsi="仿宋" w:eastAsia="仿宋" w:cs="仿宋"/>
          <w:color w:val="auto"/>
          <w:kern w:val="0"/>
          <w:sz w:val="24"/>
          <w:szCs w:val="24"/>
        </w:rPr>
        <w:t>相关人员。</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5.甲方管理层对其作出的与审计有关的声明予以书面确认。</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6.为乙方派出的有关工作人员提供必要的工作条件和协助，乙方将于外勤工作开始前提供主要事项清单。</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7.按照本约定书的约定及时足额支付审计费用和其他相关费用。</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8.乙方的审计不能减轻甲方及甲方管理层的责任。</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（二）乙方的责任</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1.乙方根据《政府会计准则》、《行政事业单位内部控制规范（试行）》、《公立医院内部控制管理办法》及中国注册会计师执业准则的规定执行工作。</w:t>
      </w:r>
    </w:p>
    <w:p>
      <w:pPr>
        <w:autoSpaceDE w:val="0"/>
        <w:autoSpaceDN w:val="0"/>
        <w:adjustRightInd w:val="0"/>
        <w:spacing w:line="520" w:lineRule="exact"/>
        <w:ind w:firstLine="484" w:firstLineChars="202"/>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乙方的责任是在执行审计工作的基础上对甲方财务报表和甲方财务报告内部控制有效性发表审计意见，并对注意到的甲方非财务报告内部控制的重大缺陷进行披露。乙方根据中国注册会计师审计准则（以下简称审计准则）的规定执行审计。审计准则要求注册会计师遵守中国注册会计师职业道德守则，计划和执行审计工作，以对财务报表是否不存在重大错报和财务报告内部控制设计和运行的有效性评价获取合理保证。</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审计工作涉及实施审计程序，以获取有关财务报表金额和披露的审计证据。选择的审计程序取决于乙方的判断，包括对由于舞弊或错误导致的财务报表重大错报风险的评估。在进行风险评估时，乙方考虑与财务报表编制和公允列报相关的内部控制，以设计恰当的审计</w:t>
      </w:r>
      <w:r>
        <w:rPr>
          <w:rFonts w:hint="eastAsia" w:ascii="仿宋" w:hAnsi="仿宋" w:eastAsia="仿宋" w:cs="仿宋"/>
          <w:color w:val="auto"/>
          <w:kern w:val="0"/>
          <w:sz w:val="24"/>
          <w:szCs w:val="24"/>
          <w:highlight w:val="none"/>
        </w:rPr>
        <w:t>程序，并对内部控制的有效性发表意见。审计工作还包括评价管理层选用会计政策的恰当性和作出会计估计的合理性，以及评价财务报表的总体列报。</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在审计过程中，乙方若发现甲方存在乙方认为值得关注的内部控制缺陷，应以书面形式向甲方治理层或管理层通报。甲方在实施乙方提出的改进建议前应全面评估其影响。未经乙方书面许可，甲方不得向任何第三方提供乙方出具的沟通文件。</w:t>
      </w:r>
    </w:p>
    <w:p>
      <w:pPr>
        <w:autoSpaceDE w:val="0"/>
        <w:autoSpaceDN w:val="0"/>
        <w:adjustRightInd w:val="0"/>
        <w:spacing w:line="520" w:lineRule="exact"/>
        <w:ind w:firstLine="484" w:firstLineChars="202"/>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5.</w:t>
      </w:r>
      <w:r>
        <w:rPr>
          <w:rFonts w:hint="eastAsia" w:ascii="仿宋" w:hAnsi="仿宋" w:eastAsia="仿宋" w:cs="仿宋"/>
          <w:color w:val="auto"/>
          <w:kern w:val="0"/>
          <w:sz w:val="24"/>
          <w:szCs w:val="24"/>
          <w:highlight w:val="none"/>
          <w:lang w:val="en-US" w:eastAsia="zh-CN"/>
        </w:rPr>
        <w:t>按照约定时间完成审计工作，出具审计报告。乙方应于</w:t>
      </w:r>
      <w:r>
        <w:rPr>
          <w:rFonts w:hint="eastAsia" w:ascii="仿宋" w:hAnsi="仿宋" w:eastAsia="仿宋" w:cs="仿宋"/>
          <w:color w:val="auto"/>
          <w:kern w:val="0"/>
          <w:sz w:val="24"/>
          <w:szCs w:val="24"/>
          <w:highlight w:val="none"/>
          <w:u w:val="single"/>
          <w:lang w:val="en-US" w:eastAsia="zh-CN"/>
        </w:rPr>
        <w:t>2026</w:t>
      </w:r>
      <w:r>
        <w:rPr>
          <w:rFonts w:hint="eastAsia" w:ascii="仿宋" w:hAnsi="仿宋" w:eastAsia="仿宋" w:cs="仿宋"/>
          <w:color w:val="auto"/>
          <w:kern w:val="0"/>
          <w:sz w:val="24"/>
          <w:szCs w:val="24"/>
          <w:highlight w:val="none"/>
          <w:lang w:val="en-US" w:eastAsia="zh-CN"/>
        </w:rPr>
        <w:t>年</w:t>
      </w:r>
      <w:r>
        <w:rPr>
          <w:rFonts w:hint="eastAsia" w:ascii="仿宋" w:hAnsi="仿宋" w:eastAsia="仿宋" w:cs="仿宋"/>
          <w:color w:val="auto"/>
          <w:kern w:val="0"/>
          <w:sz w:val="24"/>
          <w:szCs w:val="24"/>
          <w:highlight w:val="none"/>
          <w:u w:val="single"/>
          <w:lang w:val="en-US" w:eastAsia="zh-CN"/>
        </w:rPr>
        <w:t>6</w:t>
      </w:r>
      <w:r>
        <w:rPr>
          <w:rFonts w:hint="eastAsia" w:ascii="仿宋" w:hAnsi="仿宋" w:eastAsia="仿宋" w:cs="仿宋"/>
          <w:color w:val="auto"/>
          <w:kern w:val="0"/>
          <w:sz w:val="24"/>
          <w:szCs w:val="24"/>
          <w:highlight w:val="none"/>
          <w:lang w:val="en-US" w:eastAsia="zh-CN"/>
        </w:rPr>
        <w:t>月</w:t>
      </w:r>
      <w:r>
        <w:rPr>
          <w:rFonts w:hint="eastAsia" w:ascii="仿宋" w:hAnsi="仿宋" w:eastAsia="仿宋" w:cs="仿宋"/>
          <w:color w:val="auto"/>
          <w:kern w:val="0"/>
          <w:sz w:val="24"/>
          <w:szCs w:val="24"/>
          <w:highlight w:val="none"/>
          <w:u w:val="single"/>
          <w:lang w:val="en-US" w:eastAsia="zh-CN"/>
        </w:rPr>
        <w:t>30</w:t>
      </w:r>
      <w:r>
        <w:rPr>
          <w:rFonts w:hint="eastAsia" w:ascii="仿宋" w:hAnsi="仿宋" w:eastAsia="仿宋" w:cs="仿宋"/>
          <w:color w:val="auto"/>
          <w:kern w:val="0"/>
          <w:sz w:val="24"/>
          <w:szCs w:val="24"/>
          <w:highlight w:val="none"/>
          <w:lang w:val="en-US" w:eastAsia="zh-CN"/>
        </w:rPr>
        <w:t>日前出具《2025年度财务报表审计报告》，于</w:t>
      </w:r>
      <w:r>
        <w:rPr>
          <w:rFonts w:hint="eastAsia" w:ascii="仿宋" w:hAnsi="仿宋" w:eastAsia="仿宋" w:cs="仿宋"/>
          <w:color w:val="auto"/>
          <w:kern w:val="0"/>
          <w:sz w:val="24"/>
          <w:szCs w:val="24"/>
          <w:highlight w:val="none"/>
          <w:u w:val="single"/>
          <w:lang w:val="en-US" w:eastAsia="zh-CN"/>
        </w:rPr>
        <w:t>2026</w:t>
      </w:r>
      <w:r>
        <w:rPr>
          <w:rFonts w:hint="eastAsia" w:ascii="仿宋" w:hAnsi="仿宋" w:eastAsia="仿宋" w:cs="仿宋"/>
          <w:color w:val="auto"/>
          <w:kern w:val="0"/>
          <w:sz w:val="24"/>
          <w:szCs w:val="24"/>
          <w:highlight w:val="none"/>
          <w:lang w:val="en-US" w:eastAsia="zh-CN"/>
        </w:rPr>
        <w:t>年</w:t>
      </w:r>
      <w:r>
        <w:rPr>
          <w:rFonts w:hint="eastAsia" w:ascii="仿宋" w:hAnsi="仿宋" w:eastAsia="仿宋" w:cs="仿宋"/>
          <w:color w:val="auto"/>
          <w:kern w:val="0"/>
          <w:sz w:val="24"/>
          <w:szCs w:val="24"/>
          <w:highlight w:val="none"/>
          <w:u w:val="single"/>
          <w:lang w:val="en-US" w:eastAsia="zh-CN"/>
        </w:rPr>
        <w:t>8</w:t>
      </w:r>
      <w:r>
        <w:rPr>
          <w:rFonts w:hint="eastAsia" w:ascii="仿宋" w:hAnsi="仿宋" w:eastAsia="仿宋" w:cs="仿宋"/>
          <w:color w:val="auto"/>
          <w:kern w:val="0"/>
          <w:sz w:val="24"/>
          <w:szCs w:val="24"/>
          <w:highlight w:val="none"/>
          <w:lang w:val="en-US" w:eastAsia="zh-CN"/>
        </w:rPr>
        <w:t>月</w:t>
      </w:r>
      <w:r>
        <w:rPr>
          <w:rFonts w:hint="eastAsia" w:ascii="仿宋" w:hAnsi="仿宋" w:eastAsia="仿宋" w:cs="仿宋"/>
          <w:color w:val="auto"/>
          <w:kern w:val="0"/>
          <w:sz w:val="24"/>
          <w:szCs w:val="24"/>
          <w:highlight w:val="none"/>
          <w:u w:val="single"/>
          <w:lang w:val="en-US" w:eastAsia="zh-CN"/>
        </w:rPr>
        <w:t>31</w:t>
      </w:r>
      <w:r>
        <w:rPr>
          <w:rFonts w:hint="eastAsia" w:ascii="仿宋" w:hAnsi="仿宋" w:eastAsia="仿宋" w:cs="仿宋"/>
          <w:color w:val="auto"/>
          <w:kern w:val="0"/>
          <w:sz w:val="24"/>
          <w:szCs w:val="24"/>
          <w:highlight w:val="none"/>
          <w:lang w:val="en-US" w:eastAsia="zh-CN"/>
        </w:rPr>
        <w:t>日前出具《2025年度内部控制评价报告》及《2025年度风险评估报告》</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如果由于无法预见的原因，致使乙方从事本约定书所涉及的审计服务实际时间较本约定书签订时预计的时间有增加或减少时，甲乙双方应通过协商，相应调整完成审计工作的时间。</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除下列情况外，乙方应当对执行业务过程中知悉的甲方信息予以保密：（1）法律法规允许披露，并取得甲方的授权；（2）根据法律法规的规定，为法律诉讼、仲裁准备文件或提供证据，以及向监管机构报告发现的违反法规行为；（3）在法律法规允许的情况下，在法律诉讼、仲裁中维护自己的合法权益；（4）接受注册会计师协会或监管机构的执业质量检查，答复其询问和调查；（5）法律法规、执业准则和职业道德规范规定的其它情形。</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三、工作局限性</w:t>
      </w:r>
    </w:p>
    <w:p>
      <w:pPr>
        <w:autoSpaceDE w:val="0"/>
        <w:autoSpaceDN w:val="0"/>
        <w:adjustRightInd w:val="0"/>
        <w:spacing w:line="520" w:lineRule="exact"/>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内部控制具有固有局限性，存在不能防止和发现错报的可能性。此外，由于情况的变化可能导致内部控制变得不恰当，或对控制政策和程序遵循的程度降低，根据内部控制审计结果推测未来内部控制的有效性具有一定风险。</w:t>
      </w:r>
    </w:p>
    <w:p>
      <w:pPr>
        <w:autoSpaceDE w:val="0"/>
        <w:autoSpaceDN w:val="0"/>
        <w:adjustRightInd w:val="0"/>
        <w:spacing w:line="520" w:lineRule="exact"/>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乙方开展的审计工作存在固有限制，比如内部控制审计工作的基础是甲方及第三方提供的信息和资料是真实和完整的，因此乙方的审计工作不能对审计报告获取绝对保证。由于存在固有限制，即使乙方已适当地按照执业准则计划和执行审计工作，仍然不可避免地存在甲方内部控制的某些重大错报未被发现的风险。</w:t>
      </w:r>
    </w:p>
    <w:p>
      <w:pPr>
        <w:autoSpaceDE w:val="0"/>
        <w:autoSpaceDN w:val="0"/>
        <w:adjustRightInd w:val="0"/>
        <w:spacing w:line="520" w:lineRule="exact"/>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乙方开展的审计工作未能发现舞弊或违反法规行为导致的甲方财务报告内部控制重大错报的风险高于审计工作未能发现错误导致的错报的风险。这是因为违反法规或舞弊行为可能涉及经过策划的隐瞒行为，例如串通舞弊、伪造文件、故意漏记交易、高级管理层凌驾于控制之上或故意向乙方作出不实陈述。如果乙方认为可能存在违反法规或舞弊行为，乙方将与甲方管理层或治理层进行沟通。</w:t>
      </w:r>
    </w:p>
    <w:p>
      <w:pPr>
        <w:autoSpaceDE w:val="0"/>
        <w:autoSpaceDN w:val="0"/>
        <w:adjustRightInd w:val="0"/>
        <w:spacing w:line="520" w:lineRule="exact"/>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保障甲方的资产安全及防止和发现舞弊、错误和违反法规行为，是甲方治理层和管理层的责任。乙方将计划审计工作，以获取甲方财务报告内部控制不存在重大错报的合理保证，无论该错报是由于舞弊、错误还是违反法规行为导致。然而，乙方的审计工作不应被依赖用以发现可能存在的舞弊、错误或违反法规行为。</w:t>
      </w:r>
    </w:p>
    <w:p>
      <w:pPr>
        <w:autoSpaceDE w:val="0"/>
        <w:autoSpaceDN w:val="0"/>
        <w:adjustRightInd w:val="0"/>
        <w:spacing w:line="520" w:lineRule="exact"/>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5.在审计过程中，乙方若发现甲方存在乙方认为值得关注的内部控制缺陷，应以书面形式向甲方治理层或管理层通报。但乙方通报的各种事项，并不代表已全面说明所有可能存在的缺陷或已提出所有可行的改善建议。甲方在实施乙方提出的改善建议前应全面评估其影响。未经乙方书面许可，甲方不得向任何第三方提供乙方出具的沟通文件。</w:t>
      </w:r>
    </w:p>
    <w:p>
      <w:pPr>
        <w:autoSpaceDE w:val="0"/>
        <w:autoSpaceDN w:val="0"/>
        <w:adjustRightInd w:val="0"/>
        <w:spacing w:line="520" w:lineRule="exact"/>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6.乙方开展的审计工作系乙方依据甲方所提供的资料，按照中国有关法律法规的规定所得出的职业判断。由于乙方不能确保乙方依据对甲方所提供资料进行的理解与甲方的真实意图完全一致，因此，直接而不加</w:t>
      </w:r>
      <w:r>
        <w:rPr>
          <w:rFonts w:hint="eastAsia" w:ascii="仿宋" w:hAnsi="仿宋" w:eastAsia="仿宋" w:cs="仿宋"/>
          <w:bCs/>
          <w:color w:val="auto"/>
          <w:kern w:val="0"/>
          <w:sz w:val="24"/>
          <w:szCs w:val="24"/>
          <w:highlight w:val="none"/>
          <w:lang w:eastAsia="zh-CN"/>
        </w:rPr>
        <w:t>选择地</w:t>
      </w:r>
      <w:r>
        <w:rPr>
          <w:rFonts w:hint="eastAsia" w:ascii="仿宋" w:hAnsi="仿宋" w:eastAsia="仿宋" w:cs="仿宋"/>
          <w:bCs/>
          <w:color w:val="auto"/>
          <w:kern w:val="0"/>
          <w:sz w:val="24"/>
          <w:szCs w:val="24"/>
          <w:highlight w:val="none"/>
        </w:rPr>
        <w:t>采用乙方提出的建议存在无法实现甲方预期目标的风险。</w:t>
      </w:r>
    </w:p>
    <w:p>
      <w:pPr>
        <w:autoSpaceDE w:val="0"/>
        <w:autoSpaceDN w:val="0"/>
        <w:adjustRightInd w:val="0"/>
        <w:spacing w:line="520" w:lineRule="exact"/>
        <w:ind w:firstLine="484" w:firstLineChars="202"/>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7.乙方出具的审计报告不应被视为对甲方财务报告</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内部控制的有效性提供的绝对保证。</w:t>
      </w:r>
    </w:p>
    <w:p>
      <w:pPr>
        <w:autoSpaceDE w:val="0"/>
        <w:autoSpaceDN w:val="0"/>
        <w:adjustRightInd w:val="0"/>
        <w:spacing w:line="520" w:lineRule="exact"/>
        <w:ind w:firstLine="484" w:firstLineChars="202"/>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8.乙方对审计服务成果的科学性、准确性负责；如甲方需要，乙方应及时向甲方解释、说明提交的审计服务成果的专业性知识，帮助甲方正确理解、使用审计服务成果。</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四、审计收费</w:t>
      </w:r>
    </w:p>
    <w:p>
      <w:pPr>
        <w:autoSpaceDE w:val="0"/>
        <w:autoSpaceDN w:val="0"/>
        <w:adjustRightInd w:val="0"/>
        <w:snapToGrid w:val="0"/>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1.本次审计服务的收费是以乙方各级别工作人员在本次工作中所耗费的时间为基础计算的。乙方预计本次审计服务的费用总额（含税价）为人民币</w:t>
      </w:r>
      <w:r>
        <w:rPr>
          <w:rFonts w:hint="eastAsia" w:ascii="仿宋" w:hAnsi="仿宋" w:eastAsia="仿宋" w:cs="仿宋"/>
          <w:b/>
          <w:bCs/>
          <w:color w:val="auto"/>
          <w:kern w:val="0"/>
          <w:sz w:val="24"/>
          <w:szCs w:val="24"/>
          <w:highlight w:val="none"/>
          <w:u w:val="single"/>
          <w:lang w:val="en-US" w:eastAsia="zh-CN"/>
        </w:rPr>
        <w:t>XX</w:t>
      </w:r>
      <w:r>
        <w:rPr>
          <w:rFonts w:hint="eastAsia" w:ascii="仿宋" w:hAnsi="仿宋" w:eastAsia="仿宋" w:cs="仿宋"/>
          <w:b/>
          <w:bCs/>
          <w:color w:val="auto"/>
          <w:kern w:val="0"/>
          <w:sz w:val="24"/>
          <w:szCs w:val="24"/>
          <w:highlight w:val="none"/>
          <w:u w:val="single"/>
        </w:rPr>
        <w:t>元（大写：</w:t>
      </w:r>
      <w:r>
        <w:rPr>
          <w:rFonts w:hint="eastAsia" w:ascii="仿宋" w:hAnsi="仿宋" w:eastAsia="仿宋" w:cs="仿宋"/>
          <w:b/>
          <w:bCs/>
          <w:color w:val="auto"/>
          <w:kern w:val="0"/>
          <w:sz w:val="24"/>
          <w:szCs w:val="24"/>
          <w:highlight w:val="none"/>
          <w:u w:val="single"/>
          <w:lang w:val="en-US" w:eastAsia="zh-CN"/>
        </w:rPr>
        <w:t>XX</w:t>
      </w:r>
      <w:r>
        <w:rPr>
          <w:rFonts w:hint="eastAsia" w:ascii="仿宋" w:hAnsi="仿宋" w:eastAsia="仿宋" w:cs="仿宋"/>
          <w:b/>
          <w:bCs/>
          <w:color w:val="auto"/>
          <w:kern w:val="0"/>
          <w:sz w:val="24"/>
          <w:szCs w:val="24"/>
          <w:highlight w:val="none"/>
          <w:u w:val="single"/>
        </w:rPr>
        <w:t>）</w:t>
      </w:r>
      <w:r>
        <w:rPr>
          <w:rFonts w:hint="eastAsia" w:ascii="仿宋" w:hAnsi="仿宋" w:eastAsia="仿宋" w:cs="仿宋"/>
          <w:color w:val="auto"/>
          <w:kern w:val="0"/>
          <w:sz w:val="24"/>
          <w:szCs w:val="24"/>
          <w:highlight w:val="none"/>
        </w:rPr>
        <w:t>。</w:t>
      </w:r>
    </w:p>
    <w:p>
      <w:pPr>
        <w:spacing w:after="156" w:afterLines="50"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收到</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增值税发票后按照相应时间规定支付合同总价50%的款项。</w:t>
      </w:r>
    </w:p>
    <w:p>
      <w:pPr>
        <w:spacing w:after="156" w:afterLines="50"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（2）乙方</w:t>
      </w:r>
      <w:r>
        <w:rPr>
          <w:rFonts w:hint="eastAsia" w:ascii="仿宋" w:hAnsi="仿宋" w:eastAsia="仿宋" w:cs="仿宋"/>
          <w:color w:val="auto"/>
          <w:kern w:val="0"/>
          <w:sz w:val="24"/>
          <w:szCs w:val="24"/>
          <w:highlight w:val="none"/>
        </w:rPr>
        <w:t>正式出具审计报告，经</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验收合格后，并收到</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增值税发票后按照相应时间规定支付合同总价50%的款项。</w:t>
      </w:r>
    </w:p>
    <w:p>
      <w:pPr>
        <w:autoSpaceDE w:val="0"/>
        <w:autoSpaceDN w:val="0"/>
        <w:adjustRightInd w:val="0"/>
        <w:snapToGri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.如果由于无法预见的原因，致使乙方从事本约定书所涉及的审计服务实际时间较本约定书签订时预计的时间有明显的增加或减少时，甲乙双方应通过协商，相应调整本部分第 1 段所述的审计费用。</w:t>
      </w:r>
    </w:p>
    <w:p>
      <w:pPr>
        <w:autoSpaceDE w:val="0"/>
        <w:autoSpaceDN w:val="0"/>
        <w:adjustRightInd w:val="0"/>
        <w:snapToGrid w:val="0"/>
        <w:spacing w:line="520" w:lineRule="exact"/>
        <w:ind w:left="210" w:leftChars="100" w:firstLine="244" w:firstLineChars="102"/>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.与本次审计有关的其他费用（包含交通费、食宿费等）由乙方承担；</w:t>
      </w:r>
    </w:p>
    <w:p>
      <w:pPr>
        <w:autoSpaceDE w:val="0"/>
        <w:autoSpaceDN w:val="0"/>
        <w:adjustRightInd w:val="0"/>
        <w:snapToGri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.甲方应在本约定书的约定期限内，以转账方式支付乙方服务费，乙方同意甲方将相应款项转入以下指定的账户：</w:t>
      </w:r>
    </w:p>
    <w:p>
      <w:pPr>
        <w:adjustRightInd w:val="0"/>
        <w:snapToGrid w:val="0"/>
        <w:spacing w:line="5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乙方户名：</w:t>
      </w:r>
    </w:p>
    <w:p>
      <w:pPr>
        <w:adjustRightInd w:val="0"/>
        <w:snapToGrid w:val="0"/>
        <w:spacing w:line="5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账    号：</w:t>
      </w:r>
    </w:p>
    <w:p>
      <w:pPr>
        <w:adjustRightInd w:val="0"/>
        <w:snapToGrid w:val="0"/>
        <w:spacing w:line="5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开户银行：</w:t>
      </w:r>
    </w:p>
    <w:p>
      <w:pPr>
        <w:autoSpaceDE w:val="0"/>
        <w:autoSpaceDN w:val="0"/>
        <w:adjustRightInd w:val="0"/>
        <w:spacing w:before="240" w:line="520" w:lineRule="exact"/>
        <w:ind w:right="-23" w:firstLine="482"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五、审计报告和审计报告的使用</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1.乙方按照中国注册会计师审计准则规定的格式和类型出具审计报告。</w:t>
      </w:r>
    </w:p>
    <w:p>
      <w:pPr>
        <w:widowControl/>
        <w:spacing w:line="520" w:lineRule="exact"/>
        <w:ind w:firstLine="480" w:firstLineChars="200"/>
        <w:jc w:val="left"/>
        <w:rPr>
          <w:rFonts w:hint="eastAsia" w:ascii="仿宋" w:hAnsi="仿宋" w:eastAsia="仿宋" w:cs="仿宋"/>
          <w:color w:val="auto"/>
          <w:kern w:val="0"/>
          <w:sz w:val="24"/>
          <w:szCs w:val="24"/>
          <w:highlight w:val="yellow"/>
        </w:rPr>
      </w:pPr>
      <w:r>
        <w:rPr>
          <w:rFonts w:hint="eastAsia" w:ascii="仿宋" w:hAnsi="仿宋" w:eastAsia="仿宋" w:cs="仿宋"/>
          <w:color w:val="auto"/>
          <w:kern w:val="0"/>
          <w:sz w:val="24"/>
          <w:szCs w:val="24"/>
        </w:rPr>
        <w:t>2.乙方向甲方致送</w:t>
      </w:r>
      <w:r>
        <w:rPr>
          <w:rFonts w:hint="eastAsia" w:ascii="仿宋" w:hAnsi="仿宋" w:eastAsia="仿宋" w:cs="仿宋"/>
          <w:color w:val="auto"/>
          <w:kern w:val="0"/>
          <w:sz w:val="24"/>
          <w:szCs w:val="24"/>
          <w:highlight w:val="none"/>
        </w:rPr>
        <w:t>纸质版审计报告一式</w:t>
      </w:r>
      <w:r>
        <w:rPr>
          <w:rFonts w:hint="eastAsia" w:ascii="仿宋" w:hAnsi="仿宋" w:eastAsia="仿宋" w:cs="仿宋"/>
          <w:color w:val="auto"/>
          <w:kern w:val="0"/>
          <w:sz w:val="24"/>
          <w:szCs w:val="24"/>
          <w:highlight w:val="none"/>
          <w:u w:val="single"/>
          <w:lang w:val="en-US" w:eastAsia="zh-CN"/>
        </w:rPr>
        <w:t xml:space="preserve"> 叁 </w:t>
      </w:r>
      <w:r>
        <w:rPr>
          <w:rFonts w:hint="eastAsia" w:ascii="仿宋" w:hAnsi="仿宋" w:eastAsia="仿宋" w:cs="仿宋"/>
          <w:color w:val="auto"/>
          <w:kern w:val="0"/>
          <w:sz w:val="24"/>
          <w:szCs w:val="24"/>
          <w:highlight w:val="none"/>
        </w:rPr>
        <w:t>份，通过邮寄或现场直接提交；电子版、扫描版审计报告各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壹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份（2025年度财务报表审计</w:t>
      </w:r>
      <w:r>
        <w:rPr>
          <w:rFonts w:hint="eastAsia" w:ascii="仿宋" w:hAnsi="仿宋" w:eastAsia="仿宋" w:cs="仿宋"/>
          <w:color w:val="auto"/>
          <w:kern w:val="0"/>
          <w:sz w:val="24"/>
          <w:szCs w:val="24"/>
          <w:highlight w:val="none"/>
          <w:lang w:val="en-US" w:eastAsia="zh-CN"/>
        </w:rPr>
        <w:t>报告</w:t>
      </w:r>
      <w:r>
        <w:rPr>
          <w:rFonts w:hint="eastAsia" w:ascii="仿宋" w:hAnsi="仿宋" w:eastAsia="仿宋" w:cs="仿宋"/>
          <w:color w:val="auto"/>
          <w:kern w:val="0"/>
          <w:sz w:val="24"/>
          <w:szCs w:val="24"/>
          <w:highlight w:val="none"/>
        </w:rPr>
        <w:t>、2025年度内部控制评价</w:t>
      </w:r>
      <w:r>
        <w:rPr>
          <w:rFonts w:hint="eastAsia" w:ascii="仿宋" w:hAnsi="仿宋" w:eastAsia="仿宋" w:cs="仿宋"/>
          <w:color w:val="auto"/>
          <w:kern w:val="0"/>
          <w:sz w:val="24"/>
          <w:szCs w:val="24"/>
          <w:highlight w:val="none"/>
          <w:lang w:val="en-US" w:eastAsia="zh-CN"/>
        </w:rPr>
        <w:t>报告</w:t>
      </w:r>
      <w:r>
        <w:rPr>
          <w:rFonts w:hint="eastAsia" w:ascii="仿宋" w:hAnsi="仿宋" w:eastAsia="仿宋" w:cs="仿宋"/>
          <w:color w:val="auto"/>
          <w:kern w:val="0"/>
          <w:sz w:val="24"/>
          <w:szCs w:val="24"/>
          <w:highlight w:val="none"/>
        </w:rPr>
        <w:t>及</w:t>
      </w:r>
      <w:r>
        <w:rPr>
          <w:rFonts w:hint="eastAsia" w:ascii="仿宋" w:hAnsi="仿宋" w:eastAsia="仿宋" w:cs="仿宋"/>
          <w:color w:val="auto"/>
          <w:kern w:val="0"/>
          <w:sz w:val="24"/>
          <w:szCs w:val="24"/>
          <w:highlight w:val="none"/>
          <w:lang w:val="en-US" w:eastAsia="zh-CN"/>
        </w:rPr>
        <w:t>2025年度</w:t>
      </w:r>
      <w:r>
        <w:rPr>
          <w:rFonts w:hint="eastAsia" w:ascii="仿宋" w:hAnsi="仿宋" w:eastAsia="仿宋" w:cs="仿宋"/>
          <w:color w:val="auto"/>
          <w:kern w:val="0"/>
          <w:sz w:val="24"/>
          <w:szCs w:val="24"/>
          <w:highlight w:val="none"/>
        </w:rPr>
        <w:t>风险评估</w:t>
      </w:r>
      <w:r>
        <w:rPr>
          <w:rFonts w:hint="eastAsia" w:ascii="仿宋" w:hAnsi="仿宋" w:eastAsia="仿宋" w:cs="仿宋"/>
          <w:color w:val="auto"/>
          <w:kern w:val="0"/>
          <w:sz w:val="24"/>
          <w:szCs w:val="24"/>
          <w:highlight w:val="none"/>
          <w:lang w:val="en-US" w:eastAsia="zh-CN"/>
        </w:rPr>
        <w:t>报告</w:t>
      </w:r>
      <w:r>
        <w:rPr>
          <w:rFonts w:hint="eastAsia" w:ascii="仿宋" w:hAnsi="仿宋" w:eastAsia="仿宋" w:cs="仿宋"/>
          <w:color w:val="auto"/>
          <w:kern w:val="0"/>
          <w:sz w:val="24"/>
          <w:szCs w:val="24"/>
          <w:highlight w:val="none"/>
        </w:rPr>
        <w:t>），通过邮箱或钉钉发送。</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甲方在提交或对外公布乙方出具的审计报告及其后附的已审财务报表时，不得对其进行修改。当甲方认为有必要修改会计数据、报表附注和所作的说明时，应当事先通知乙方，乙方将考虑有关的修改对审计报告的影响，必要时，将重新出具审计报告。</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六、本约定书的有效期间 </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本约定书自甲乙双方签字盖章之日起生效，并在双方履行完毕本约定书约定的所有义务后终止。但其中第</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rPr>
        <w:t>项</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二</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、第四、五、七、八、九、十项并不因本约定书终止而失效。</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七、约定事项的变更</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如果出现不可预见的情况，影响审计工作如期完成，或需要提前出具审计报告时，甲、乙双方均可要求变更约定事项，但应及时通知对方，并由双方协商解决。</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八、终止条款</w:t>
      </w:r>
    </w:p>
    <w:p>
      <w:pPr>
        <w:autoSpaceDE w:val="0"/>
        <w:autoSpaceDN w:val="0"/>
        <w:adjustRightInd w:val="0"/>
        <w:spacing w:before="18" w:line="520" w:lineRule="exact"/>
        <w:ind w:right="-20"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pPr>
        <w:autoSpaceDE w:val="0"/>
        <w:autoSpaceDN w:val="0"/>
        <w:adjustRightInd w:val="0"/>
        <w:spacing w:before="18" w:line="520" w:lineRule="exact"/>
        <w:ind w:right="-20"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2.在终止业务终止的情况下，乙方有权就其于终止之日前对约定的审计服务项目所做的工作收取合理的费用。</w:t>
      </w:r>
    </w:p>
    <w:p>
      <w:pPr>
        <w:spacing w:after="156" w:afterLines="50"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sz w:val="24"/>
          <w:szCs w:val="24"/>
        </w:rPr>
        <w:t>如乙方未按合同规定提供服务，甲方可以提前终止本合同。</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九、违约责任</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1.甲乙双方按照《中华人民共和国民法典》的规定承担违约责任。</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乙方未按照本合同约定履行义务的，或乙方给甲方提供的服务因违反法律法规规定给甲方造成损失的，甲方有权单方解除本合同，且不予支付委托费用；同时，乙方应向甲方支付违约金；如因甲方责任，致使本约定书无法履行时，则甲方应向乙方支付违约金，所涉及</w:t>
      </w:r>
      <w:bookmarkStart w:id="11" w:name="_GoBack"/>
      <w:bookmarkEnd w:id="11"/>
      <w:r>
        <w:rPr>
          <w:rFonts w:hint="eastAsia" w:ascii="仿宋" w:hAnsi="仿宋" w:eastAsia="仿宋" w:cs="仿宋"/>
          <w:color w:val="auto"/>
          <w:kern w:val="0"/>
          <w:sz w:val="24"/>
          <w:szCs w:val="24"/>
        </w:rPr>
        <w:t>的违约金由甲乙双方协商。</w:t>
      </w:r>
    </w:p>
    <w:p>
      <w:pPr>
        <w:autoSpaceDE w:val="0"/>
        <w:autoSpaceDN w:val="0"/>
        <w:adjustRightInd w:val="0"/>
        <w:spacing w:line="520" w:lineRule="exact"/>
        <w:ind w:firstLine="484" w:firstLineChars="20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3.因甲方变更计划或未及时提供审计所需全部资料而造成乙方无法按时出具报告的，乙方可相应顺延期限出具审计报告。</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十、适用法律和争议解决</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本约定书的所有方面均应适用中华人民共和国法律进行解释并受其约束。本约定书履行地为乙方出具审计报告所在地，因本约定书所引起的或与本约定书有关的任何纠纷或争议（包括关于本约定书条款的存在、效力或终止，或无效之后果），双方选择协商确定采取以下第</w:t>
      </w:r>
      <w:r>
        <w:rPr>
          <w:rFonts w:hint="eastAsia" w:ascii="仿宋" w:hAnsi="仿宋" w:eastAsia="仿宋" w:cs="仿宋"/>
          <w:color w:val="auto"/>
          <w:kern w:val="0"/>
          <w:sz w:val="24"/>
          <w:szCs w:val="24"/>
          <w:u w:val="single"/>
        </w:rPr>
        <w:t xml:space="preserve"> （1） </w:t>
      </w:r>
      <w:r>
        <w:rPr>
          <w:rFonts w:hint="eastAsia" w:ascii="仿宋" w:hAnsi="仿宋" w:eastAsia="仿宋" w:cs="仿宋"/>
          <w:color w:val="auto"/>
          <w:kern w:val="0"/>
          <w:sz w:val="24"/>
          <w:szCs w:val="24"/>
        </w:rPr>
        <w:t>种方式予以解决：</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（1）向甲方所在地有管辖权的人民法院提起诉讼；</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（2）提交</w:t>
      </w:r>
      <w:r>
        <w:rPr>
          <w:rFonts w:hint="eastAsia" w:ascii="仿宋" w:hAnsi="仿宋" w:eastAsia="仿宋" w:cs="仿宋"/>
          <w:color w:val="auto"/>
          <w:kern w:val="0"/>
          <w:sz w:val="24"/>
          <w:szCs w:val="24"/>
          <w:u w:val="single"/>
        </w:rPr>
        <w:t xml:space="preserve">  / </w:t>
      </w:r>
      <w:r>
        <w:rPr>
          <w:rFonts w:hint="eastAsia" w:ascii="仿宋" w:hAnsi="仿宋" w:eastAsia="仿宋" w:cs="仿宋"/>
          <w:color w:val="auto"/>
          <w:kern w:val="0"/>
          <w:sz w:val="24"/>
          <w:szCs w:val="24"/>
        </w:rPr>
        <w:t>仲裁委员会仲裁。</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2.双方因解决纠纷而支出的律师费、诉讼费、保全费、调查取证费/公证费、差旅费等必要合理开支，按法律规定由过错方承担。</w:t>
      </w:r>
    </w:p>
    <w:p>
      <w:pPr>
        <w:autoSpaceDE w:val="0"/>
        <w:autoSpaceDN w:val="0"/>
        <w:adjustRightInd w:val="0"/>
        <w:spacing w:before="240" w:line="520" w:lineRule="exact"/>
        <w:ind w:right="-23" w:firstLine="487" w:firstLineChars="202"/>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十一、双方对其他有关事项的约定</w:t>
      </w:r>
    </w:p>
    <w:p>
      <w:pPr>
        <w:autoSpaceDE w:val="0"/>
        <w:autoSpaceDN w:val="0"/>
        <w:adjustRightInd w:val="0"/>
        <w:spacing w:line="52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本约定书一式</w:t>
      </w:r>
      <w:r>
        <w:rPr>
          <w:rFonts w:hint="eastAsia" w:ascii="仿宋" w:hAnsi="仿宋" w:eastAsia="仿宋" w:cs="仿宋"/>
          <w:b/>
          <w:bCs/>
          <w:color w:val="auto"/>
          <w:kern w:val="0"/>
          <w:sz w:val="24"/>
          <w:szCs w:val="24"/>
          <w:u w:val="single"/>
        </w:rPr>
        <w:t xml:space="preserve"> </w:t>
      </w:r>
      <w:r>
        <w:rPr>
          <w:rFonts w:hint="eastAsia" w:ascii="仿宋" w:hAnsi="仿宋" w:eastAsia="仿宋" w:cs="仿宋"/>
          <w:color w:val="auto"/>
          <w:sz w:val="24"/>
          <w:szCs w:val="24"/>
          <w:u w:val="single"/>
        </w:rPr>
        <w:t>肆</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份，</w:t>
      </w:r>
      <w:r>
        <w:rPr>
          <w:rFonts w:hint="eastAsia" w:ascii="仿宋" w:hAnsi="仿宋" w:eastAsia="仿宋" w:cs="仿宋"/>
          <w:color w:val="auto"/>
          <w:sz w:val="24"/>
          <w:szCs w:val="24"/>
        </w:rPr>
        <w:t>甲方执贰份、乙方执贰份，</w:t>
      </w:r>
      <w:r>
        <w:rPr>
          <w:rFonts w:hint="eastAsia" w:ascii="仿宋" w:hAnsi="仿宋" w:eastAsia="仿宋" w:cs="仿宋"/>
          <w:color w:val="auto"/>
          <w:kern w:val="0"/>
          <w:sz w:val="24"/>
          <w:szCs w:val="24"/>
        </w:rPr>
        <w:t>具有同等法律效力。</w:t>
      </w:r>
    </w:p>
    <w:p>
      <w:pPr>
        <w:tabs>
          <w:tab w:val="left" w:pos="4200"/>
        </w:tabs>
        <w:autoSpaceDE w:val="0"/>
        <w:autoSpaceDN w:val="0"/>
        <w:adjustRightInd w:val="0"/>
        <w:spacing w:line="500" w:lineRule="exact"/>
        <w:ind w:left="36" w:leftChars="17" w:right="-357"/>
        <w:rPr>
          <w:rFonts w:hint="eastAsia" w:ascii="仿宋" w:hAnsi="仿宋" w:eastAsia="仿宋" w:cs="仿宋"/>
          <w:color w:val="auto"/>
          <w:kern w:val="0"/>
          <w:sz w:val="24"/>
          <w:szCs w:val="24"/>
        </w:rPr>
      </w:pPr>
    </w:p>
    <w:p>
      <w:pPr>
        <w:tabs>
          <w:tab w:val="left" w:pos="4200"/>
        </w:tabs>
        <w:autoSpaceDE w:val="0"/>
        <w:autoSpaceDN w:val="0"/>
        <w:adjustRightInd w:val="0"/>
        <w:spacing w:line="500" w:lineRule="exact"/>
        <w:ind w:left="36" w:leftChars="17" w:right="-357"/>
        <w:rPr>
          <w:rFonts w:hint="eastAsia" w:ascii="仿宋" w:hAnsi="仿宋" w:eastAsia="仿宋" w:cs="仿宋"/>
          <w:color w:val="auto"/>
          <w:kern w:val="0"/>
          <w:sz w:val="24"/>
          <w:szCs w:val="24"/>
        </w:rPr>
      </w:pPr>
    </w:p>
    <w:p>
      <w:pPr>
        <w:tabs>
          <w:tab w:val="left" w:pos="4200"/>
        </w:tabs>
        <w:autoSpaceDE w:val="0"/>
        <w:autoSpaceDN w:val="0"/>
        <w:adjustRightInd w:val="0"/>
        <w:spacing w:line="500" w:lineRule="exact"/>
        <w:ind w:left="0" w:leftChars="0" w:right="-357"/>
        <w:rPr>
          <w:rFonts w:hint="eastAsia" w:ascii="仿宋" w:hAnsi="仿宋" w:eastAsia="仿宋" w:cs="仿宋"/>
          <w:color w:val="auto"/>
          <w:kern w:val="0"/>
          <w:sz w:val="24"/>
          <w:szCs w:val="24"/>
          <w:lang w:val="en-US" w:eastAsia="zh-CN"/>
        </w:rPr>
      </w:pPr>
    </w:p>
    <w:p>
      <w:pPr>
        <w:tabs>
          <w:tab w:val="left" w:pos="4200"/>
        </w:tabs>
        <w:autoSpaceDE w:val="0"/>
        <w:autoSpaceDN w:val="0"/>
        <w:adjustRightInd w:val="0"/>
        <w:spacing w:line="500" w:lineRule="exact"/>
        <w:ind w:left="36" w:leftChars="17" w:right="-357"/>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甲方：深圳市龙岗中心医院</w:t>
      </w:r>
      <w:r>
        <w:rPr>
          <w:rFonts w:hint="eastAsia" w:ascii="仿宋" w:hAnsi="仿宋" w:eastAsia="仿宋" w:cs="仿宋"/>
          <w:color w:val="auto"/>
          <w:kern w:val="0"/>
          <w:sz w:val="24"/>
          <w:szCs w:val="24"/>
        </w:rPr>
        <w:tab/>
      </w:r>
      <w:r>
        <w:rPr>
          <w:rFonts w:hint="eastAsia" w:ascii="仿宋" w:hAnsi="仿宋" w:eastAsia="仿宋" w:cs="仿宋"/>
          <w:color w:val="auto"/>
          <w:kern w:val="0"/>
          <w:sz w:val="24"/>
          <w:szCs w:val="24"/>
        </w:rPr>
        <w:t>乙方：</w:t>
      </w:r>
    </w:p>
    <w:p>
      <w:pPr>
        <w:tabs>
          <w:tab w:val="left" w:pos="4200"/>
        </w:tabs>
        <w:autoSpaceDE w:val="0"/>
        <w:autoSpaceDN w:val="0"/>
        <w:adjustRightInd w:val="0"/>
        <w:spacing w:line="500" w:lineRule="exact"/>
        <w:ind w:right="-357" w:firstLine="1920" w:firstLineChars="8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（盖章）                              （盖章）</w:t>
      </w:r>
    </w:p>
    <w:p>
      <w:pPr>
        <w:tabs>
          <w:tab w:val="left" w:pos="6000"/>
        </w:tabs>
        <w:autoSpaceDE w:val="0"/>
        <w:autoSpaceDN w:val="0"/>
        <w:adjustRightInd w:val="0"/>
        <w:spacing w:before="64" w:line="500" w:lineRule="exact"/>
        <w:ind w:right="-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授权代表：（签名并签章）                 授权代表：（签名并签章）</w:t>
      </w:r>
    </w:p>
    <w:p>
      <w:pPr>
        <w:tabs>
          <w:tab w:val="left" w:pos="6315"/>
        </w:tabs>
        <w:autoSpaceDE w:val="0"/>
        <w:autoSpaceDN w:val="0"/>
        <w:adjustRightInd w:val="0"/>
        <w:spacing w:before="64" w:line="500" w:lineRule="exact"/>
        <w:ind w:right="-20"/>
        <w:rPr>
          <w:rFonts w:hint="eastAsia" w:ascii="仿宋" w:hAnsi="仿宋" w:eastAsia="仿宋" w:cs="仿宋"/>
          <w:b/>
          <w:bCs/>
          <w:color w:val="auto"/>
          <w:kern w:val="2"/>
          <w:sz w:val="28"/>
          <w:highlight w:val="none"/>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日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年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w:t>
      </w:r>
    </w:p>
    <w:p>
      <w:pPr>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br w:type="page"/>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八、投标人认为需要加以说明的其他内容的格式</w:t>
      </w:r>
    </w:p>
    <w:p>
      <w:pPr>
        <w:widowControl/>
        <w:jc w:val="left"/>
        <w:rPr>
          <w:rFonts w:hint="eastAsia" w:ascii="仿宋" w:hAnsi="仿宋" w:eastAsia="仿宋" w:cs="仿宋"/>
          <w:b/>
          <w:bCs/>
          <w:sz w:val="24"/>
          <w:szCs w:val="20"/>
          <w:highlight w:val="none"/>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1CADFF4A"/>
    <w:multiLevelType w:val="singleLevel"/>
    <w:tmpl w:val="1CADFF4A"/>
    <w:lvl w:ilvl="0" w:tentative="0">
      <w:start w:val="1"/>
      <w:numFmt w:val="decimal"/>
      <w:lvlText w:val="%1."/>
      <w:lvlJc w:val="left"/>
      <w:pPr>
        <w:tabs>
          <w:tab w:val="left" w:pos="312"/>
        </w:tabs>
      </w:pPr>
    </w:lvl>
  </w:abstractNum>
  <w:abstractNum w:abstractNumId="5">
    <w:nsid w:val="296F2EC0"/>
    <w:multiLevelType w:val="singleLevel"/>
    <w:tmpl w:val="296F2EC0"/>
    <w:lvl w:ilvl="0" w:tentative="0">
      <w:start w:val="2"/>
      <w:numFmt w:val="chineseCounting"/>
      <w:suff w:val="nothing"/>
      <w:lvlText w:val="%1、"/>
      <w:lvlJc w:val="left"/>
      <w:rPr>
        <w:rFonts w:hint="eastAsia"/>
      </w:rPr>
    </w:lvl>
  </w:abstractNum>
  <w:abstractNum w:abstractNumId="6">
    <w:nsid w:val="4297E161"/>
    <w:multiLevelType w:val="singleLevel"/>
    <w:tmpl w:val="4297E161"/>
    <w:lvl w:ilvl="0" w:tentative="0">
      <w:start w:val="2"/>
      <w:numFmt w:val="decimal"/>
      <w:suff w:val="nothing"/>
      <w:lvlText w:val="（%1）"/>
      <w:lvlJc w:val="left"/>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2572"/>
    <w:rsid w:val="004D5352"/>
    <w:rsid w:val="004D75A0"/>
    <w:rsid w:val="004E64F5"/>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1CA5CC8"/>
    <w:rsid w:val="02070CCA"/>
    <w:rsid w:val="02510197"/>
    <w:rsid w:val="029D3A65"/>
    <w:rsid w:val="029E28CC"/>
    <w:rsid w:val="02FD73D9"/>
    <w:rsid w:val="03AD764F"/>
    <w:rsid w:val="03F34A98"/>
    <w:rsid w:val="040D7160"/>
    <w:rsid w:val="04180F6C"/>
    <w:rsid w:val="047503B5"/>
    <w:rsid w:val="049A7A55"/>
    <w:rsid w:val="04A163D8"/>
    <w:rsid w:val="04F24EFB"/>
    <w:rsid w:val="04F31768"/>
    <w:rsid w:val="0523406D"/>
    <w:rsid w:val="05832D5D"/>
    <w:rsid w:val="058F34B0"/>
    <w:rsid w:val="06020126"/>
    <w:rsid w:val="06050740"/>
    <w:rsid w:val="066227F4"/>
    <w:rsid w:val="06A64F55"/>
    <w:rsid w:val="07100225"/>
    <w:rsid w:val="07437FDC"/>
    <w:rsid w:val="07A07BF6"/>
    <w:rsid w:val="07F949EC"/>
    <w:rsid w:val="07FC1113"/>
    <w:rsid w:val="0822685D"/>
    <w:rsid w:val="087B7D1C"/>
    <w:rsid w:val="08AF3684"/>
    <w:rsid w:val="08D7672D"/>
    <w:rsid w:val="095E1B17"/>
    <w:rsid w:val="09722ECD"/>
    <w:rsid w:val="09862E1C"/>
    <w:rsid w:val="09A137B2"/>
    <w:rsid w:val="09EA6E37"/>
    <w:rsid w:val="0A0106F5"/>
    <w:rsid w:val="0A0807A0"/>
    <w:rsid w:val="0A310FDA"/>
    <w:rsid w:val="0A426DC6"/>
    <w:rsid w:val="0A9A7D88"/>
    <w:rsid w:val="0AC70AC2"/>
    <w:rsid w:val="0B1701D0"/>
    <w:rsid w:val="0B5F1B77"/>
    <w:rsid w:val="0B9C2483"/>
    <w:rsid w:val="0BC11EE9"/>
    <w:rsid w:val="0BDD3484"/>
    <w:rsid w:val="0BE513A7"/>
    <w:rsid w:val="0C032502"/>
    <w:rsid w:val="0C141EDE"/>
    <w:rsid w:val="0C193AD3"/>
    <w:rsid w:val="0C300E1D"/>
    <w:rsid w:val="0C5B0590"/>
    <w:rsid w:val="0C662A91"/>
    <w:rsid w:val="0CA535B9"/>
    <w:rsid w:val="0CAC2BC9"/>
    <w:rsid w:val="0CEA5470"/>
    <w:rsid w:val="0D501777"/>
    <w:rsid w:val="0DB708FE"/>
    <w:rsid w:val="0DE95727"/>
    <w:rsid w:val="0DFF46DE"/>
    <w:rsid w:val="0E0D4AF2"/>
    <w:rsid w:val="0E400B9F"/>
    <w:rsid w:val="0E4546AC"/>
    <w:rsid w:val="0EB86FCD"/>
    <w:rsid w:val="0EBE3E7B"/>
    <w:rsid w:val="0EF83E74"/>
    <w:rsid w:val="0F19203C"/>
    <w:rsid w:val="0F264E85"/>
    <w:rsid w:val="0F2F360E"/>
    <w:rsid w:val="0F9D4A1B"/>
    <w:rsid w:val="0FC24482"/>
    <w:rsid w:val="0FE34F95"/>
    <w:rsid w:val="10384511"/>
    <w:rsid w:val="104A57A9"/>
    <w:rsid w:val="10C852A7"/>
    <w:rsid w:val="11286567"/>
    <w:rsid w:val="11482EF1"/>
    <w:rsid w:val="11F701D1"/>
    <w:rsid w:val="11FA7F03"/>
    <w:rsid w:val="12176D07"/>
    <w:rsid w:val="12E76E7A"/>
    <w:rsid w:val="136B5CDC"/>
    <w:rsid w:val="14103A0E"/>
    <w:rsid w:val="143B05B9"/>
    <w:rsid w:val="145E012F"/>
    <w:rsid w:val="147026FF"/>
    <w:rsid w:val="147E0AD7"/>
    <w:rsid w:val="15007F26"/>
    <w:rsid w:val="150317C5"/>
    <w:rsid w:val="150C0679"/>
    <w:rsid w:val="156102B8"/>
    <w:rsid w:val="156C1118"/>
    <w:rsid w:val="15903C4E"/>
    <w:rsid w:val="15C745A0"/>
    <w:rsid w:val="16687697"/>
    <w:rsid w:val="174836D7"/>
    <w:rsid w:val="17684DD0"/>
    <w:rsid w:val="17775829"/>
    <w:rsid w:val="17AB16AF"/>
    <w:rsid w:val="17C91873"/>
    <w:rsid w:val="17D71250"/>
    <w:rsid w:val="17EF7DDE"/>
    <w:rsid w:val="17FE49B9"/>
    <w:rsid w:val="180E4708"/>
    <w:rsid w:val="18143A6B"/>
    <w:rsid w:val="185C1918"/>
    <w:rsid w:val="186D1B4E"/>
    <w:rsid w:val="18744A76"/>
    <w:rsid w:val="18AC5CCF"/>
    <w:rsid w:val="18F51424"/>
    <w:rsid w:val="19091C4A"/>
    <w:rsid w:val="192F5C7C"/>
    <w:rsid w:val="19314B52"/>
    <w:rsid w:val="199E3156"/>
    <w:rsid w:val="19AF7825"/>
    <w:rsid w:val="19C568A1"/>
    <w:rsid w:val="19D44C1D"/>
    <w:rsid w:val="1A3F504D"/>
    <w:rsid w:val="1B0E2C71"/>
    <w:rsid w:val="1B632FBD"/>
    <w:rsid w:val="1B827729"/>
    <w:rsid w:val="1BB07BC9"/>
    <w:rsid w:val="1BC23B09"/>
    <w:rsid w:val="1BD67990"/>
    <w:rsid w:val="1BD8669E"/>
    <w:rsid w:val="1C0320AA"/>
    <w:rsid w:val="1C273FEB"/>
    <w:rsid w:val="1C7D15FF"/>
    <w:rsid w:val="1C8C6544"/>
    <w:rsid w:val="1CAB4C1C"/>
    <w:rsid w:val="1CE92A10"/>
    <w:rsid w:val="1D274CCD"/>
    <w:rsid w:val="1D4F79C6"/>
    <w:rsid w:val="1D550FDE"/>
    <w:rsid w:val="1D5C581B"/>
    <w:rsid w:val="1D6E4E35"/>
    <w:rsid w:val="1E393459"/>
    <w:rsid w:val="1E7B23CC"/>
    <w:rsid w:val="1F0C48F4"/>
    <w:rsid w:val="1F394761"/>
    <w:rsid w:val="1F6115C2"/>
    <w:rsid w:val="1F6E3CDF"/>
    <w:rsid w:val="202076CF"/>
    <w:rsid w:val="205151A6"/>
    <w:rsid w:val="20612D7F"/>
    <w:rsid w:val="20765736"/>
    <w:rsid w:val="20D44015"/>
    <w:rsid w:val="20DD55C0"/>
    <w:rsid w:val="210A2DBD"/>
    <w:rsid w:val="2231143C"/>
    <w:rsid w:val="2245341D"/>
    <w:rsid w:val="22574EFE"/>
    <w:rsid w:val="22882FEA"/>
    <w:rsid w:val="22EB3FC4"/>
    <w:rsid w:val="232C1EE7"/>
    <w:rsid w:val="23476D20"/>
    <w:rsid w:val="23614286"/>
    <w:rsid w:val="236379CA"/>
    <w:rsid w:val="237B69CA"/>
    <w:rsid w:val="23906919"/>
    <w:rsid w:val="23CD3AA8"/>
    <w:rsid w:val="23EA427B"/>
    <w:rsid w:val="23FB130C"/>
    <w:rsid w:val="24030E99"/>
    <w:rsid w:val="244553D1"/>
    <w:rsid w:val="24912949"/>
    <w:rsid w:val="24E0742D"/>
    <w:rsid w:val="251175E6"/>
    <w:rsid w:val="254C061E"/>
    <w:rsid w:val="2556149D"/>
    <w:rsid w:val="25BB0CC3"/>
    <w:rsid w:val="25EA2F9C"/>
    <w:rsid w:val="26226C5D"/>
    <w:rsid w:val="2663431E"/>
    <w:rsid w:val="26FA72C2"/>
    <w:rsid w:val="270E64D3"/>
    <w:rsid w:val="274C6FFB"/>
    <w:rsid w:val="279462AC"/>
    <w:rsid w:val="28553C8E"/>
    <w:rsid w:val="28790EF5"/>
    <w:rsid w:val="28C92CBB"/>
    <w:rsid w:val="28E868B0"/>
    <w:rsid w:val="290C4C94"/>
    <w:rsid w:val="29131E04"/>
    <w:rsid w:val="294C6E3F"/>
    <w:rsid w:val="29CD3AB3"/>
    <w:rsid w:val="29CE1F49"/>
    <w:rsid w:val="29FE21D6"/>
    <w:rsid w:val="2A5E32CD"/>
    <w:rsid w:val="2A9E23A4"/>
    <w:rsid w:val="2B7B4862"/>
    <w:rsid w:val="2BC1595D"/>
    <w:rsid w:val="2BE07D12"/>
    <w:rsid w:val="2C0A4D8F"/>
    <w:rsid w:val="2C385076"/>
    <w:rsid w:val="2C484235"/>
    <w:rsid w:val="2C9A4365"/>
    <w:rsid w:val="2C9A7A52"/>
    <w:rsid w:val="2CB84F08"/>
    <w:rsid w:val="2D5B3AF4"/>
    <w:rsid w:val="2DC325EB"/>
    <w:rsid w:val="2DE112C4"/>
    <w:rsid w:val="2E183793"/>
    <w:rsid w:val="2E2948CC"/>
    <w:rsid w:val="2EAD348A"/>
    <w:rsid w:val="2EBE0EDE"/>
    <w:rsid w:val="2F1C5505"/>
    <w:rsid w:val="2F803CE6"/>
    <w:rsid w:val="2F8D28EC"/>
    <w:rsid w:val="304412AC"/>
    <w:rsid w:val="304A60A2"/>
    <w:rsid w:val="30862CC3"/>
    <w:rsid w:val="30D51E0F"/>
    <w:rsid w:val="30E402A4"/>
    <w:rsid w:val="30E43E01"/>
    <w:rsid w:val="30E67B79"/>
    <w:rsid w:val="310821E5"/>
    <w:rsid w:val="314825E1"/>
    <w:rsid w:val="316769E0"/>
    <w:rsid w:val="31BD7D7C"/>
    <w:rsid w:val="32672904"/>
    <w:rsid w:val="32FF7413"/>
    <w:rsid w:val="3309293E"/>
    <w:rsid w:val="33922D7B"/>
    <w:rsid w:val="33A8380B"/>
    <w:rsid w:val="33C148CD"/>
    <w:rsid w:val="34120C85"/>
    <w:rsid w:val="342509B8"/>
    <w:rsid w:val="344E1C6F"/>
    <w:rsid w:val="3542559A"/>
    <w:rsid w:val="356B157C"/>
    <w:rsid w:val="35894399"/>
    <w:rsid w:val="35A707EA"/>
    <w:rsid w:val="35B2271F"/>
    <w:rsid w:val="3668753C"/>
    <w:rsid w:val="368C11C2"/>
    <w:rsid w:val="36F32FEF"/>
    <w:rsid w:val="376D0FF4"/>
    <w:rsid w:val="37C82C94"/>
    <w:rsid w:val="37EB6F48"/>
    <w:rsid w:val="38C718C7"/>
    <w:rsid w:val="392B7033"/>
    <w:rsid w:val="39A56EBD"/>
    <w:rsid w:val="3A241712"/>
    <w:rsid w:val="3A744536"/>
    <w:rsid w:val="3AB1338A"/>
    <w:rsid w:val="3AD44EE6"/>
    <w:rsid w:val="3B141786"/>
    <w:rsid w:val="3B2F036E"/>
    <w:rsid w:val="3B385475"/>
    <w:rsid w:val="3BFA6B84"/>
    <w:rsid w:val="3C09185B"/>
    <w:rsid w:val="3C1108C0"/>
    <w:rsid w:val="3C3C2D43"/>
    <w:rsid w:val="3CC147F6"/>
    <w:rsid w:val="3CC52D38"/>
    <w:rsid w:val="3D133F49"/>
    <w:rsid w:val="3D367D36"/>
    <w:rsid w:val="3D9803AD"/>
    <w:rsid w:val="3DD75110"/>
    <w:rsid w:val="3DDB63EB"/>
    <w:rsid w:val="3E360C3F"/>
    <w:rsid w:val="3EA01CAF"/>
    <w:rsid w:val="3EAA55A5"/>
    <w:rsid w:val="3F5D194E"/>
    <w:rsid w:val="3F623810"/>
    <w:rsid w:val="3FA255B3"/>
    <w:rsid w:val="400F4B9B"/>
    <w:rsid w:val="4010076E"/>
    <w:rsid w:val="402D18B6"/>
    <w:rsid w:val="40586E5C"/>
    <w:rsid w:val="406749C8"/>
    <w:rsid w:val="407C22A8"/>
    <w:rsid w:val="40F95A1A"/>
    <w:rsid w:val="41847666"/>
    <w:rsid w:val="41AB4D3E"/>
    <w:rsid w:val="41C061C4"/>
    <w:rsid w:val="41E74672"/>
    <w:rsid w:val="41F52311"/>
    <w:rsid w:val="42066D19"/>
    <w:rsid w:val="430E73C8"/>
    <w:rsid w:val="431D791B"/>
    <w:rsid w:val="435A3A27"/>
    <w:rsid w:val="43E21F24"/>
    <w:rsid w:val="43F809F6"/>
    <w:rsid w:val="4488274F"/>
    <w:rsid w:val="44AF3681"/>
    <w:rsid w:val="44D77AAC"/>
    <w:rsid w:val="44DE52DF"/>
    <w:rsid w:val="44EE727B"/>
    <w:rsid w:val="451A5BEB"/>
    <w:rsid w:val="453A628D"/>
    <w:rsid w:val="456450B8"/>
    <w:rsid w:val="45BE3CD9"/>
    <w:rsid w:val="45CB1F02"/>
    <w:rsid w:val="45D7273C"/>
    <w:rsid w:val="467A5994"/>
    <w:rsid w:val="46E62229"/>
    <w:rsid w:val="47152B0E"/>
    <w:rsid w:val="4762530A"/>
    <w:rsid w:val="47717F92"/>
    <w:rsid w:val="4797200E"/>
    <w:rsid w:val="493354CD"/>
    <w:rsid w:val="497F0713"/>
    <w:rsid w:val="49E21C9A"/>
    <w:rsid w:val="4A1238E7"/>
    <w:rsid w:val="4A155AE7"/>
    <w:rsid w:val="4B3B50B5"/>
    <w:rsid w:val="4B475260"/>
    <w:rsid w:val="4B5856BF"/>
    <w:rsid w:val="4B8B7843"/>
    <w:rsid w:val="4BAB57EF"/>
    <w:rsid w:val="4C664EF2"/>
    <w:rsid w:val="4C716769"/>
    <w:rsid w:val="4C7B6174"/>
    <w:rsid w:val="4CAF57B3"/>
    <w:rsid w:val="4E2850FC"/>
    <w:rsid w:val="4E910D5D"/>
    <w:rsid w:val="4EE259CC"/>
    <w:rsid w:val="4EED6A89"/>
    <w:rsid w:val="4EF83441"/>
    <w:rsid w:val="4FBD3D43"/>
    <w:rsid w:val="4FFFEDC3"/>
    <w:rsid w:val="503874F1"/>
    <w:rsid w:val="508D7933"/>
    <w:rsid w:val="50A53155"/>
    <w:rsid w:val="511531C6"/>
    <w:rsid w:val="51A159FE"/>
    <w:rsid w:val="520F1848"/>
    <w:rsid w:val="52287B99"/>
    <w:rsid w:val="52333AA7"/>
    <w:rsid w:val="52410C5B"/>
    <w:rsid w:val="5269450D"/>
    <w:rsid w:val="526E3F03"/>
    <w:rsid w:val="529671F9"/>
    <w:rsid w:val="52992845"/>
    <w:rsid w:val="533864BD"/>
    <w:rsid w:val="533C6225"/>
    <w:rsid w:val="547D1CF3"/>
    <w:rsid w:val="54975D21"/>
    <w:rsid w:val="54BF4E56"/>
    <w:rsid w:val="5503044A"/>
    <w:rsid w:val="56080135"/>
    <w:rsid w:val="56245862"/>
    <w:rsid w:val="562C577E"/>
    <w:rsid w:val="567809C3"/>
    <w:rsid w:val="56CD51B3"/>
    <w:rsid w:val="573A3ECB"/>
    <w:rsid w:val="575B02ED"/>
    <w:rsid w:val="57614FE6"/>
    <w:rsid w:val="57EE5AE8"/>
    <w:rsid w:val="5866703A"/>
    <w:rsid w:val="58D8399B"/>
    <w:rsid w:val="595465EE"/>
    <w:rsid w:val="598002BB"/>
    <w:rsid w:val="599124C8"/>
    <w:rsid w:val="5A0C1B4F"/>
    <w:rsid w:val="5A4F3837"/>
    <w:rsid w:val="5A837DC1"/>
    <w:rsid w:val="5ABA3CA0"/>
    <w:rsid w:val="5ABF12B7"/>
    <w:rsid w:val="5B3F505C"/>
    <w:rsid w:val="5B40223A"/>
    <w:rsid w:val="5B4E6197"/>
    <w:rsid w:val="5B500161"/>
    <w:rsid w:val="5B7420A1"/>
    <w:rsid w:val="5BE57E36"/>
    <w:rsid w:val="5C882305"/>
    <w:rsid w:val="5D6B1282"/>
    <w:rsid w:val="5D705536"/>
    <w:rsid w:val="5D7212B5"/>
    <w:rsid w:val="5E0A2849"/>
    <w:rsid w:val="5E3E6CDB"/>
    <w:rsid w:val="5E6A32E8"/>
    <w:rsid w:val="5E8048B9"/>
    <w:rsid w:val="5E940365"/>
    <w:rsid w:val="5E95226E"/>
    <w:rsid w:val="5EA66A16"/>
    <w:rsid w:val="5ED54C05"/>
    <w:rsid w:val="5F08322C"/>
    <w:rsid w:val="5F381638"/>
    <w:rsid w:val="5F8F2016"/>
    <w:rsid w:val="5F8F3BE9"/>
    <w:rsid w:val="60031CB2"/>
    <w:rsid w:val="608368E3"/>
    <w:rsid w:val="60C413D5"/>
    <w:rsid w:val="6111668E"/>
    <w:rsid w:val="615B6F6B"/>
    <w:rsid w:val="623E27EF"/>
    <w:rsid w:val="626A5FAC"/>
    <w:rsid w:val="62D32DCD"/>
    <w:rsid w:val="62D578C9"/>
    <w:rsid w:val="63422A85"/>
    <w:rsid w:val="63736D0F"/>
    <w:rsid w:val="63EC046F"/>
    <w:rsid w:val="64041E8E"/>
    <w:rsid w:val="641A41AD"/>
    <w:rsid w:val="646A4041"/>
    <w:rsid w:val="6470717E"/>
    <w:rsid w:val="649D4417"/>
    <w:rsid w:val="64A137C1"/>
    <w:rsid w:val="65393A14"/>
    <w:rsid w:val="65562818"/>
    <w:rsid w:val="655D6C47"/>
    <w:rsid w:val="658E3D60"/>
    <w:rsid w:val="658F2B3B"/>
    <w:rsid w:val="65BD63F3"/>
    <w:rsid w:val="65D35C16"/>
    <w:rsid w:val="662D5327"/>
    <w:rsid w:val="66361BAE"/>
    <w:rsid w:val="663F505A"/>
    <w:rsid w:val="66521231"/>
    <w:rsid w:val="666F1DE3"/>
    <w:rsid w:val="66AA05FC"/>
    <w:rsid w:val="66E14363"/>
    <w:rsid w:val="66FE6C82"/>
    <w:rsid w:val="671169F6"/>
    <w:rsid w:val="6736645D"/>
    <w:rsid w:val="678B644F"/>
    <w:rsid w:val="6816407A"/>
    <w:rsid w:val="682664D1"/>
    <w:rsid w:val="68297D70"/>
    <w:rsid w:val="682D3D04"/>
    <w:rsid w:val="685665D7"/>
    <w:rsid w:val="69006D22"/>
    <w:rsid w:val="69056046"/>
    <w:rsid w:val="69111763"/>
    <w:rsid w:val="69823BDB"/>
    <w:rsid w:val="6A2829D5"/>
    <w:rsid w:val="6A2C3B47"/>
    <w:rsid w:val="6A303173"/>
    <w:rsid w:val="6AC36259"/>
    <w:rsid w:val="6AC62B5C"/>
    <w:rsid w:val="6AF573BF"/>
    <w:rsid w:val="6B3C7509"/>
    <w:rsid w:val="6B67752D"/>
    <w:rsid w:val="6B6F1F3D"/>
    <w:rsid w:val="6B7645C5"/>
    <w:rsid w:val="6BBD714D"/>
    <w:rsid w:val="6C430180"/>
    <w:rsid w:val="6CA87DFD"/>
    <w:rsid w:val="6CCA5E07"/>
    <w:rsid w:val="6D943EDD"/>
    <w:rsid w:val="6E1E6C74"/>
    <w:rsid w:val="6E5978B6"/>
    <w:rsid w:val="6E5F5B87"/>
    <w:rsid w:val="6EC1605C"/>
    <w:rsid w:val="6F06541D"/>
    <w:rsid w:val="6F767D3E"/>
    <w:rsid w:val="6FEA019C"/>
    <w:rsid w:val="6FED3D79"/>
    <w:rsid w:val="70001CFE"/>
    <w:rsid w:val="709D5B77"/>
    <w:rsid w:val="70DE7195"/>
    <w:rsid w:val="71184E25"/>
    <w:rsid w:val="715776FB"/>
    <w:rsid w:val="71AD7C63"/>
    <w:rsid w:val="71F210A6"/>
    <w:rsid w:val="71F47640"/>
    <w:rsid w:val="72071122"/>
    <w:rsid w:val="72CC0A62"/>
    <w:rsid w:val="7350022B"/>
    <w:rsid w:val="7363682B"/>
    <w:rsid w:val="73AF381F"/>
    <w:rsid w:val="73C60B68"/>
    <w:rsid w:val="74DA4670"/>
    <w:rsid w:val="75F052ED"/>
    <w:rsid w:val="762D4ECF"/>
    <w:rsid w:val="76350175"/>
    <w:rsid w:val="76FD4B73"/>
    <w:rsid w:val="77236647"/>
    <w:rsid w:val="7808174F"/>
    <w:rsid w:val="780D13B5"/>
    <w:rsid w:val="78197E01"/>
    <w:rsid w:val="78713799"/>
    <w:rsid w:val="789C3DC3"/>
    <w:rsid w:val="79BC128C"/>
    <w:rsid w:val="79E32474"/>
    <w:rsid w:val="7A2806AC"/>
    <w:rsid w:val="7A566D58"/>
    <w:rsid w:val="7A666C01"/>
    <w:rsid w:val="7B09415C"/>
    <w:rsid w:val="7B851309"/>
    <w:rsid w:val="7B8B5094"/>
    <w:rsid w:val="7B9C0D55"/>
    <w:rsid w:val="7BCF6656"/>
    <w:rsid w:val="7BE14791"/>
    <w:rsid w:val="7CEF2EDE"/>
    <w:rsid w:val="7D0970E6"/>
    <w:rsid w:val="7D126505"/>
    <w:rsid w:val="7D176902"/>
    <w:rsid w:val="7D273B57"/>
    <w:rsid w:val="7D4E7230"/>
    <w:rsid w:val="7D741635"/>
    <w:rsid w:val="7DA261A2"/>
    <w:rsid w:val="7DBA173E"/>
    <w:rsid w:val="7DC9372F"/>
    <w:rsid w:val="7DCE2E07"/>
    <w:rsid w:val="7DD10836"/>
    <w:rsid w:val="7E926217"/>
    <w:rsid w:val="7EC5199F"/>
    <w:rsid w:val="7F0F1615"/>
    <w:rsid w:val="7F2A46A1"/>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0"/>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2"/>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3"/>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31"/>
    <w:qFormat/>
    <w:uiPriority w:val="0"/>
    <w:pPr>
      <w:ind w:firstLine="420"/>
    </w:pPr>
    <w:rPr>
      <w:rFonts w:hAnsi="Verdana" w:cs="Times New Roman"/>
      <w:bCs/>
      <w:szCs w:val="24"/>
    </w:rPr>
  </w:style>
  <w:style w:type="paragraph" w:styleId="6">
    <w:name w:val="Body Text"/>
    <w:basedOn w:val="1"/>
    <w:next w:val="1"/>
    <w:unhideWhenUsed/>
    <w:qFormat/>
    <w:uiPriority w:val="99"/>
    <w:rPr>
      <w:rFonts w:asciiTheme="minorHAnsi" w:hAnsiTheme="minorHAnsi" w:cstheme="minorBidi"/>
      <w:szCs w:val="22"/>
    </w:rPr>
  </w:style>
  <w:style w:type="paragraph" w:styleId="7">
    <w:name w:val="Document Map"/>
    <w:basedOn w:val="1"/>
    <w:link w:val="37"/>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Indent"/>
    <w:basedOn w:val="1"/>
    <w:qFormat/>
    <w:uiPriority w:val="0"/>
    <w:pPr>
      <w:spacing w:line="360" w:lineRule="auto"/>
      <w:ind w:firstLine="420" w:firstLineChars="200"/>
    </w:pPr>
  </w:style>
  <w:style w:type="paragraph" w:styleId="10">
    <w:name w:val="Plain Text"/>
    <w:basedOn w:val="1"/>
    <w:link w:val="41"/>
    <w:semiHidden/>
    <w:unhideWhenUsed/>
    <w:qFormat/>
    <w:uiPriority w:val="99"/>
    <w:rPr>
      <w:rFonts w:ascii="宋体" w:hAnsi="Courier New" w:cs="Times New Roman"/>
      <w:szCs w:val="20"/>
    </w:rPr>
  </w:style>
  <w:style w:type="paragraph" w:styleId="11">
    <w:name w:val="Balloon Text"/>
    <w:basedOn w:val="1"/>
    <w:link w:val="35"/>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unhideWhenUsed/>
    <w:qFormat/>
    <w:uiPriority w:val="99"/>
    <w:pPr>
      <w:ind w:left="200" w:leftChars="200" w:hanging="200" w:hangingChars="200"/>
    </w:pPr>
    <w:rPr>
      <w:rFonts w:eastAsia="等线"/>
      <w:szCs w:val="21"/>
    </w:rPr>
  </w:style>
  <w:style w:type="paragraph" w:styleId="15">
    <w:name w:val="Body Text 2"/>
    <w:basedOn w:val="1"/>
    <w:qFormat/>
    <w:uiPriority w:val="0"/>
    <w:pPr>
      <w:spacing w:line="360" w:lineRule="auto"/>
    </w:pPr>
    <w:rPr>
      <w:sz w:val="24"/>
    </w:rPr>
  </w:style>
  <w:style w:type="paragraph" w:styleId="16">
    <w:name w:val="Normal (Web)"/>
    <w:basedOn w:val="1"/>
    <w:link w:val="40"/>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9"/>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eastAsia="宋体"/>
      <w:color w:val="0000FF"/>
      <w:kern w:val="2"/>
      <w:sz w:val="24"/>
      <w:szCs w:val="24"/>
      <w:u w:val="single"/>
      <w:lang w:val="en-US" w:eastAsia="zh-CN" w:bidi="ar-SA"/>
    </w:rPr>
  </w:style>
  <w:style w:type="character" w:styleId="23">
    <w:name w:val="annotation reference"/>
    <w:basedOn w:val="21"/>
    <w:qFormat/>
    <w:uiPriority w:val="99"/>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表格文字"/>
    <w:basedOn w:val="1"/>
    <w:qFormat/>
    <w:uiPriority w:val="99"/>
    <w:pPr>
      <w:spacing w:before="25" w:after="25"/>
    </w:pPr>
    <w:rPr>
      <w:spacing w:val="10"/>
      <w:sz w:val="24"/>
    </w:rPr>
  </w:style>
  <w:style w:type="paragraph" w:customStyle="1" w:styleId="26">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7">
    <w:name w:val="默认段落字体 Para Char Char Char Char"/>
    <w:basedOn w:val="1"/>
    <w:qFormat/>
    <w:uiPriority w:val="99"/>
    <w:rPr>
      <w:rFonts w:ascii="Times New Roman" w:hAnsi="Times New Roman" w:cs="Times New Roman"/>
    </w:rPr>
  </w:style>
  <w:style w:type="character" w:customStyle="1" w:styleId="28">
    <w:name w:val="页眉 Char"/>
    <w:basedOn w:val="21"/>
    <w:link w:val="13"/>
    <w:qFormat/>
    <w:uiPriority w:val="99"/>
    <w:rPr>
      <w:rFonts w:cs="Calibri"/>
      <w:sz w:val="18"/>
      <w:szCs w:val="18"/>
    </w:rPr>
  </w:style>
  <w:style w:type="character" w:customStyle="1" w:styleId="29">
    <w:name w:val="页脚 Char"/>
    <w:basedOn w:val="21"/>
    <w:link w:val="12"/>
    <w:qFormat/>
    <w:uiPriority w:val="99"/>
    <w:rPr>
      <w:rFonts w:cs="Calibri"/>
      <w:sz w:val="18"/>
      <w:szCs w:val="18"/>
    </w:rPr>
  </w:style>
  <w:style w:type="character" w:customStyle="1" w:styleId="30">
    <w:name w:val="标题 2 Char"/>
    <w:basedOn w:val="21"/>
    <w:link w:val="2"/>
    <w:qFormat/>
    <w:uiPriority w:val="0"/>
    <w:rPr>
      <w:rFonts w:ascii="宋体" w:hAnsi="宋体"/>
      <w:b/>
      <w:sz w:val="24"/>
    </w:rPr>
  </w:style>
  <w:style w:type="character" w:customStyle="1" w:styleId="31">
    <w:name w:val="正文缩进 Char"/>
    <w:basedOn w:val="21"/>
    <w:link w:val="5"/>
    <w:qFormat/>
    <w:uiPriority w:val="0"/>
    <w:rPr>
      <w:rFonts w:hAnsi="Verdana"/>
      <w:bCs/>
      <w:kern w:val="2"/>
      <w:sz w:val="21"/>
      <w:szCs w:val="24"/>
    </w:rPr>
  </w:style>
  <w:style w:type="character" w:customStyle="1" w:styleId="32">
    <w:name w:val="标题 3 Char"/>
    <w:basedOn w:val="21"/>
    <w:link w:val="3"/>
    <w:semiHidden/>
    <w:qFormat/>
    <w:uiPriority w:val="0"/>
    <w:rPr>
      <w:rFonts w:cs="Calibri"/>
      <w:b/>
      <w:bCs/>
      <w:kern w:val="2"/>
      <w:sz w:val="32"/>
      <w:szCs w:val="32"/>
    </w:rPr>
  </w:style>
  <w:style w:type="character" w:customStyle="1" w:styleId="33">
    <w:name w:val="标题 4 Char"/>
    <w:basedOn w:val="21"/>
    <w:link w:val="4"/>
    <w:semiHidden/>
    <w:qFormat/>
    <w:uiPriority w:val="0"/>
    <w:rPr>
      <w:rFonts w:ascii="Cambria" w:hAnsi="Cambria" w:eastAsia="宋体" w:cs="Times New Roman"/>
      <w:b/>
      <w:bCs/>
      <w:kern w:val="2"/>
      <w:sz w:val="28"/>
      <w:szCs w:val="28"/>
    </w:rPr>
  </w:style>
  <w:style w:type="paragraph" w:customStyle="1" w:styleId="34">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5">
    <w:name w:val="批注框文本 Char"/>
    <w:basedOn w:val="21"/>
    <w:link w:val="11"/>
    <w:semiHidden/>
    <w:qFormat/>
    <w:uiPriority w:val="99"/>
    <w:rPr>
      <w:rFonts w:cs="Calibri"/>
      <w:kern w:val="2"/>
      <w:sz w:val="18"/>
      <w:szCs w:val="18"/>
    </w:rPr>
  </w:style>
  <w:style w:type="paragraph" w:styleId="36">
    <w:name w:val="List Paragraph"/>
    <w:basedOn w:val="1"/>
    <w:qFormat/>
    <w:uiPriority w:val="34"/>
    <w:pPr>
      <w:ind w:firstLine="420" w:firstLineChars="200"/>
    </w:pPr>
  </w:style>
  <w:style w:type="character" w:customStyle="1" w:styleId="37">
    <w:name w:val="文档结构图 Char"/>
    <w:basedOn w:val="21"/>
    <w:link w:val="7"/>
    <w:semiHidden/>
    <w:qFormat/>
    <w:uiPriority w:val="99"/>
    <w:rPr>
      <w:rFonts w:ascii="宋体" w:cs="Calibri"/>
      <w:kern w:val="2"/>
      <w:sz w:val="18"/>
      <w:szCs w:val="18"/>
    </w:rPr>
  </w:style>
  <w:style w:type="paragraph" w:customStyle="1" w:styleId="38">
    <w:name w:val="_Style 1"/>
    <w:basedOn w:val="1"/>
    <w:qFormat/>
    <w:uiPriority w:val="0"/>
  </w:style>
  <w:style w:type="paragraph" w:customStyle="1" w:styleId="39">
    <w:name w:val="_Style 2"/>
    <w:basedOn w:val="1"/>
    <w:qFormat/>
    <w:uiPriority w:val="0"/>
  </w:style>
  <w:style w:type="character" w:customStyle="1" w:styleId="40">
    <w:name w:val="普通(网站) Char"/>
    <w:link w:val="16"/>
    <w:qFormat/>
    <w:uiPriority w:val="99"/>
    <w:rPr>
      <w:rFonts w:ascii="宋体" w:hAnsi="宋体" w:cs="宋体"/>
      <w:sz w:val="24"/>
      <w:szCs w:val="24"/>
    </w:rPr>
  </w:style>
  <w:style w:type="character" w:customStyle="1" w:styleId="41">
    <w:name w:val="纯文本 Char"/>
    <w:basedOn w:val="21"/>
    <w:link w:val="10"/>
    <w:semiHidden/>
    <w:qFormat/>
    <w:uiPriority w:val="99"/>
    <w:rPr>
      <w:rFonts w:ascii="宋体" w:hAnsi="Courier New"/>
      <w:kern w:val="2"/>
      <w:sz w:val="21"/>
    </w:rPr>
  </w:style>
  <w:style w:type="paragraph" w:customStyle="1" w:styleId="42">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3">
    <w:name w:val="列出段落1"/>
    <w:basedOn w:val="1"/>
    <w:qFormat/>
    <w:uiPriority w:val="0"/>
    <w:pPr>
      <w:ind w:firstLine="420" w:firstLineChars="200"/>
    </w:pPr>
    <w:rPr>
      <w:szCs w:val="24"/>
    </w:rPr>
  </w:style>
  <w:style w:type="character" w:customStyle="1" w:styleId="44">
    <w:name w:val="NormalCharacter"/>
    <w:qFormat/>
    <w:uiPriority w:val="0"/>
    <w:rPr>
      <w:kern w:val="2"/>
      <w:sz w:val="21"/>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 w:type="table" w:customStyle="1" w:styleId="48">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51</Pages>
  <Words>3966</Words>
  <Characters>3998</Characters>
  <Lines>1</Lines>
  <Paragraphs>1</Paragraphs>
  <TotalTime>38</TotalTime>
  <ScaleCrop>false</ScaleCrop>
  <LinksUpToDate>false</LinksUpToDate>
  <CharactersWithSpaces>4862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Gao</cp:lastModifiedBy>
  <cp:lastPrinted>2023-05-19T00:05:00Z</cp:lastPrinted>
  <dcterms:modified xsi:type="dcterms:W3CDTF">2026-04-08T03:12:52Z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6DF2B07346194A30963652C0FB2CA6F7_13</vt:lpwstr>
  </property>
  <property fmtid="{D5CDD505-2E9C-101B-9397-08002B2CF9AE}" pid="4" name="KSOTemplateDocerSaveRecord">
    <vt:lpwstr>eyJoZGlkIjoiN2Y4ZDA5ZTk2YzY4YjcyNDA3Y2NhOGY3MmQ2Nzg3NjMiLCJ1c2VySWQiOiI0NDA0ODE5ODgifQ==</vt:lpwstr>
  </property>
</Properties>
</file>