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方正小标宋简体" w:hAnsi="方正小标宋简体" w:eastAsia="方正小标宋简体" w:cs="方正小标宋简体"/>
          <w:b w:val="0"/>
          <w:bCs w:val="0"/>
          <w:kern w:val="2"/>
          <w:sz w:val="44"/>
          <w:szCs w:val="20"/>
          <w:highlight w:val="none"/>
          <w:lang w:eastAsia="zh-CN"/>
        </w:rPr>
      </w:pPr>
      <w:r>
        <w:rPr>
          <w:rFonts w:hint="default" w:ascii="方正小标宋简体" w:hAnsi="方正小标宋简体" w:eastAsia="方正小标宋简体" w:cs="方正小标宋简体"/>
          <w:b w:val="0"/>
          <w:bCs w:val="0"/>
          <w:kern w:val="2"/>
          <w:sz w:val="44"/>
          <w:szCs w:val="20"/>
          <w:highlight w:val="none"/>
          <w:lang w:eastAsia="zh-CN"/>
        </w:rPr>
        <w:t>公众意见采纳情况表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highlight w:val="none"/>
        </w:rPr>
      </w:pPr>
      <w:r>
        <w:rPr>
          <w:rFonts w:hint="eastAsia"/>
          <w:highlight w:val="none"/>
        </w:rPr>
        <w:t xml:space="preserve"> </w:t>
      </w:r>
    </w:p>
    <w:tbl>
      <w:tblPr>
        <w:tblStyle w:val="6"/>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538"/>
        <w:gridCol w:w="623"/>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黑体_GBK" w:hAnsi="方正黑体_GBK" w:eastAsia="方正黑体_GBK" w:cs="方正黑体_GBK"/>
                <w:color w:val="auto"/>
                <w:kern w:val="0"/>
                <w:sz w:val="28"/>
                <w:szCs w:val="28"/>
                <w:highlight w:val="none"/>
                <w:vertAlign w:val="baseline"/>
              </w:rPr>
            </w:pPr>
            <w:r>
              <w:rPr>
                <w:rFonts w:hint="eastAsia" w:ascii="方正黑体_GBK" w:hAnsi="方正黑体_GBK" w:eastAsia="方正黑体_GBK" w:cs="方正黑体_GBK"/>
                <w:color w:val="auto"/>
                <w:kern w:val="0"/>
                <w:sz w:val="28"/>
                <w:szCs w:val="28"/>
                <w:highlight w:val="none"/>
                <w:vertAlign w:val="baseline"/>
              </w:rPr>
              <w:t>序号</w:t>
            </w:r>
          </w:p>
        </w:tc>
        <w:tc>
          <w:tcPr>
            <w:tcW w:w="8538"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黑体_GBK" w:hAnsi="方正黑体_GBK" w:eastAsia="方正黑体_GBK" w:cs="方正黑体_GBK"/>
                <w:color w:val="auto"/>
                <w:kern w:val="0"/>
                <w:sz w:val="28"/>
                <w:szCs w:val="28"/>
                <w:highlight w:val="none"/>
                <w:vertAlign w:val="baseline"/>
              </w:rPr>
            </w:pPr>
            <w:r>
              <w:rPr>
                <w:rFonts w:hint="eastAsia" w:ascii="方正黑体_GBK" w:hAnsi="方正黑体_GBK" w:eastAsia="方正黑体_GBK" w:cs="方正黑体_GBK"/>
                <w:color w:val="auto"/>
                <w:kern w:val="0"/>
                <w:sz w:val="28"/>
                <w:szCs w:val="28"/>
                <w:highlight w:val="none"/>
                <w:vertAlign w:val="baseline"/>
              </w:rPr>
              <w:t>反馈意见</w:t>
            </w:r>
          </w:p>
        </w:tc>
        <w:tc>
          <w:tcPr>
            <w:tcW w:w="4635" w:type="dxa"/>
            <w:gridSpan w:val="2"/>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方正黑体_GBK" w:hAnsi="方正黑体_GBK" w:eastAsia="方正黑体_GBK" w:cs="方正黑体_GBK"/>
                <w:color w:val="auto"/>
                <w:kern w:val="0"/>
                <w:sz w:val="28"/>
                <w:szCs w:val="28"/>
                <w:highlight w:val="none"/>
                <w:vertAlign w:val="baseline"/>
              </w:rPr>
            </w:pPr>
            <w:r>
              <w:rPr>
                <w:rFonts w:hint="eastAsia" w:ascii="方正黑体_GBK" w:hAnsi="方正黑体_GBK" w:eastAsia="方正黑体_GBK" w:cs="方正黑体_GBK"/>
                <w:color w:val="auto"/>
                <w:kern w:val="0"/>
                <w:sz w:val="28"/>
                <w:szCs w:val="28"/>
                <w:highlight w:val="none"/>
                <w:vertAlign w:val="baseline"/>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rPr>
            </w:pPr>
            <w:r>
              <w:rPr>
                <w:rFonts w:hint="default" w:ascii="仿宋_GB2312" w:hAnsi="仿宋_GB2312" w:eastAsia="仿宋_GB2312" w:cs="仿宋_GB2312"/>
                <w:color w:val="auto"/>
                <w:kern w:val="0"/>
                <w:sz w:val="28"/>
                <w:szCs w:val="28"/>
                <w:highlight w:val="none"/>
                <w:vertAlign w:val="baseline"/>
              </w:rPr>
              <w:t>1</w:t>
            </w:r>
          </w:p>
        </w:tc>
        <w:tc>
          <w:tcPr>
            <w:tcW w:w="8538"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0" w:firstLineChars="200"/>
              <w:jc w:val="left"/>
              <w:textAlignment w:val="auto"/>
              <w:outlineLvl w:val="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对于《深圳市龙岗区关于支持人工智能产业引领高质量发展若干措施（修订稿）》，（十）支持人工智能应用场景示范项目：支持建设龙岗区机器人场景应用“揭榜挂帅”项目，符合相关条件的，对发榜方（场景需求方）的项目给予最高200万元支持，对揭榜方（技术供给方）的项目给予最高300万元支持。及实施细则（修订稿），第十七条 应用场景揭榜项目扶持。我司提出的修改建议如下：</w:t>
            </w:r>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0" w:firstLineChars="200"/>
              <w:jc w:val="left"/>
              <w:textAlignment w:val="auto"/>
              <w:outlineLvl w:val="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1、支持3C精密制造的分拣、包装、组装、检测等场景；</w:t>
            </w:r>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0" w:firstLineChars="200"/>
              <w:jc w:val="left"/>
              <w:textAlignment w:val="auto"/>
              <w:outlineLvl w:val="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2、支持人形机器人生产加工相关场景；</w:t>
            </w:r>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0" w:firstLineChars="200"/>
              <w:jc w:val="left"/>
              <w:textAlignment w:val="auto"/>
              <w:outlineLvl w:val="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3、企业通过自有研发团队进行设计实施并应用时，可以同时领取场景需求方和技术供给方补贴支持；</w:t>
            </w:r>
          </w:p>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0" w:firstLineChars="200"/>
              <w:jc w:val="left"/>
              <w:textAlignment w:val="auto"/>
              <w:outlineLvl w:val="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4、支持在龙岗区的企业，在其异地分公司进行方案落地和实施。</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lang w:val="en-US" w:eastAsia="zh-CN"/>
              </w:rPr>
              <w:t>解释</w:t>
            </w:r>
          </w:p>
        </w:tc>
        <w:tc>
          <w:tcPr>
            <w:tcW w:w="4012"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1.本条款支持3C精密制造的分拣、包装、组装、检测等场景，支持人形机器人生产加工相关场景，具体根据“揭榜挂帅”项目进行征集评选。</w:t>
            </w: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2.本条款中，场景需求方和技术供给方应为非关联方。</w:t>
            </w:r>
          </w:p>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3.本条款支持企业在龙岗区建设场景，场景需在龙岗区进行建设和落地。</w:t>
            </w:r>
          </w:p>
          <w:p>
            <w:pPr>
              <w:pStyle w:val="2"/>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2</w:t>
            </w:r>
          </w:p>
        </w:tc>
        <w:tc>
          <w:tcPr>
            <w:tcW w:w="8538" w:type="dxa"/>
          </w:tcPr>
          <w:p>
            <w:pPr>
              <w:keepNext w:val="0"/>
              <w:keepLines w:val="0"/>
              <w:pageBreakBefore w:val="0"/>
              <w:widowControl/>
              <w:kinsoku/>
              <w:wordWrap/>
              <w:overflowPunct/>
              <w:topLinePunct w:val="0"/>
              <w:autoSpaceDE/>
              <w:autoSpaceDN/>
              <w:bidi w:val="0"/>
              <w:adjustRightInd w:val="0"/>
              <w:snapToGrid w:val="0"/>
              <w:spacing w:line="560" w:lineRule="exact"/>
              <w:ind w:right="0" w:rightChars="0" w:firstLine="560" w:firstLineChars="200"/>
              <w:jc w:val="left"/>
              <w:textAlignment w:val="auto"/>
              <w:outlineLvl w:val="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支持大模型和智能体开源项目和人工智能开源社区建设运营。是否能增加对人工智能开源项目和社区的支持。人工智能领域很多基础设施是开源的，而且开源本身具有一定公益和非盈利性质，确实需要支持。</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lang w:val="en-US" w:eastAsia="zh-CN"/>
              </w:rPr>
              <w:t>采纳</w:t>
            </w:r>
          </w:p>
        </w:tc>
        <w:tc>
          <w:tcPr>
            <w:tcW w:w="4012" w:type="dxa"/>
          </w:tcPr>
          <w:p>
            <w:pPr>
              <w:pStyle w:val="2"/>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3</w:t>
            </w:r>
          </w:p>
        </w:tc>
        <w:tc>
          <w:tcPr>
            <w:tcW w:w="8538" w:type="dxa"/>
          </w:tcPr>
          <w:p>
            <w:pPr>
              <w:pStyle w:val="2"/>
              <w:ind w:firstLine="560" w:firstLineChars="200"/>
              <w:rPr>
                <w:rFonts w:hint="eastAsia" w:ascii="仿宋_GB2312" w:hAnsi="仿宋_GB2312" w:eastAsia="仿宋_GB2312" w:cs="仿宋_GB2312"/>
                <w:color w:val="auto"/>
                <w:kern w:val="0"/>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vertAlign w:val="baseline"/>
              </w:rPr>
              <w:t>对</w:t>
            </w:r>
            <w:r>
              <w:rPr>
                <w:rFonts w:hint="eastAsia" w:ascii="仿宋_GB2312" w:hAnsi="仿宋_GB2312" w:eastAsia="仿宋_GB2312" w:cs="仿宋_GB2312"/>
                <w:color w:val="auto"/>
                <w:kern w:val="0"/>
                <w:sz w:val="28"/>
                <w:szCs w:val="28"/>
                <w:highlight w:val="none"/>
                <w:vertAlign w:val="baseline"/>
                <w:lang w:eastAsia="zh-CN"/>
              </w:rPr>
              <w:t>于</w:t>
            </w:r>
            <w:r>
              <w:rPr>
                <w:rFonts w:hint="eastAsia" w:ascii="仿宋_GB2312" w:hAnsi="仿宋_GB2312" w:eastAsia="仿宋_GB2312" w:cs="仿宋_GB2312"/>
                <w:color w:val="auto"/>
                <w:kern w:val="0"/>
                <w:sz w:val="28"/>
                <w:szCs w:val="28"/>
                <w:highlight w:val="none"/>
                <w:vertAlign w:val="baseline"/>
              </w:rPr>
              <w:t>《深圳市龙岗区工业和信息化产业发展专项资金关于支持人工智能产业引领高质量发展实施细则（修订稿）》，</w:t>
            </w:r>
            <w:r>
              <w:rPr>
                <w:rFonts w:hint="eastAsia" w:ascii="仿宋_GB2312" w:hAnsi="仿宋_GB2312" w:eastAsia="仿宋_GB2312" w:cs="仿宋_GB2312"/>
                <w:color w:val="auto"/>
                <w:kern w:val="0"/>
                <w:sz w:val="28"/>
                <w:szCs w:val="28"/>
                <w:highlight w:val="none"/>
                <w:vertAlign w:val="baseline"/>
                <w:lang w:eastAsia="zh-CN"/>
              </w:rPr>
              <w:t>有以下修改建议和理由：</w:t>
            </w:r>
          </w:p>
          <w:p>
            <w:pPr>
              <w:pStyle w:val="2"/>
              <w:ind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lang w:val="en-US" w:eastAsia="zh-CN"/>
              </w:rPr>
              <w:t>1.</w:t>
            </w:r>
            <w:r>
              <w:rPr>
                <w:rFonts w:hint="eastAsia" w:ascii="仿宋_GB2312" w:hAnsi="仿宋_GB2312" w:eastAsia="仿宋_GB2312" w:cs="仿宋_GB2312"/>
                <w:color w:val="auto"/>
                <w:kern w:val="0"/>
                <w:sz w:val="28"/>
                <w:szCs w:val="28"/>
                <w:highlight w:val="none"/>
                <w:vertAlign w:val="baseline"/>
              </w:rPr>
              <w:t>第九条（具身智能机器人应用扶持）建议：扶持上限由200万元提升至500万元。理由：具身智能机器人研发涉及软硬件高度耦合，单项目样机试制与首次销售成本常达数千万。200万元上限仅能覆盖极小部分，激励作用有限。提升至500万元方能实质分担企业高风险投入，对标一线城市政策力度，避免龙头企业外流。</w:t>
            </w:r>
          </w:p>
          <w:p>
            <w:pPr>
              <w:pStyle w:val="2"/>
              <w:ind w:firstLine="560" w:firstLineChars="200"/>
              <w:rPr>
                <w:rFonts w:hint="default"/>
                <w:highlight w:val="no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2.</w:t>
            </w:r>
            <w:r>
              <w:rPr>
                <w:rFonts w:hint="eastAsia" w:ascii="仿宋_GB2312" w:hAnsi="仿宋_GB2312" w:eastAsia="仿宋_GB2312" w:cs="仿宋_GB2312"/>
                <w:color w:val="auto"/>
                <w:kern w:val="0"/>
                <w:sz w:val="28"/>
                <w:szCs w:val="28"/>
                <w:highlight w:val="none"/>
                <w:vertAlign w:val="baseline"/>
              </w:rPr>
              <w:t>第十条（智能硬件创新发展扶持）建议：扶持上限由200万元提升至500万元。理由：AI与硬件融合研发投入巨大，且大模型接入、安全检测等合规成本激增。原有上限难以支撑企业创新迭代。提高额度可精准降低企业研发与获客成本，抢抓AI硬件爆发窗口，加速龙岗万亿级智能终端产业集群转型升级。</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解释</w:t>
            </w:r>
          </w:p>
        </w:tc>
        <w:tc>
          <w:tcPr>
            <w:tcW w:w="4012" w:type="dxa"/>
          </w:tcPr>
          <w:p>
            <w:pPr>
              <w:pStyle w:val="2"/>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1.专项资金实行总额控制、预算约束，大幅提高上限将影响财政可持续性及其他项目扶持公平性。</w:t>
            </w:r>
          </w:p>
          <w:p>
            <w:pPr>
              <w:pStyle w:val="2"/>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rPr>
              <w:t>2.本条款定位为应用引导型补贴，旨在鼓励首次试用推广，而非大额成本覆盖。</w:t>
            </w:r>
          </w:p>
          <w:p>
            <w:pPr>
              <w:pStyle w:val="2"/>
              <w:rPr>
                <w:rFonts w:hint="default"/>
                <w:highlight w:val="none"/>
                <w:lang w:val="en-US" w:eastAsia="zh-CN"/>
              </w:rPr>
            </w:pPr>
            <w:r>
              <w:rPr>
                <w:rFonts w:hint="eastAsia" w:ascii="仿宋_GB2312" w:hAnsi="仿宋_GB2312" w:eastAsia="仿宋_GB2312" w:cs="仿宋_GB2312"/>
                <w:color w:val="auto"/>
                <w:kern w:val="0"/>
                <w:sz w:val="28"/>
                <w:szCs w:val="28"/>
                <w:highlight w:val="none"/>
                <w:vertAlign w:val="baseline"/>
                <w:lang w:val="en-US" w:eastAsia="zh-CN" w:bidi="ar-SA"/>
              </w:rPr>
              <w:t>3.本条款根据行业特性和研发生产等具体情况设定，过高的扶持额度对产业的边际效应和带动作用并不明显。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4</w:t>
            </w:r>
          </w:p>
        </w:tc>
        <w:tc>
          <w:tcPr>
            <w:tcW w:w="8538" w:type="dxa"/>
          </w:tcPr>
          <w:p>
            <w:pPr>
              <w:pStyle w:val="2"/>
              <w:ind w:firstLine="560" w:firstLineChars="200"/>
              <w:rPr>
                <w:rFonts w:hint="eastAsia" w:eastAsia="仿宋_GB2312"/>
                <w:highlight w:val="none"/>
                <w:lang w:eastAsia="zh-CN"/>
              </w:rPr>
            </w:pPr>
            <w:r>
              <w:rPr>
                <w:rFonts w:hint="eastAsia" w:ascii="仿宋_GB2312" w:hAnsi="仿宋_GB2312" w:eastAsia="仿宋_GB2312" w:cs="仿宋_GB2312"/>
                <w:color w:val="auto"/>
                <w:kern w:val="0"/>
                <w:sz w:val="28"/>
                <w:szCs w:val="28"/>
                <w:highlight w:val="none"/>
                <w:vertAlign w:val="baseline"/>
                <w:lang w:eastAsia="zh-CN"/>
              </w:rPr>
              <w:t>对于机器人券的相关扶持政策，建议修改具身智能机器人的认定标准和相关表述，把专用无人车等产品纳入机器人券的扶持范围内。</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采纳</w:t>
            </w:r>
          </w:p>
        </w:tc>
        <w:tc>
          <w:tcPr>
            <w:tcW w:w="4012" w:type="dxa"/>
          </w:tcPr>
          <w:p>
            <w:pPr>
              <w:pStyle w:val="2"/>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5</w:t>
            </w:r>
          </w:p>
        </w:tc>
        <w:tc>
          <w:tcPr>
            <w:tcW w:w="8538" w:type="dxa"/>
          </w:tcPr>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rPr>
              <w:t>对于《深圳市龙岗区工业和信息化产业发展专项资金关于支持人工智能产业引领高质量发展实施细则》，第十六条</w:t>
            </w:r>
            <w:r>
              <w:rPr>
                <w:rFonts w:hint="eastAsia" w:ascii="仿宋_GB2312" w:hAnsi="仿宋_GB2312" w:eastAsia="仿宋_GB2312" w:cs="仿宋_GB2312"/>
                <w:color w:val="auto"/>
                <w:kern w:val="0"/>
                <w:sz w:val="28"/>
                <w:szCs w:val="28"/>
                <w:highlight w:val="none"/>
                <w:vertAlign w:val="baseline"/>
                <w:lang w:eastAsia="zh-CN"/>
              </w:rPr>
              <w:t>，</w:t>
            </w:r>
            <w:r>
              <w:rPr>
                <w:rFonts w:hint="eastAsia" w:ascii="仿宋_GB2312" w:hAnsi="仿宋_GB2312" w:eastAsia="仿宋_GB2312" w:cs="仿宋_GB2312"/>
                <w:color w:val="auto"/>
                <w:kern w:val="0"/>
                <w:sz w:val="28"/>
                <w:szCs w:val="28"/>
                <w:highlight w:val="none"/>
                <w:vertAlign w:val="baseline"/>
              </w:rPr>
              <w:t>机器人消费券补贴扶持</w:t>
            </w:r>
            <w:r>
              <w:rPr>
                <w:rFonts w:hint="eastAsia" w:ascii="仿宋_GB2312" w:hAnsi="仿宋_GB2312" w:eastAsia="仿宋_GB2312" w:cs="仿宋_GB2312"/>
                <w:color w:val="auto"/>
                <w:kern w:val="0"/>
                <w:sz w:val="28"/>
                <w:szCs w:val="28"/>
                <w:highlight w:val="none"/>
                <w:vertAlign w:val="baseline"/>
                <w:lang w:eastAsia="zh-CN"/>
              </w:rPr>
              <w:t>，</w:t>
            </w:r>
            <w:r>
              <w:rPr>
                <w:rFonts w:hint="eastAsia" w:ascii="仿宋_GB2312" w:hAnsi="仿宋_GB2312" w:eastAsia="仿宋_GB2312" w:cs="仿宋_GB2312"/>
                <w:color w:val="auto"/>
                <w:kern w:val="0"/>
                <w:sz w:val="28"/>
                <w:szCs w:val="28"/>
                <w:highlight w:val="none"/>
                <w:vertAlign w:val="baseline"/>
                <w:lang w:val="en-US" w:eastAsia="zh-CN"/>
              </w:rPr>
              <w:t>相关意见建议如下：</w:t>
            </w:r>
          </w:p>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vertAlign w:val="baseline"/>
                <w:lang w:val="en-US" w:eastAsia="zh-CN"/>
              </w:rPr>
              <w:t>1.</w:t>
            </w:r>
            <w:r>
              <w:rPr>
                <w:rFonts w:hint="eastAsia" w:ascii="仿宋_GB2312" w:hAnsi="仿宋_GB2312" w:eastAsia="仿宋_GB2312" w:cs="仿宋_GB2312"/>
                <w:color w:val="auto"/>
                <w:kern w:val="0"/>
                <w:sz w:val="28"/>
                <w:szCs w:val="28"/>
                <w:highlight w:val="none"/>
                <w:vertAlign w:val="baseline"/>
                <w:lang w:eastAsia="zh-CN"/>
              </w:rPr>
              <w:t>企业</w:t>
            </w:r>
            <w:r>
              <w:rPr>
                <w:rFonts w:hint="eastAsia" w:ascii="仿宋_GB2312" w:hAnsi="仿宋_GB2312" w:eastAsia="仿宋_GB2312" w:cs="仿宋_GB2312"/>
                <w:color w:val="auto"/>
                <w:kern w:val="0"/>
                <w:sz w:val="28"/>
                <w:szCs w:val="28"/>
                <w:highlight w:val="none"/>
                <w:vertAlign w:val="baseline"/>
                <w:lang w:val="en-US" w:eastAsia="zh-CN"/>
              </w:rPr>
              <w:t>每年的</w:t>
            </w:r>
            <w:r>
              <w:rPr>
                <w:rFonts w:hint="eastAsia" w:ascii="仿宋_GB2312" w:hAnsi="仿宋_GB2312" w:eastAsia="仿宋_GB2312" w:cs="仿宋_GB2312"/>
                <w:color w:val="auto"/>
                <w:kern w:val="0"/>
                <w:sz w:val="28"/>
                <w:szCs w:val="28"/>
                <w:highlight w:val="none"/>
                <w:vertAlign w:val="baseline"/>
                <w:lang w:eastAsia="zh-CN"/>
              </w:rPr>
              <w:t>单项补贴</w:t>
            </w:r>
            <w:r>
              <w:rPr>
                <w:rFonts w:hint="eastAsia" w:ascii="仿宋_GB2312" w:hAnsi="仿宋_GB2312" w:eastAsia="仿宋_GB2312" w:cs="仿宋_GB2312"/>
                <w:color w:val="auto"/>
                <w:kern w:val="0"/>
                <w:sz w:val="28"/>
                <w:szCs w:val="28"/>
                <w:highlight w:val="none"/>
                <w:vertAlign w:val="baseline"/>
                <w:lang w:val="en-US" w:eastAsia="zh-CN"/>
              </w:rPr>
              <w:t>最高只有100万元，</w:t>
            </w:r>
            <w:r>
              <w:rPr>
                <w:rFonts w:hint="eastAsia" w:ascii="仿宋_GB2312" w:hAnsi="仿宋_GB2312" w:eastAsia="仿宋_GB2312" w:cs="仿宋_GB2312"/>
                <w:color w:val="auto"/>
                <w:kern w:val="0"/>
                <w:sz w:val="28"/>
                <w:szCs w:val="28"/>
                <w:highlight w:val="none"/>
                <w:vertAlign w:val="baseline"/>
                <w:lang w:eastAsia="zh-CN"/>
              </w:rPr>
              <w:t>额度太低了，</w:t>
            </w:r>
            <w:r>
              <w:rPr>
                <w:rFonts w:hint="eastAsia" w:ascii="仿宋_GB2312" w:hAnsi="仿宋_GB2312" w:eastAsia="仿宋_GB2312" w:cs="仿宋_GB2312"/>
                <w:color w:val="auto"/>
                <w:kern w:val="0"/>
                <w:sz w:val="28"/>
                <w:szCs w:val="28"/>
                <w:highlight w:val="none"/>
                <w:vertAlign w:val="baseline"/>
                <w:lang w:val="en-US" w:eastAsia="zh-CN"/>
              </w:rPr>
              <w:t>建议额度改为</w:t>
            </w:r>
            <w:r>
              <w:rPr>
                <w:rFonts w:hint="eastAsia" w:ascii="仿宋_GB2312" w:hAnsi="仿宋_GB2312" w:eastAsia="仿宋_GB2312" w:cs="仿宋_GB2312"/>
                <w:color w:val="auto"/>
                <w:kern w:val="0"/>
                <w:sz w:val="28"/>
                <w:szCs w:val="28"/>
                <w:highlight w:val="none"/>
                <w:vertAlign w:val="baseline"/>
                <w:lang w:eastAsia="zh-CN"/>
              </w:rPr>
              <w:t>几百万</w:t>
            </w:r>
            <w:r>
              <w:rPr>
                <w:rFonts w:hint="eastAsia" w:ascii="仿宋_GB2312" w:hAnsi="仿宋_GB2312" w:eastAsia="仿宋_GB2312" w:cs="仿宋_GB2312"/>
                <w:color w:val="auto"/>
                <w:kern w:val="0"/>
                <w:sz w:val="28"/>
                <w:szCs w:val="28"/>
                <w:highlight w:val="none"/>
                <w:vertAlign w:val="baseline"/>
                <w:lang w:val="en-US" w:eastAsia="zh-CN"/>
              </w:rPr>
              <w:t>元，</w:t>
            </w:r>
            <w:r>
              <w:rPr>
                <w:rFonts w:hint="eastAsia" w:ascii="仿宋_GB2312" w:hAnsi="仿宋_GB2312" w:eastAsia="仿宋_GB2312" w:cs="仿宋_GB2312"/>
                <w:color w:val="auto"/>
                <w:kern w:val="0"/>
                <w:sz w:val="28"/>
                <w:szCs w:val="28"/>
                <w:highlight w:val="none"/>
                <w:vertAlign w:val="baseline"/>
                <w:lang w:eastAsia="zh-CN"/>
              </w:rPr>
              <w:t>最好</w:t>
            </w:r>
            <w:r>
              <w:rPr>
                <w:rFonts w:hint="eastAsia" w:ascii="仿宋_GB2312" w:hAnsi="仿宋_GB2312" w:eastAsia="仿宋_GB2312" w:cs="仿宋_GB2312"/>
                <w:color w:val="auto"/>
                <w:kern w:val="0"/>
                <w:sz w:val="28"/>
                <w:szCs w:val="28"/>
                <w:highlight w:val="none"/>
                <w:vertAlign w:val="baseline"/>
                <w:lang w:val="en-US" w:eastAsia="zh-CN"/>
              </w:rPr>
              <w:t>是</w:t>
            </w:r>
            <w:r>
              <w:rPr>
                <w:rFonts w:hint="eastAsia" w:ascii="仿宋_GB2312" w:hAnsi="仿宋_GB2312" w:eastAsia="仿宋_GB2312" w:cs="仿宋_GB2312"/>
                <w:color w:val="auto"/>
                <w:kern w:val="0"/>
                <w:sz w:val="28"/>
                <w:szCs w:val="28"/>
                <w:highlight w:val="none"/>
                <w:vertAlign w:val="baseline"/>
                <w:lang w:eastAsia="zh-CN"/>
              </w:rPr>
              <w:t>上千万</w:t>
            </w:r>
            <w:r>
              <w:rPr>
                <w:rFonts w:hint="eastAsia" w:ascii="仿宋_GB2312" w:hAnsi="仿宋_GB2312" w:eastAsia="仿宋_GB2312" w:cs="仿宋_GB2312"/>
                <w:color w:val="auto"/>
                <w:kern w:val="0"/>
                <w:sz w:val="28"/>
                <w:szCs w:val="28"/>
                <w:highlight w:val="none"/>
                <w:vertAlign w:val="baseline"/>
                <w:lang w:val="en-US" w:eastAsia="zh-CN"/>
              </w:rPr>
              <w:t>元</w:t>
            </w:r>
            <w:r>
              <w:rPr>
                <w:rFonts w:hint="eastAsia" w:ascii="仿宋_GB2312" w:hAnsi="仿宋_GB2312" w:eastAsia="仿宋_GB2312" w:cs="仿宋_GB2312"/>
                <w:color w:val="auto"/>
                <w:kern w:val="0"/>
                <w:sz w:val="28"/>
                <w:szCs w:val="28"/>
                <w:highlight w:val="none"/>
                <w:vertAlign w:val="baseline"/>
                <w:lang w:eastAsia="zh-CN"/>
              </w:rPr>
              <w:t>，</w:t>
            </w:r>
            <w:r>
              <w:rPr>
                <w:rFonts w:hint="eastAsia" w:ascii="仿宋_GB2312" w:hAnsi="仿宋_GB2312" w:eastAsia="仿宋_GB2312" w:cs="仿宋_GB2312"/>
                <w:color w:val="auto"/>
                <w:kern w:val="0"/>
                <w:sz w:val="28"/>
                <w:szCs w:val="28"/>
                <w:highlight w:val="none"/>
                <w:vertAlign w:val="baseline"/>
                <w:lang w:val="en-US" w:eastAsia="zh-CN"/>
              </w:rPr>
              <w:t>因为</w:t>
            </w:r>
            <w:r>
              <w:rPr>
                <w:rFonts w:hint="eastAsia" w:ascii="仿宋_GB2312" w:hAnsi="仿宋_GB2312" w:eastAsia="仿宋_GB2312" w:cs="仿宋_GB2312"/>
                <w:color w:val="auto"/>
                <w:kern w:val="0"/>
                <w:sz w:val="28"/>
                <w:szCs w:val="28"/>
                <w:highlight w:val="none"/>
                <w:vertAlign w:val="baseline"/>
                <w:lang w:eastAsia="zh-CN"/>
              </w:rPr>
              <w:t>十台机器都几百上千万</w:t>
            </w:r>
            <w:r>
              <w:rPr>
                <w:rFonts w:hint="eastAsia" w:ascii="仿宋_GB2312" w:hAnsi="仿宋_GB2312" w:eastAsia="仿宋_GB2312" w:cs="仿宋_GB2312"/>
                <w:color w:val="auto"/>
                <w:kern w:val="0"/>
                <w:sz w:val="28"/>
                <w:szCs w:val="28"/>
                <w:highlight w:val="none"/>
                <w:vertAlign w:val="baseline"/>
                <w:lang w:val="en-US" w:eastAsia="zh-CN"/>
              </w:rPr>
              <w:t>元</w:t>
            </w:r>
            <w:r>
              <w:rPr>
                <w:rFonts w:hint="eastAsia" w:ascii="仿宋_GB2312" w:hAnsi="仿宋_GB2312" w:eastAsia="仿宋_GB2312" w:cs="仿宋_GB2312"/>
                <w:color w:val="auto"/>
                <w:kern w:val="0"/>
                <w:sz w:val="28"/>
                <w:szCs w:val="28"/>
                <w:highlight w:val="none"/>
                <w:vertAlign w:val="baseline"/>
                <w:lang w:eastAsia="zh-CN"/>
              </w:rPr>
              <w:t>了。</w:t>
            </w:r>
          </w:p>
          <w:p>
            <w:pPr>
              <w:pStyle w:val="3"/>
              <w:ind w:left="0" w:leftChars="0" w:firstLine="560" w:firstLineChars="200"/>
              <w:rPr>
                <w:rFonts w:hint="default" w:eastAsia="仿宋_GB2312"/>
                <w:highlight w:val="no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2.建议细化机器人券的发放规则，抢券方式如何抢，企业买了机器人后，没抢到券怎么办，多久抢一次，这些都要完善。</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解释</w:t>
            </w:r>
          </w:p>
        </w:tc>
        <w:tc>
          <w:tcPr>
            <w:tcW w:w="4012" w:type="dxa"/>
          </w:tcPr>
          <w:p>
            <w:pPr>
              <w:pStyle w:val="2"/>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1.专项资金实行总额控制、预算约束，大幅提高上限将影响财政可持续性及其他项目扶持公平性。</w:t>
            </w:r>
          </w:p>
          <w:p>
            <w:pPr>
              <w:pStyle w:val="2"/>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2.机器人券定位为应用引导型补贴，旨在鼓励购买使用和研发生产，增大普惠范围，而非大额成本覆盖。</w:t>
            </w:r>
          </w:p>
          <w:p>
            <w:pPr>
              <w:pStyle w:val="2"/>
              <w:rPr>
                <w:rFonts w:hint="default"/>
                <w:highlight w:val="no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3.机器人券的具体发放规则、核销流程及管理要求，由区人工智能（机器人）署另行制定并公布。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6</w:t>
            </w:r>
          </w:p>
        </w:tc>
        <w:tc>
          <w:tcPr>
            <w:tcW w:w="8538" w:type="dxa"/>
          </w:tcPr>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对于《深圳市龙岗区工业和信息化产业发展专项资金关于支持人工智能产业引领高质量发展实施细则》，建议对第十条智能硬件创新发展扶持中扶持方式和标准：对于相关智能硬件产品中涉及的人工智能产品部分，按上一年度研发投入的30%给予支持。</w:t>
            </w:r>
            <w:r>
              <w:rPr>
                <w:rFonts w:hint="eastAsia" w:ascii="仿宋_GB2312" w:hAnsi="仿宋_GB2312" w:eastAsia="仿宋_GB2312" w:cs="仿宋_GB2312"/>
                <w:color w:val="auto"/>
                <w:kern w:val="0"/>
                <w:sz w:val="28"/>
                <w:szCs w:val="28"/>
                <w:highlight w:val="none"/>
                <w:vertAlign w:val="baseline"/>
                <w:lang w:val="en-US" w:eastAsia="zh-CN"/>
              </w:rPr>
              <w:t>把“</w:t>
            </w:r>
            <w:r>
              <w:rPr>
                <w:rFonts w:hint="eastAsia" w:ascii="仿宋_GB2312" w:hAnsi="仿宋_GB2312" w:eastAsia="仿宋_GB2312" w:cs="仿宋_GB2312"/>
                <w:color w:val="auto"/>
                <w:kern w:val="0"/>
                <w:sz w:val="28"/>
                <w:szCs w:val="28"/>
                <w:highlight w:val="none"/>
                <w:vertAlign w:val="baseline"/>
              </w:rPr>
              <w:t>按上一年度研发投入的30%给予支持</w:t>
            </w:r>
            <w:r>
              <w:rPr>
                <w:rFonts w:hint="eastAsia" w:ascii="仿宋_GB2312" w:hAnsi="仿宋_GB2312" w:eastAsia="仿宋_GB2312" w:cs="仿宋_GB2312"/>
                <w:color w:val="auto"/>
                <w:kern w:val="0"/>
                <w:sz w:val="28"/>
                <w:szCs w:val="28"/>
                <w:highlight w:val="none"/>
                <w:vertAlign w:val="baseline"/>
                <w:lang w:val="en-US" w:eastAsia="zh-CN"/>
              </w:rPr>
              <w:t>”</w:t>
            </w:r>
            <w:r>
              <w:rPr>
                <w:rFonts w:hint="eastAsia" w:ascii="仿宋_GB2312" w:hAnsi="仿宋_GB2312" w:eastAsia="仿宋_GB2312" w:cs="仿宋_GB2312"/>
                <w:color w:val="auto"/>
                <w:kern w:val="0"/>
                <w:sz w:val="28"/>
                <w:szCs w:val="28"/>
                <w:highlight w:val="none"/>
                <w:vertAlign w:val="baseline"/>
              </w:rPr>
              <w:t>调整</w:t>
            </w:r>
            <w:r>
              <w:rPr>
                <w:rFonts w:hint="eastAsia" w:ascii="仿宋_GB2312" w:hAnsi="仿宋_GB2312" w:eastAsia="仿宋_GB2312" w:cs="仿宋_GB2312"/>
                <w:color w:val="auto"/>
                <w:kern w:val="0"/>
                <w:sz w:val="28"/>
                <w:szCs w:val="28"/>
                <w:highlight w:val="none"/>
                <w:vertAlign w:val="baseline"/>
                <w:lang w:val="en-US" w:eastAsia="zh-CN"/>
              </w:rPr>
              <w:t>为“</w:t>
            </w:r>
            <w:r>
              <w:rPr>
                <w:rFonts w:hint="eastAsia" w:ascii="仿宋_GB2312" w:hAnsi="仿宋_GB2312" w:eastAsia="仿宋_GB2312" w:cs="仿宋_GB2312"/>
                <w:color w:val="auto"/>
                <w:kern w:val="0"/>
                <w:sz w:val="28"/>
                <w:szCs w:val="28"/>
                <w:highlight w:val="none"/>
                <w:vertAlign w:val="baseline"/>
              </w:rPr>
              <w:t>在申报指南发布前一年内，按研发投入的30%给予支持</w:t>
            </w:r>
            <w:r>
              <w:rPr>
                <w:rFonts w:hint="eastAsia" w:ascii="仿宋_GB2312" w:hAnsi="仿宋_GB2312" w:eastAsia="仿宋_GB2312" w:cs="仿宋_GB2312"/>
                <w:color w:val="auto"/>
                <w:kern w:val="0"/>
                <w:sz w:val="28"/>
                <w:szCs w:val="28"/>
                <w:highlight w:val="none"/>
                <w:vertAlign w:val="baseline"/>
                <w:lang w:val="en-US" w:eastAsia="zh-CN"/>
              </w:rPr>
              <w:t>”</w:t>
            </w:r>
            <w:r>
              <w:rPr>
                <w:rFonts w:hint="eastAsia" w:ascii="仿宋_GB2312" w:hAnsi="仿宋_GB2312" w:eastAsia="仿宋_GB2312" w:cs="仿宋_GB2312"/>
                <w:color w:val="auto"/>
                <w:kern w:val="0"/>
                <w:sz w:val="28"/>
                <w:szCs w:val="28"/>
                <w:highlight w:val="none"/>
                <w:vertAlign w:val="baseline"/>
              </w:rPr>
              <w:t>。</w:t>
            </w:r>
          </w:p>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理由：2026年初以来，人工智能产品技术迭代速度持续加快，行业内企业研发投入大幅增加、研发推进节奏显著提速，为精准适配行业技术迭代规律、切实助力企业降本增效，可有效匹配企业研发投入周期，及时兑现政策支持，真正减轻企业研发资金压力，所以建议将投入认定时间调整为申报指南发布前。</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解释</w:t>
            </w:r>
          </w:p>
        </w:tc>
        <w:tc>
          <w:tcPr>
            <w:tcW w:w="4012" w:type="dxa"/>
          </w:tcPr>
          <w:p>
            <w:pPr>
              <w:pStyle w:val="2"/>
              <w:rPr>
                <w:rFonts w:hint="default"/>
                <w:highlight w:val="no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本条款需</w:t>
            </w:r>
            <w:r>
              <w:rPr>
                <w:rFonts w:hint="default" w:ascii="仿宋_GB2312" w:hAnsi="仿宋_GB2312" w:eastAsia="仿宋_GB2312" w:cs="仿宋_GB2312"/>
                <w:color w:val="auto"/>
                <w:kern w:val="0"/>
                <w:sz w:val="28"/>
                <w:szCs w:val="28"/>
                <w:highlight w:val="none"/>
                <w:vertAlign w:val="baseline"/>
                <w:lang w:val="en-US" w:eastAsia="zh-CN"/>
              </w:rPr>
              <w:t>要提供</w:t>
            </w:r>
            <w:r>
              <w:rPr>
                <w:rFonts w:hint="eastAsia" w:ascii="仿宋_GB2312" w:hAnsi="仿宋_GB2312" w:eastAsia="仿宋_GB2312" w:cs="仿宋_GB2312"/>
                <w:color w:val="auto"/>
                <w:kern w:val="0"/>
                <w:sz w:val="28"/>
                <w:szCs w:val="28"/>
                <w:highlight w:val="none"/>
                <w:vertAlign w:val="baseline"/>
                <w:lang w:val="en-US" w:eastAsia="zh-CN"/>
              </w:rPr>
              <w:t>的</w:t>
            </w:r>
            <w:r>
              <w:rPr>
                <w:rFonts w:hint="default" w:ascii="仿宋_GB2312" w:hAnsi="仿宋_GB2312" w:eastAsia="仿宋_GB2312" w:cs="仿宋_GB2312"/>
                <w:color w:val="auto"/>
                <w:kern w:val="0"/>
                <w:sz w:val="28"/>
                <w:szCs w:val="28"/>
                <w:highlight w:val="none"/>
                <w:vertAlign w:val="baseline"/>
                <w:lang w:val="en-US" w:eastAsia="zh-CN"/>
              </w:rPr>
              <w:t>研发加计扣除报告</w:t>
            </w:r>
            <w:r>
              <w:rPr>
                <w:rFonts w:hint="eastAsia" w:ascii="仿宋_GB2312" w:hAnsi="仿宋_GB2312" w:eastAsia="仿宋_GB2312" w:cs="仿宋_GB2312"/>
                <w:color w:val="auto"/>
                <w:kern w:val="0"/>
                <w:sz w:val="28"/>
                <w:szCs w:val="28"/>
                <w:highlight w:val="none"/>
                <w:vertAlign w:val="baseline"/>
                <w:lang w:val="en-US" w:eastAsia="zh-CN"/>
              </w:rPr>
              <w:t>、</w:t>
            </w:r>
            <w:r>
              <w:rPr>
                <w:rFonts w:hint="default" w:ascii="仿宋_GB2312" w:hAnsi="仿宋_GB2312" w:eastAsia="仿宋_GB2312" w:cs="仿宋_GB2312"/>
                <w:color w:val="auto"/>
                <w:kern w:val="0"/>
                <w:sz w:val="28"/>
                <w:szCs w:val="28"/>
                <w:highlight w:val="none"/>
                <w:vertAlign w:val="baseline"/>
                <w:lang w:val="en-US" w:eastAsia="zh-CN"/>
              </w:rPr>
              <w:t>专项审计报告</w:t>
            </w:r>
            <w:r>
              <w:rPr>
                <w:rFonts w:hint="eastAsia" w:ascii="仿宋_GB2312" w:hAnsi="仿宋_GB2312" w:eastAsia="仿宋_GB2312" w:cs="仿宋_GB2312"/>
                <w:color w:val="auto"/>
                <w:kern w:val="0"/>
                <w:sz w:val="28"/>
                <w:szCs w:val="28"/>
                <w:highlight w:val="none"/>
                <w:vertAlign w:val="baseline"/>
                <w:lang w:val="en-US" w:eastAsia="zh-CN"/>
              </w:rPr>
              <w:t>等资料均</w:t>
            </w:r>
            <w:r>
              <w:rPr>
                <w:rFonts w:hint="default" w:ascii="仿宋_GB2312" w:hAnsi="仿宋_GB2312" w:eastAsia="仿宋_GB2312" w:cs="仿宋_GB2312"/>
                <w:color w:val="auto"/>
                <w:kern w:val="0"/>
                <w:sz w:val="28"/>
                <w:szCs w:val="28"/>
                <w:highlight w:val="none"/>
                <w:vertAlign w:val="baseline"/>
                <w:lang w:val="en-US" w:eastAsia="zh-CN"/>
              </w:rPr>
              <w:t>以自然年</w:t>
            </w:r>
            <w:r>
              <w:rPr>
                <w:rFonts w:hint="eastAsia" w:ascii="仿宋_GB2312" w:hAnsi="仿宋_GB2312" w:eastAsia="仿宋_GB2312" w:cs="仿宋_GB2312"/>
                <w:color w:val="auto"/>
                <w:kern w:val="0"/>
                <w:sz w:val="28"/>
                <w:szCs w:val="28"/>
                <w:highlight w:val="none"/>
                <w:vertAlign w:val="baseline"/>
                <w:lang w:val="en-US" w:eastAsia="zh-CN"/>
              </w:rPr>
              <w:t>进行审计，采用周期年的方式存在合规风险等问题。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7</w:t>
            </w:r>
          </w:p>
        </w:tc>
        <w:tc>
          <w:tcPr>
            <w:tcW w:w="8538" w:type="dxa"/>
          </w:tcPr>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对于《深圳市龙岗区工业和信息化产业发展专项资金关于支持人工智能产业引领高质量发展实施细则》，建议调整第十三条人工智能和机器人展销平台扶持政策，调整内容如下：</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（一）扶持范围：支持企业在龙岗区建设与人工智能和机器人相关的展销平台，并通过展销平台提供集技术展示、商业对接、行业交流、科普教育、宣传推广、产品首发等服务。</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（二）扶持方式和标准：</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（1）符合以下所有条件的展销平台，按其项目审定总投入的50%，给予不超过400万元的支持：</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1.展销平台与不少于20家企业进行合作；</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2.平台展示不少于20家深圳企业的产品（须为人工智能和机器人相关的产品），其中不少于10个品牌；</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3.展销平台获得央视、新华网等不少于20个主流媒体报道；</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4.展销平台的建设成本不低于200万元，工作人员不少于10名，展销面积不低于300平方米；</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（2）符合以下所有条件的企业，按审定的宣传、推广、首发等总投入费用的40%，给予不超过40万元的支持。</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1.通过展销平台开展人工智能和机器人产品宣传、推广、首发等供需对接服务；</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2.每个宣传、推广、首发活动需获得央视、新华网等不少于20个主流媒体报道；</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3.每个企业每场活动宣传、推广、首发产品不少于3个，并在全国范围内属于首次发布；</w:t>
            </w:r>
          </w:p>
          <w:p>
            <w:pPr>
              <w:pStyle w:val="3"/>
              <w:ind w:left="0" w:leftChars="0" w:firstLine="0" w:firstLineChars="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4.活动宣传、推广、首发场地面积不少于300平方米。</w:t>
            </w:r>
          </w:p>
          <w:p>
            <w:pPr>
              <w:pStyle w:val="3"/>
              <w:ind w:left="0" w:leftChars="0" w:firstLine="0" w:firstLineChars="0"/>
              <w:rPr>
                <w:rFonts w:hint="eastAsia"/>
                <w:highlight w:val="none"/>
              </w:rPr>
            </w:pPr>
            <w:r>
              <w:rPr>
                <w:rFonts w:hint="eastAsia" w:ascii="仿宋_GB2312" w:hAnsi="仿宋_GB2312" w:eastAsia="仿宋_GB2312" w:cs="仿宋_GB2312"/>
                <w:color w:val="auto"/>
                <w:kern w:val="0"/>
                <w:sz w:val="28"/>
                <w:szCs w:val="28"/>
                <w:highlight w:val="none"/>
                <w:vertAlign w:val="baseline"/>
              </w:rPr>
              <w:t>理由：依托专业展销平台，支持龙岗区企业发布人工智能及机器人产品，强化坂田机器人街区各场景（机器人大道、机器人剧场、6S 店等）与企业产品的深度黏合，全面激活街区场景活力。对政府而言：可有效盘活街区载体资源，打造区域机器人产业特色展示窗口，推动人工智能与机器人产业场景化落地，助力龙岗区构建完善的产业生态、提升产业集聚度与区域品牌影响力。对企业而言：能够获得精准的产品展销与推广渠道，加速产品市场化应用，以场景需求反向赋能研发创新，切实推动企业产品研发、落地与市场拓展。</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解释</w:t>
            </w:r>
          </w:p>
        </w:tc>
        <w:tc>
          <w:tcPr>
            <w:tcW w:w="4012" w:type="dxa"/>
          </w:tcPr>
          <w:p>
            <w:pPr>
              <w:pStyle w:val="2"/>
              <w:rPr>
                <w:rFonts w:hint="eastAsia"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rPr>
              <w:t>本条款大力支持</w:t>
            </w:r>
            <w:r>
              <w:rPr>
                <w:rFonts w:hint="eastAsia" w:ascii="仿宋_GB2312" w:hAnsi="仿宋_GB2312" w:eastAsia="仿宋_GB2312" w:cs="仿宋_GB2312"/>
                <w:color w:val="auto"/>
                <w:kern w:val="0"/>
                <w:sz w:val="28"/>
                <w:szCs w:val="28"/>
                <w:highlight w:val="none"/>
                <w:vertAlign w:val="baseline"/>
              </w:rPr>
              <w:t>企业在龙岗区建设与人工智能和机器人相关的展销平台，</w:t>
            </w:r>
            <w:r>
              <w:rPr>
                <w:rFonts w:hint="eastAsia" w:ascii="仿宋_GB2312" w:hAnsi="仿宋_GB2312" w:eastAsia="仿宋_GB2312" w:cs="仿宋_GB2312"/>
                <w:color w:val="auto"/>
                <w:kern w:val="0"/>
                <w:sz w:val="28"/>
                <w:szCs w:val="28"/>
                <w:highlight w:val="none"/>
                <w:vertAlign w:val="baseline"/>
                <w:lang w:eastAsia="zh-CN"/>
              </w:rPr>
              <w:t>对在品牌展示、宣传推广、场地人员等方面满足一定条件的展销平台进行扶持，</w:t>
            </w:r>
            <w:r>
              <w:rPr>
                <w:rFonts w:hint="eastAsia" w:ascii="仿宋_GB2312" w:hAnsi="仿宋_GB2312" w:eastAsia="仿宋_GB2312" w:cs="仿宋_GB2312"/>
                <w:color w:val="auto"/>
                <w:kern w:val="0"/>
                <w:sz w:val="28"/>
                <w:szCs w:val="28"/>
                <w:highlight w:val="none"/>
                <w:vertAlign w:val="baseline"/>
                <w:lang w:val="en-US" w:eastAsia="zh-CN"/>
              </w:rPr>
              <w:t>旨在鼓励平台建设，而非日常成本覆盖。</w:t>
            </w:r>
          </w:p>
          <w:p>
            <w:pPr>
              <w:pStyle w:val="2"/>
              <w:rPr>
                <w:rFonts w:hint="eastAsia" w:eastAsia="仿宋_GB2312"/>
                <w:highlight w:val="none"/>
                <w:lang w:val="en-US" w:eastAsia="zh-CN"/>
              </w:rPr>
            </w:pPr>
            <w:r>
              <w:rPr>
                <w:rFonts w:hint="eastAsia" w:ascii="仿宋_GB2312" w:hAnsi="仿宋_GB2312" w:eastAsia="仿宋_GB2312" w:cs="仿宋_GB2312"/>
                <w:color w:val="auto"/>
                <w:kern w:val="0"/>
                <w:sz w:val="28"/>
                <w:szCs w:val="28"/>
                <w:highlight w:val="none"/>
                <w:vertAlign w:val="baseline"/>
                <w:lang w:eastAsia="zh-CN"/>
              </w:rPr>
              <w:t>由于人工智能和机器人产品宣传、推广、首发等供需对接服务，</w:t>
            </w:r>
            <w:r>
              <w:rPr>
                <w:rFonts w:hint="eastAsia" w:ascii="仿宋_GB2312" w:hAnsi="仿宋_GB2312" w:eastAsia="仿宋_GB2312" w:cs="仿宋_GB2312"/>
                <w:color w:val="auto"/>
                <w:kern w:val="0"/>
                <w:sz w:val="28"/>
                <w:szCs w:val="28"/>
                <w:highlight w:val="none"/>
                <w:vertAlign w:val="baseline"/>
                <w:lang w:val="en-US" w:eastAsia="zh-CN"/>
              </w:rPr>
              <w:t>本身</w:t>
            </w:r>
            <w:r>
              <w:rPr>
                <w:rFonts w:hint="eastAsia" w:ascii="仿宋_GB2312" w:hAnsi="仿宋_GB2312" w:eastAsia="仿宋_GB2312" w:cs="仿宋_GB2312"/>
                <w:color w:val="auto"/>
                <w:kern w:val="0"/>
                <w:sz w:val="28"/>
                <w:szCs w:val="28"/>
                <w:highlight w:val="none"/>
                <w:vertAlign w:val="baseline"/>
                <w:lang w:eastAsia="zh-CN"/>
              </w:rPr>
              <w:t>属于此类平台的</w:t>
            </w:r>
            <w:r>
              <w:rPr>
                <w:rFonts w:hint="eastAsia" w:ascii="仿宋_GB2312" w:hAnsi="仿宋_GB2312" w:eastAsia="仿宋_GB2312" w:cs="仿宋_GB2312"/>
                <w:color w:val="auto"/>
                <w:kern w:val="0"/>
                <w:sz w:val="28"/>
                <w:szCs w:val="28"/>
                <w:highlight w:val="none"/>
                <w:vertAlign w:val="baseline"/>
                <w:lang w:val="en-US" w:eastAsia="zh-CN"/>
              </w:rPr>
              <w:t>日常</w:t>
            </w:r>
            <w:r>
              <w:rPr>
                <w:rFonts w:hint="eastAsia" w:ascii="仿宋_GB2312" w:hAnsi="仿宋_GB2312" w:eastAsia="仿宋_GB2312" w:cs="仿宋_GB2312"/>
                <w:color w:val="auto"/>
                <w:kern w:val="0"/>
                <w:sz w:val="28"/>
                <w:szCs w:val="28"/>
                <w:highlight w:val="none"/>
                <w:vertAlign w:val="baseline"/>
                <w:lang w:eastAsia="zh-CN"/>
              </w:rPr>
              <w:t>职能，</w:t>
            </w:r>
            <w:r>
              <w:rPr>
                <w:rFonts w:hint="eastAsia" w:ascii="仿宋_GB2312" w:hAnsi="仿宋_GB2312" w:eastAsia="仿宋_GB2312" w:cs="仿宋_GB2312"/>
                <w:color w:val="auto"/>
                <w:kern w:val="0"/>
                <w:sz w:val="28"/>
                <w:szCs w:val="28"/>
                <w:highlight w:val="none"/>
                <w:vertAlign w:val="baseline"/>
                <w:lang w:val="en-US" w:eastAsia="zh-CN"/>
              </w:rPr>
              <w:t>同时也能为平台带来一定的经济效益，</w:t>
            </w:r>
            <w:r>
              <w:rPr>
                <w:rFonts w:hint="eastAsia" w:ascii="仿宋_GB2312" w:hAnsi="仿宋_GB2312" w:eastAsia="仿宋_GB2312" w:cs="仿宋_GB2312"/>
                <w:color w:val="auto"/>
                <w:kern w:val="0"/>
                <w:sz w:val="28"/>
                <w:szCs w:val="28"/>
                <w:highlight w:val="none"/>
                <w:vertAlign w:val="baseline"/>
                <w:lang w:eastAsia="zh-CN"/>
              </w:rPr>
              <w:t>因此不</w:t>
            </w:r>
            <w:r>
              <w:rPr>
                <w:rFonts w:hint="eastAsia" w:ascii="仿宋_GB2312" w:hAnsi="仿宋_GB2312" w:eastAsia="仿宋_GB2312" w:cs="仿宋_GB2312"/>
                <w:color w:val="auto"/>
                <w:kern w:val="0"/>
                <w:sz w:val="28"/>
                <w:szCs w:val="28"/>
                <w:highlight w:val="none"/>
                <w:vertAlign w:val="baseline"/>
                <w:lang w:val="en-US" w:eastAsia="zh-CN"/>
              </w:rPr>
              <w:t>额外</w:t>
            </w:r>
            <w:r>
              <w:rPr>
                <w:rFonts w:hint="eastAsia" w:ascii="仿宋_GB2312" w:hAnsi="仿宋_GB2312" w:eastAsia="仿宋_GB2312" w:cs="仿宋_GB2312"/>
                <w:color w:val="auto"/>
                <w:kern w:val="0"/>
                <w:sz w:val="28"/>
                <w:szCs w:val="28"/>
                <w:highlight w:val="none"/>
                <w:vertAlign w:val="baseline"/>
                <w:lang w:eastAsia="zh-CN"/>
              </w:rPr>
              <w:t>对此进行扶持。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8</w:t>
            </w:r>
          </w:p>
        </w:tc>
        <w:tc>
          <w:tcPr>
            <w:tcW w:w="8538" w:type="dxa"/>
            <w:vAlign w:val="top"/>
          </w:tcPr>
          <w:p>
            <w:pPr>
              <w:pStyle w:val="2"/>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对于《深圳市龙岗区工业和信息化产业发展专项资金关于支持人工智能产业引领高质量发展实施细则》，建议对第十五条 重大活动项目扶持中增加对“论坛”项目支持，对举办高端论坛项目的，活动场地不低于500平方米；现场参加高端论坛的人员不少于200人，其中，市外参会人员不低于20%；主讲嘉宾至少有2位具有高级职称的业内专家、行业领军企业管理者等；市内外主流媒体和专业媒体对活动参与宣传报道；</w:t>
            </w:r>
          </w:p>
          <w:p>
            <w:pPr>
              <w:pStyle w:val="2"/>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1.资助标准：对以社会机构名义在深圳主办的活动，按不超过项目审定总投入的50%，给予活动主办方最高300万元资助。</w:t>
            </w:r>
          </w:p>
          <w:p>
            <w:pPr>
              <w:pStyle w:val="2"/>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vertAlign w:val="baseline"/>
              </w:rPr>
              <w:t>2.费用范围：项目实际发生的场租费、搭建费、设备租赁费、设计制作费、资料印刷费等。</w:t>
            </w:r>
          </w:p>
        </w:tc>
        <w:tc>
          <w:tcPr>
            <w:tcW w:w="623" w:type="dxa"/>
            <w:vAlign w:val="center"/>
          </w:tcPr>
          <w:p>
            <w:pPr>
              <w:pStyle w:val="2"/>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解释</w:t>
            </w:r>
          </w:p>
        </w:tc>
        <w:tc>
          <w:tcPr>
            <w:tcW w:w="4012" w:type="dxa"/>
            <w:vAlign w:val="top"/>
          </w:tcPr>
          <w:p>
            <w:pPr>
              <w:pStyle w:val="2"/>
              <w:ind w:firstLine="0" w:firstLineChars="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论坛与“重大活动”定位存在较大差异。原第十五条“重大活动项目”主要面向具有较强产业带动能力、资源集聚效应和落地成果的活动。而论坛类活动多以观点分享、学术交流为主，同时，行业协会、龙头企业、专业媒体、会展公司等市场主体每年举办大量AI主题论</w:t>
            </w:r>
            <w:bookmarkStart w:id="0" w:name="_GoBack"/>
            <w:bookmarkEnd w:id="0"/>
            <w:r>
              <w:rPr>
                <w:rFonts w:hint="eastAsia" w:ascii="仿宋_GB2312" w:hAnsi="仿宋_GB2312" w:eastAsia="仿宋_GB2312" w:cs="仿宋_GB2312"/>
                <w:color w:val="auto"/>
                <w:kern w:val="0"/>
                <w:sz w:val="28"/>
                <w:szCs w:val="28"/>
                <w:highlight w:val="none"/>
                <w:lang w:val="en-US" w:eastAsia="zh-CN"/>
              </w:rPr>
              <w:t>坛；市场化商业模式已较为成熟。论坛性质的活动与产业落地、项目引进、技术转化等实质性成效之间的关联性有限，效果不易量化考核，不宜简单纳入同一支持口径。</w:t>
            </w:r>
          </w:p>
          <w:p>
            <w:pPr>
              <w:pStyle w:val="2"/>
              <w:ind w:firstLine="0" w:firstLineChars="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对于确实具备较高影响力、符合区域产业发展方向的高端论坛，建议通过“一事一议”方式予以个案支持。既有利于保证活动质量和资金使用效益，也可避免因普适性条款导致政策边界泛化、财政资源配置分散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9</w:t>
            </w:r>
          </w:p>
        </w:tc>
        <w:tc>
          <w:tcPr>
            <w:tcW w:w="8538" w:type="dxa"/>
          </w:tcPr>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建议增加“以商引商、以企引企”激励机制， 充分发挥本地龙头企业在产业链整合与人才集聚中的主体作用。对引荐市外人工智能企业实际落地的“链主”企业，经认定后，按引进项目实际投资额的1%给予最高500万元的一次性“产业链引荐奖励”。</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解释</w:t>
            </w:r>
          </w:p>
        </w:tc>
        <w:tc>
          <w:tcPr>
            <w:tcW w:w="4012" w:type="dxa"/>
          </w:tcPr>
          <w:p>
            <w:pPr>
              <w:pStyle w:val="2"/>
              <w:rPr>
                <w:rFonts w:hint="eastAsia" w:eastAsia="仿宋_GB2312"/>
                <w:highlight w:val="none"/>
                <w:lang w:val="en-US" w:eastAsia="zh-CN"/>
              </w:rPr>
            </w:pPr>
            <w:r>
              <w:rPr>
                <w:rFonts w:hint="eastAsia" w:ascii="仿宋_GB2312" w:hAnsi="仿宋_GB2312" w:eastAsia="仿宋_GB2312" w:cs="仿宋_GB2312"/>
                <w:color w:val="auto"/>
                <w:kern w:val="0"/>
                <w:sz w:val="28"/>
                <w:szCs w:val="28"/>
                <w:highlight w:val="none"/>
                <w:vertAlign w:val="baseline"/>
                <w:lang w:eastAsia="zh-CN"/>
              </w:rPr>
              <w:t>《中共中央关于进一步全面深化改革、推进中国式现代化的决定》提出：规范地方招商引资法规制度，严禁违法违规给予政策优惠行为。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10</w:t>
            </w:r>
          </w:p>
        </w:tc>
        <w:tc>
          <w:tcPr>
            <w:tcW w:w="8538" w:type="dxa"/>
          </w:tcPr>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建议增加“机器人券”补贴至销售平台，由销售平台直接抵扣机器人价格，减轻消费企业资金压力。</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采纳</w:t>
            </w:r>
          </w:p>
        </w:tc>
        <w:tc>
          <w:tcPr>
            <w:tcW w:w="4012" w:type="dxa"/>
          </w:tcPr>
          <w:p>
            <w:pPr>
              <w:pStyle w:val="2"/>
              <w:rPr>
                <w:rFonts w:hint="eastAsia" w:ascii="仿宋_GB2312" w:hAnsi="仿宋_GB2312" w:eastAsia="仿宋_GB2312" w:cs="仿宋_GB2312"/>
                <w:color w:val="auto"/>
                <w:kern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11</w:t>
            </w:r>
          </w:p>
        </w:tc>
        <w:tc>
          <w:tcPr>
            <w:tcW w:w="8538" w:type="dxa"/>
          </w:tcPr>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vertAlign w:val="baseline"/>
              </w:rPr>
              <w:t>目前机器人应用更新较快，许多企业倾向租赁使用机器人。希望机器人券增加租赁方面</w:t>
            </w:r>
            <w:r>
              <w:rPr>
                <w:rFonts w:hint="eastAsia" w:ascii="仿宋_GB2312" w:hAnsi="仿宋_GB2312" w:eastAsia="仿宋_GB2312" w:cs="仿宋_GB2312"/>
                <w:color w:val="auto"/>
                <w:kern w:val="0"/>
                <w:sz w:val="28"/>
                <w:szCs w:val="28"/>
                <w:highlight w:val="none"/>
                <w:vertAlign w:val="baseline"/>
                <w:lang w:eastAsia="zh-CN"/>
              </w:rPr>
              <w:t>的</w:t>
            </w:r>
            <w:r>
              <w:rPr>
                <w:rFonts w:hint="eastAsia" w:ascii="仿宋_GB2312" w:hAnsi="仿宋_GB2312" w:eastAsia="仿宋_GB2312" w:cs="仿宋_GB2312"/>
                <w:color w:val="auto"/>
                <w:kern w:val="0"/>
                <w:sz w:val="28"/>
                <w:szCs w:val="28"/>
                <w:highlight w:val="none"/>
                <w:vertAlign w:val="baseline"/>
              </w:rPr>
              <w:t>补贴，切实帮助企业使用机器人。</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采纳</w:t>
            </w:r>
          </w:p>
        </w:tc>
        <w:tc>
          <w:tcPr>
            <w:tcW w:w="4012" w:type="dxa"/>
          </w:tcPr>
          <w:p>
            <w:pPr>
              <w:pStyle w:val="2"/>
              <w:rPr>
                <w:rFonts w:hint="eastAsia" w:ascii="仿宋_GB2312" w:hAnsi="仿宋_GB2312" w:eastAsia="仿宋_GB2312" w:cs="仿宋_GB2312"/>
                <w:color w:val="auto"/>
                <w:kern w:val="0"/>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default"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12</w:t>
            </w:r>
          </w:p>
        </w:tc>
        <w:tc>
          <w:tcPr>
            <w:tcW w:w="8538" w:type="dxa"/>
          </w:tcPr>
          <w:p>
            <w:pPr>
              <w:pStyle w:val="3"/>
              <w:ind w:left="0" w:leftChars="0" w:firstLine="560" w:firstLineChars="200"/>
              <w:rPr>
                <w:rFonts w:hint="eastAsia" w:ascii="仿宋_GB2312" w:hAnsi="仿宋_GB2312" w:eastAsia="仿宋_GB2312" w:cs="仿宋_GB2312"/>
                <w:color w:val="auto"/>
                <w:kern w:val="0"/>
                <w:sz w:val="28"/>
                <w:szCs w:val="28"/>
                <w:highlight w:val="none"/>
                <w:vertAlign w:val="baseline"/>
              </w:rPr>
            </w:pPr>
            <w:r>
              <w:rPr>
                <w:rFonts w:hint="eastAsia" w:ascii="仿宋_GB2312" w:hAnsi="仿宋_GB2312" w:eastAsia="仿宋_GB2312" w:cs="仿宋_GB2312"/>
                <w:color w:val="auto"/>
                <w:kern w:val="0"/>
                <w:sz w:val="28"/>
                <w:szCs w:val="28"/>
                <w:highlight w:val="none"/>
              </w:rPr>
              <w:t>机器人进工厂单纯依靠机器人本体难以实现工厂全流程操作，机器人券补贴范围建议增加AI方面补贴，通过AI智能体与机器人协调实现机器人进工厂流程。</w:t>
            </w:r>
          </w:p>
        </w:tc>
        <w:tc>
          <w:tcPr>
            <w:tcW w:w="62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ind w:right="0" w:rightChars="0"/>
              <w:jc w:val="center"/>
              <w:textAlignment w:val="auto"/>
              <w:outlineLvl w:val="0"/>
              <w:rPr>
                <w:rFonts w:hint="eastAsia" w:ascii="仿宋_GB2312" w:hAnsi="仿宋_GB2312" w:eastAsia="仿宋_GB2312" w:cs="仿宋_GB2312"/>
                <w:color w:val="auto"/>
                <w:kern w:val="0"/>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vertAlign w:val="baseline"/>
                <w:lang w:val="en-US" w:eastAsia="zh-CN"/>
              </w:rPr>
              <w:t>采纳</w:t>
            </w:r>
          </w:p>
        </w:tc>
        <w:tc>
          <w:tcPr>
            <w:tcW w:w="4012" w:type="dxa"/>
          </w:tcPr>
          <w:p>
            <w:pPr>
              <w:pStyle w:val="2"/>
              <w:rPr>
                <w:rFonts w:hint="eastAsia" w:ascii="仿宋_GB2312" w:hAnsi="仿宋_GB2312" w:eastAsia="仿宋_GB2312" w:cs="仿宋_GB2312"/>
                <w:color w:val="auto"/>
                <w:kern w:val="0"/>
                <w:sz w:val="28"/>
                <w:szCs w:val="28"/>
                <w:highlight w:val="none"/>
                <w:vertAlign w:val="baseline"/>
                <w:lang w:eastAsia="zh-CN"/>
              </w:rPr>
            </w:pPr>
          </w:p>
        </w:tc>
      </w:tr>
    </w:tbl>
    <w:p>
      <w:pPr>
        <w:keepNext w:val="0"/>
        <w:keepLines w:val="0"/>
        <w:pageBreakBefore w:val="0"/>
        <w:widowControl/>
        <w:kinsoku/>
        <w:wordWrap/>
        <w:overflowPunct/>
        <w:topLinePunct w:val="0"/>
        <w:autoSpaceDE/>
        <w:autoSpaceDN/>
        <w:bidi w:val="0"/>
        <w:adjustRightInd w:val="0"/>
        <w:snapToGrid w:val="0"/>
        <w:spacing w:line="560" w:lineRule="exact"/>
        <w:ind w:right="0" w:rightChars="0"/>
        <w:jc w:val="left"/>
        <w:textAlignment w:val="auto"/>
        <w:outlineLvl w:val="0"/>
        <w:rPr>
          <w:rFonts w:hint="eastAsia" w:ascii="仿宋_GB2312" w:hAnsi="仿宋_GB2312" w:eastAsia="仿宋_GB2312" w:cs="仿宋_GB2312"/>
          <w:color w:val="auto"/>
          <w:kern w:val="0"/>
          <w:sz w:val="32"/>
          <w:szCs w:val="3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jM4Yzg0YTJjNmVlMDFmNDJlMjRkZGVkY2M5MGIifQ=="/>
  </w:docVars>
  <w:rsids>
    <w:rsidRoot w:val="4A1947CF"/>
    <w:rsid w:val="04357D70"/>
    <w:rsid w:val="09000221"/>
    <w:rsid w:val="0B330D82"/>
    <w:rsid w:val="0BA40221"/>
    <w:rsid w:val="0BD25EA5"/>
    <w:rsid w:val="0C3A63F5"/>
    <w:rsid w:val="0C607954"/>
    <w:rsid w:val="0DBD5E7D"/>
    <w:rsid w:val="0F692FC4"/>
    <w:rsid w:val="12661A3D"/>
    <w:rsid w:val="15FA2BC8"/>
    <w:rsid w:val="170F26A3"/>
    <w:rsid w:val="1971D5FA"/>
    <w:rsid w:val="1A8A308C"/>
    <w:rsid w:val="1D102CD1"/>
    <w:rsid w:val="1E0A3BC4"/>
    <w:rsid w:val="1F581508"/>
    <w:rsid w:val="1FB9845A"/>
    <w:rsid w:val="1FED72F9"/>
    <w:rsid w:val="20895274"/>
    <w:rsid w:val="2369138D"/>
    <w:rsid w:val="2393640A"/>
    <w:rsid w:val="2B073965"/>
    <w:rsid w:val="2B4B0EC5"/>
    <w:rsid w:val="2DDC8A3F"/>
    <w:rsid w:val="2E954DE4"/>
    <w:rsid w:val="2EDE2C2F"/>
    <w:rsid w:val="308C2BE5"/>
    <w:rsid w:val="31FD93F6"/>
    <w:rsid w:val="321B7CF6"/>
    <w:rsid w:val="33BE4DDD"/>
    <w:rsid w:val="367F6515"/>
    <w:rsid w:val="37CA21FC"/>
    <w:rsid w:val="3A824DB6"/>
    <w:rsid w:val="3ABE1151"/>
    <w:rsid w:val="3B37C5E0"/>
    <w:rsid w:val="3DFF135F"/>
    <w:rsid w:val="3EBB24C1"/>
    <w:rsid w:val="3FBFFBA1"/>
    <w:rsid w:val="3FF3BDAA"/>
    <w:rsid w:val="444749D7"/>
    <w:rsid w:val="48E22EC4"/>
    <w:rsid w:val="495D5FD2"/>
    <w:rsid w:val="4A1947CF"/>
    <w:rsid w:val="4E481AFA"/>
    <w:rsid w:val="4EFFDC6A"/>
    <w:rsid w:val="4FF84D7B"/>
    <w:rsid w:val="504B134F"/>
    <w:rsid w:val="508825A3"/>
    <w:rsid w:val="50D933F6"/>
    <w:rsid w:val="53605111"/>
    <w:rsid w:val="54313417"/>
    <w:rsid w:val="55DF92DE"/>
    <w:rsid w:val="573174F0"/>
    <w:rsid w:val="57A20311"/>
    <w:rsid w:val="57D7BC4E"/>
    <w:rsid w:val="58DB9A6A"/>
    <w:rsid w:val="59A53821"/>
    <w:rsid w:val="59EF972C"/>
    <w:rsid w:val="5A751DEA"/>
    <w:rsid w:val="5B1F1D55"/>
    <w:rsid w:val="5B6FE45A"/>
    <w:rsid w:val="5C220EBB"/>
    <w:rsid w:val="5D5F6439"/>
    <w:rsid w:val="5D7FE008"/>
    <w:rsid w:val="5DDEA9FD"/>
    <w:rsid w:val="5DDF448A"/>
    <w:rsid w:val="5E7B102B"/>
    <w:rsid w:val="5F011E9E"/>
    <w:rsid w:val="6211064A"/>
    <w:rsid w:val="645962D8"/>
    <w:rsid w:val="66D52709"/>
    <w:rsid w:val="691149AE"/>
    <w:rsid w:val="6AA67D9D"/>
    <w:rsid w:val="6B741C4A"/>
    <w:rsid w:val="6DF7D3CA"/>
    <w:rsid w:val="6F35349E"/>
    <w:rsid w:val="6F4551EB"/>
    <w:rsid w:val="702E13F4"/>
    <w:rsid w:val="71425252"/>
    <w:rsid w:val="71BF6342"/>
    <w:rsid w:val="71F7ED9C"/>
    <w:rsid w:val="733028FA"/>
    <w:rsid w:val="73DB0AB8"/>
    <w:rsid w:val="74973A5F"/>
    <w:rsid w:val="74F27F13"/>
    <w:rsid w:val="75FCF857"/>
    <w:rsid w:val="75FF983F"/>
    <w:rsid w:val="76B369C5"/>
    <w:rsid w:val="77585E08"/>
    <w:rsid w:val="77ED9671"/>
    <w:rsid w:val="77FF7319"/>
    <w:rsid w:val="797D616D"/>
    <w:rsid w:val="798D4602"/>
    <w:rsid w:val="79F7A3C6"/>
    <w:rsid w:val="7A9B68AB"/>
    <w:rsid w:val="7AFF483B"/>
    <w:rsid w:val="7CBFCE7A"/>
    <w:rsid w:val="7DC26844"/>
    <w:rsid w:val="7DF9B0DC"/>
    <w:rsid w:val="7EE0379C"/>
    <w:rsid w:val="7F7692F8"/>
    <w:rsid w:val="7F79B1A1"/>
    <w:rsid w:val="7FEB33F0"/>
    <w:rsid w:val="7FEF3F3D"/>
    <w:rsid w:val="7FF50830"/>
    <w:rsid w:val="7FFD4977"/>
    <w:rsid w:val="7FFD78FF"/>
    <w:rsid w:val="8BEE1B47"/>
    <w:rsid w:val="8FFB89DA"/>
    <w:rsid w:val="934C4559"/>
    <w:rsid w:val="AB4F964C"/>
    <w:rsid w:val="AF27A0DD"/>
    <w:rsid w:val="B6FFAB36"/>
    <w:rsid w:val="B79713A6"/>
    <w:rsid w:val="B8BBE83B"/>
    <w:rsid w:val="BBBC898E"/>
    <w:rsid w:val="BBFF9675"/>
    <w:rsid w:val="BDE66CB0"/>
    <w:rsid w:val="BF38A1D3"/>
    <w:rsid w:val="BF7FD635"/>
    <w:rsid w:val="BFF21C6A"/>
    <w:rsid w:val="D0F8479B"/>
    <w:rsid w:val="D7DD9506"/>
    <w:rsid w:val="DBD46F44"/>
    <w:rsid w:val="DCD9720A"/>
    <w:rsid w:val="DFDC5397"/>
    <w:rsid w:val="DFFFAD32"/>
    <w:rsid w:val="E3F51148"/>
    <w:rsid w:val="EAD816A0"/>
    <w:rsid w:val="EDDF320F"/>
    <w:rsid w:val="EFA71B3E"/>
    <w:rsid w:val="F2CD3D29"/>
    <w:rsid w:val="F2FF05C3"/>
    <w:rsid w:val="F7CB5858"/>
    <w:rsid w:val="F7FF6248"/>
    <w:rsid w:val="F96B4E44"/>
    <w:rsid w:val="FBDFAF5D"/>
    <w:rsid w:val="FBFFC2FE"/>
    <w:rsid w:val="FCA396B3"/>
    <w:rsid w:val="FCB3267E"/>
    <w:rsid w:val="FD73961C"/>
    <w:rsid w:val="FD87A9E8"/>
    <w:rsid w:val="FE3A97D0"/>
    <w:rsid w:val="FEFFCB01"/>
    <w:rsid w:val="FFFFB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3091</Words>
  <Characters>3179</Characters>
  <Lines>0</Lines>
  <Paragraphs>0</Paragraphs>
  <TotalTime>1</TotalTime>
  <ScaleCrop>false</ScaleCrop>
  <LinksUpToDate>false</LinksUpToDate>
  <CharactersWithSpaces>3184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2018-07-17T07:11:00Z</dcterms:created>
  <dc:creator>d</dc:creator>
  <cp:lastModifiedBy>刘俊丰</cp:lastModifiedBy>
  <dcterms:modified xsi:type="dcterms:W3CDTF">2026-04-03T15:37:51Z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11E4A916CD4360C03AABA8663FBA386A</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eyJoZGlkIjoiNDAzNjM4Yzg0YTJjNmVlMDFmNDJlMjRkZGVkY2M5MGIiLCJ1c2VySWQiOiIxMzc4NjUxMzYxIn0=</vt:lpwstr>
  </property>
</Properties>
</file>