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5B65">
      <w:pPr>
        <w:spacing w:line="360" w:lineRule="auto"/>
        <w:jc w:val="center"/>
        <w:rPr>
          <w:rFonts w:ascii="宋体" w:hAnsi="宋体"/>
          <w:b/>
          <w:sz w:val="32"/>
          <w:szCs w:val="32"/>
        </w:rPr>
      </w:pPr>
      <w:r>
        <w:rPr>
          <w:rFonts w:hint="eastAsia" w:ascii="宋体" w:hAnsi="宋体"/>
          <w:b/>
          <w:sz w:val="32"/>
          <w:szCs w:val="32"/>
          <w:lang w:val="en-US" w:eastAsia="zh-CN"/>
        </w:rPr>
        <w:t>龙岗区妇幼保健院互联网诊疗平台运维服务项目</w:t>
      </w:r>
      <w:r>
        <w:rPr>
          <w:rFonts w:hint="eastAsia" w:ascii="宋体" w:hAnsi="宋体"/>
          <w:b/>
          <w:sz w:val="32"/>
          <w:szCs w:val="32"/>
        </w:rPr>
        <w:t>需求文件</w:t>
      </w:r>
    </w:p>
    <w:p w14:paraId="6ACD41C9">
      <w:pPr>
        <w:pStyle w:val="3"/>
        <w:numPr>
          <w:ilvl w:val="-1"/>
          <w:numId w:val="0"/>
        </w:numPr>
        <w:ind w:left="0" w:firstLine="0"/>
      </w:pPr>
      <w:bookmarkStart w:id="0" w:name="_Toc361780468"/>
    </w:p>
    <w:p w14:paraId="5A08FC45">
      <w:pPr>
        <w:pStyle w:val="4"/>
        <w:numPr>
          <w:ilvl w:val="0"/>
          <w:numId w:val="1"/>
        </w:numPr>
        <w:spacing w:before="156" w:beforeLines="50" w:after="156" w:afterLines="50"/>
        <w:rPr>
          <w:rFonts w:hint="eastAsia" w:cs="宋体"/>
          <w:sz w:val="28"/>
          <w:szCs w:val="28"/>
        </w:rPr>
      </w:pPr>
      <w:r>
        <w:rPr>
          <w:rFonts w:hint="eastAsia" w:cs="宋体"/>
          <w:sz w:val="28"/>
          <w:szCs w:val="28"/>
        </w:rPr>
        <w:t>项目技术要求</w:t>
      </w:r>
    </w:p>
    <w:p w14:paraId="1FC6577E">
      <w:pPr>
        <w:tabs>
          <w:tab w:val="left" w:pos="1429"/>
        </w:tabs>
        <w:spacing w:line="520" w:lineRule="exact"/>
        <w:ind w:firstLine="480" w:firstLineChars="200"/>
        <w:rPr>
          <w:rFonts w:hint="eastAsia" w:ascii="仿宋" w:hAnsi="仿宋" w:eastAsia="仿宋" w:cs="仿宋"/>
          <w:sz w:val="28"/>
          <w:szCs w:val="28"/>
        </w:rPr>
      </w:pPr>
      <w:r>
        <w:rPr>
          <w:rFonts w:hint="eastAsia"/>
          <w:sz w:val="24"/>
        </w:rPr>
        <w:t>深圳市龙岗区妇幼保健院互联网诊疗平台（以下简称“系统”）经过</w:t>
      </w:r>
      <w:bookmarkStart w:id="5" w:name="_GoBack"/>
      <w:bookmarkEnd w:id="5"/>
      <w:r>
        <w:rPr>
          <w:rFonts w:hint="eastAsia"/>
          <w:sz w:val="24"/>
        </w:rPr>
        <w:t>5年多的建设运行，系统现已在科室正常运行，有效地为客户提供互联网诊疗等便捷服务。目前系统的免费维保期已满，为了保障后续工作的顺畅开展，保障系统的稳定正常运行，保障系统的数据安全可靠，改善系统的运行性能，提升用户对系统的利用能力和水平，需采购互联网诊疗平台运维服务，服务内容包括软件运维服务、服务器/数据库运维服务、技术支持服务、现场服务。</w:t>
      </w:r>
    </w:p>
    <w:p w14:paraId="30DC3824">
      <w:pPr>
        <w:pStyle w:val="10"/>
        <w:numPr>
          <w:ilvl w:val="0"/>
          <w:numId w:val="2"/>
        </w:numPr>
        <w:spacing w:line="360" w:lineRule="auto"/>
        <w:ind w:left="0"/>
      </w:pPr>
      <w:r>
        <w:rPr>
          <w:rFonts w:hint="eastAsia" w:ascii="宋体" w:hAnsi="宋体" w:cs="宋体"/>
          <w:b/>
          <w:bCs/>
          <w:sz w:val="24"/>
        </w:rPr>
        <w:t>软件运维服务要求</w:t>
      </w:r>
    </w:p>
    <w:p w14:paraId="493320DA">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维保范围：见后附软硬件维保范围。</w:t>
      </w:r>
    </w:p>
    <w:p w14:paraId="0489599D">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乙方应成立专门的项目组开展运维服务工作，项目组由项目负责人、技术工程师组成，设立24小时热线服务电话。出现故障时，采购人可与项目负责人联系，由项目负责人安排技术工程师提供运维服务。</w:t>
      </w:r>
    </w:p>
    <w:p w14:paraId="2D6CA15C">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乙方应定期派遣技术工程师前往用户现场提供巡检服务，服务内容包括系统检查与优化、服务器系统检查与优化等。</w:t>
      </w:r>
    </w:p>
    <w:p w14:paraId="53D186D0">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接到采购人因软件故障造成的紧急服务要求后需在2小时内响应，并提供远程控制或电话指示解决；涉及医院业务连续性影响医疗正常医疗业务的情况在6个小时内不能解决的，经医院要求需派工程师前往现场解决。</w:t>
      </w:r>
    </w:p>
    <w:p w14:paraId="04A240A2">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乙方应积极响应与处理软件系统使用过程中所发现的BUG问题，对于软件存在的可复现的BUG问题，在与采购人确认修复时间后，应在约定的时间之内完成修改。</w:t>
      </w:r>
    </w:p>
    <w:p w14:paraId="53BAA3D7">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运维服务期内，乙方需提供7*24小时技术支持热线电话（固话或手机）及远程服务。工作期间（正常工作日9:00-18:00）软件故障响应时间不超过2小时，紧急情况下到达现场时间不超过6小时；非工作期间软件故障响应时间不超过4小时，紧急到达现场时间不超过12小时 （如遇人力不可抗拒的因素，双方另行协商），以保证医院业务工作正常运行。</w:t>
      </w:r>
    </w:p>
    <w:p w14:paraId="3ADC0CF6">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乙方在推出同版本的升级迭代程序后，需对院方系统进行更新升级（该次更新升级不包括合同范围外功能），具体更新时间可由双方协商。</w:t>
      </w:r>
    </w:p>
    <w:p w14:paraId="3CC70225">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乙方需提供完善的系统应急预案，并能在系统发生故障后第一时间进行启用。</w:t>
      </w:r>
    </w:p>
    <w:p w14:paraId="253F7CF0">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服务器/数据库运维服务要求</w:t>
      </w:r>
    </w:p>
    <w:p w14:paraId="4A380C86">
      <w:pPr>
        <w:numPr>
          <w:ilvl w:val="0"/>
          <w:numId w:val="4"/>
        </w:numPr>
        <w:tabs>
          <w:tab w:val="left" w:pos="851"/>
          <w:tab w:val="left" w:pos="1260"/>
        </w:tabs>
        <w:spacing w:line="360" w:lineRule="auto"/>
        <w:jc w:val="left"/>
        <w:rPr>
          <w:rFonts w:hint="eastAsia" w:ascii="宋体" w:hAnsi="宋体" w:cs="宋体"/>
          <w:sz w:val="24"/>
        </w:rPr>
      </w:pPr>
      <w:r>
        <w:rPr>
          <w:rFonts w:hint="eastAsia" w:ascii="宋体" w:hAnsi="宋体" w:cs="宋体"/>
          <w:sz w:val="24"/>
        </w:rPr>
        <w:t>定期对数据库服务器进行巡检，对现有服务器、数据库运行状态进行评估，并提供评估报告。</w:t>
      </w:r>
    </w:p>
    <w:p w14:paraId="4EC1D964">
      <w:pPr>
        <w:numPr>
          <w:ilvl w:val="0"/>
          <w:numId w:val="4"/>
        </w:numPr>
        <w:tabs>
          <w:tab w:val="left" w:pos="851"/>
          <w:tab w:val="left" w:pos="1260"/>
        </w:tabs>
        <w:spacing w:line="360" w:lineRule="auto"/>
        <w:jc w:val="left"/>
        <w:rPr>
          <w:rFonts w:hint="eastAsia" w:ascii="宋体" w:hAnsi="宋体" w:cs="宋体"/>
          <w:sz w:val="24"/>
        </w:rPr>
      </w:pPr>
      <w:r>
        <w:rPr>
          <w:rFonts w:hint="eastAsia" w:ascii="宋体" w:hAnsi="宋体" w:cs="宋体"/>
          <w:sz w:val="24"/>
        </w:rPr>
        <w:t>对数据库中产生的问题日志，提供远程查看与指导。</w:t>
      </w:r>
    </w:p>
    <w:p w14:paraId="70A9CBC7">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技术支持服务</w:t>
      </w:r>
    </w:p>
    <w:p w14:paraId="67BD86B0">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用户培训服务，院方在使用以及维护过程中遇到操作不熟练、系统流程不熟悉或误操作时应提供相应的指导与咨询，并及时回答提出的问题。</w:t>
      </w:r>
    </w:p>
    <w:p w14:paraId="78974893">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系统更新指导服务，在进行系统更新时，提供远程或电话指导的服务，协助院方更新现有系统。</w:t>
      </w:r>
    </w:p>
    <w:p w14:paraId="73CDEA68">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根据系统运行实际状况，提供有关系统安装、调试、使用、维护、升级、IT技术发展趋势等方面的免费咨询服务。</w:t>
      </w:r>
    </w:p>
    <w:p w14:paraId="7AA9F944">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现场服务</w:t>
      </w:r>
    </w:p>
    <w:p w14:paraId="7DE6D603">
      <w:pPr>
        <w:numPr>
          <w:ilvl w:val="0"/>
          <w:numId w:val="6"/>
        </w:numPr>
        <w:tabs>
          <w:tab w:val="left" w:pos="851"/>
          <w:tab w:val="left" w:pos="1260"/>
        </w:tabs>
        <w:spacing w:line="360" w:lineRule="auto"/>
        <w:jc w:val="left"/>
        <w:rPr>
          <w:rFonts w:hint="eastAsia" w:ascii="宋体" w:hAnsi="宋体" w:cs="宋体"/>
          <w:sz w:val="24"/>
        </w:rPr>
      </w:pPr>
      <w:r>
        <w:rPr>
          <w:rFonts w:hint="eastAsia" w:ascii="宋体" w:hAnsi="宋体" w:cs="宋体"/>
          <w:sz w:val="24"/>
        </w:rPr>
        <w:t>根据实际需求，不定期组织专题讨论会，详细听取客户意见，了解客户需求，以便更好地为客户提供优质的服务。</w:t>
      </w:r>
    </w:p>
    <w:p w14:paraId="5F8B1A8E">
      <w:pPr>
        <w:numPr>
          <w:ilvl w:val="0"/>
          <w:numId w:val="6"/>
        </w:numPr>
        <w:tabs>
          <w:tab w:val="left" w:pos="851"/>
          <w:tab w:val="left" w:pos="1260"/>
        </w:tabs>
        <w:spacing w:line="360" w:lineRule="auto"/>
        <w:jc w:val="left"/>
        <w:rPr>
          <w:rFonts w:hint="eastAsia" w:ascii="宋体" w:hAnsi="宋体" w:cs="宋体"/>
          <w:sz w:val="24"/>
        </w:rPr>
      </w:pPr>
      <w:r>
        <w:rPr>
          <w:rFonts w:hint="eastAsia" w:ascii="宋体" w:hAnsi="宋体" w:cs="宋体"/>
          <w:sz w:val="24"/>
        </w:rPr>
        <w:t>周期性地在系统现场进行技术总结，为用户科学分析现有系统资源使用情况，包括在过去工作过程中所出现问题的总结，可能存在的系统瓶颈分析，并对今后系统运行提出合理建议。</w:t>
      </w:r>
    </w:p>
    <w:p w14:paraId="475670E7">
      <w:pPr>
        <w:pStyle w:val="15"/>
      </w:pPr>
    </w:p>
    <w:p w14:paraId="4D3BE76A">
      <w:pPr>
        <w:pStyle w:val="15"/>
      </w:pPr>
    </w:p>
    <w:p w14:paraId="6564E8C6">
      <w:pPr>
        <w:widowControl/>
        <w:jc w:val="left"/>
        <w:rPr>
          <w:b/>
          <w:bCs/>
          <w:sz w:val="24"/>
        </w:rPr>
      </w:pPr>
      <w:r>
        <w:rPr>
          <w:b/>
          <w:bCs/>
          <w:sz w:val="24"/>
        </w:rPr>
        <w:br w:type="page"/>
      </w:r>
    </w:p>
    <w:p w14:paraId="23E34D89">
      <w:pPr>
        <w:pStyle w:val="15"/>
        <w:ind w:firstLine="482"/>
        <w:jc w:val="left"/>
        <w:rPr>
          <w:b/>
          <w:bCs/>
          <w:sz w:val="24"/>
        </w:rPr>
      </w:pPr>
      <w:r>
        <w:rPr>
          <w:rFonts w:hint="eastAsia"/>
          <w:b/>
          <w:bCs/>
          <w:sz w:val="24"/>
        </w:rPr>
        <w:t>附：软硬件维保范围</w:t>
      </w:r>
    </w:p>
    <w:p w14:paraId="02609971">
      <w:pPr>
        <w:spacing w:line="276" w:lineRule="auto"/>
        <w:rPr>
          <w:rFonts w:ascii="宋体"/>
          <w:b/>
        </w:rPr>
      </w:pPr>
      <w:r>
        <w:rPr>
          <w:rFonts w:hint="eastAsia" w:ascii="宋体" w:hAnsi="宋体"/>
          <w:b/>
        </w:rPr>
        <w:t>（1）互联网诊疗平台</w:t>
      </w:r>
    </w:p>
    <w:tbl>
      <w:tblPr>
        <w:tblStyle w:val="16"/>
        <w:tblW w:w="8500" w:type="dxa"/>
        <w:tblInd w:w="0" w:type="dxa"/>
        <w:tblLayout w:type="fixed"/>
        <w:tblCellMar>
          <w:top w:w="0" w:type="dxa"/>
          <w:left w:w="108" w:type="dxa"/>
          <w:bottom w:w="0" w:type="dxa"/>
          <w:right w:w="108" w:type="dxa"/>
        </w:tblCellMar>
      </w:tblPr>
      <w:tblGrid>
        <w:gridCol w:w="634"/>
        <w:gridCol w:w="975"/>
        <w:gridCol w:w="1437"/>
        <w:gridCol w:w="5454"/>
      </w:tblGrid>
      <w:tr w14:paraId="026C49DE">
        <w:tblPrEx>
          <w:tblCellMar>
            <w:top w:w="0" w:type="dxa"/>
            <w:left w:w="108" w:type="dxa"/>
            <w:bottom w:w="0" w:type="dxa"/>
            <w:right w:w="108" w:type="dxa"/>
          </w:tblCellMar>
        </w:tblPrEx>
        <w:trPr>
          <w:trHeight w:val="341" w:hRule="atLeast"/>
          <w:tblHeader/>
        </w:trPr>
        <w:tc>
          <w:tcPr>
            <w:tcW w:w="6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F64F80">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975"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6E60A1AE">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主项</w:t>
            </w:r>
          </w:p>
        </w:tc>
        <w:tc>
          <w:tcPr>
            <w:tcW w:w="1437"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61507427">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功能点</w:t>
            </w:r>
          </w:p>
        </w:tc>
        <w:tc>
          <w:tcPr>
            <w:tcW w:w="5454"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2F0EF800">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技术参数要求</w:t>
            </w:r>
          </w:p>
        </w:tc>
      </w:tr>
      <w:tr w14:paraId="36A47AA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C285DC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1AE17DC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居民移动端</w:t>
            </w:r>
          </w:p>
        </w:tc>
        <w:tc>
          <w:tcPr>
            <w:tcW w:w="1437" w:type="dxa"/>
            <w:tcBorders>
              <w:top w:val="single" w:color="auto" w:sz="4" w:space="0"/>
              <w:left w:val="nil"/>
              <w:bottom w:val="single" w:color="auto" w:sz="4" w:space="0"/>
              <w:right w:val="single" w:color="auto" w:sz="4" w:space="0"/>
            </w:tcBorders>
            <w:vAlign w:val="center"/>
          </w:tcPr>
          <w:p w14:paraId="703F44A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w:t>
            </w:r>
          </w:p>
        </w:tc>
        <w:tc>
          <w:tcPr>
            <w:tcW w:w="5454" w:type="dxa"/>
            <w:tcBorders>
              <w:top w:val="single" w:color="auto" w:sz="4" w:space="0"/>
              <w:left w:val="nil"/>
              <w:bottom w:val="single" w:color="auto" w:sz="4" w:space="0"/>
              <w:right w:val="single" w:color="auto" w:sz="4" w:space="0"/>
            </w:tcBorders>
            <w:vAlign w:val="center"/>
          </w:tcPr>
          <w:p w14:paraId="5775F96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患者可通过患者小程序发起图文咨询，可与医生进行图文在线交流。</w:t>
            </w:r>
          </w:p>
        </w:tc>
      </w:tr>
      <w:tr w14:paraId="2E3BE45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15895D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6C51ECE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7A68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w:t>
            </w:r>
          </w:p>
        </w:tc>
        <w:tc>
          <w:tcPr>
            <w:tcW w:w="5454" w:type="dxa"/>
            <w:tcBorders>
              <w:top w:val="single" w:color="auto" w:sz="4" w:space="0"/>
              <w:left w:val="nil"/>
              <w:bottom w:val="single" w:color="auto" w:sz="4" w:space="0"/>
              <w:right w:val="single" w:color="auto" w:sz="4" w:space="0"/>
            </w:tcBorders>
            <w:vAlign w:val="center"/>
          </w:tcPr>
          <w:p w14:paraId="06B73D0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患者可通过患者小程序发起与医生进行视频互动，医生可视病情对患者开具处方。</w:t>
            </w:r>
          </w:p>
        </w:tc>
      </w:tr>
      <w:tr w14:paraId="3D7A2C1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765C2B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6ECB76F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5159BB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候诊室</w:t>
            </w:r>
          </w:p>
        </w:tc>
        <w:tc>
          <w:tcPr>
            <w:tcW w:w="5454" w:type="dxa"/>
            <w:tcBorders>
              <w:top w:val="single" w:color="auto" w:sz="4" w:space="0"/>
              <w:left w:val="nil"/>
              <w:bottom w:val="single" w:color="auto" w:sz="4" w:space="0"/>
              <w:right w:val="single" w:color="auto" w:sz="4" w:space="0"/>
            </w:tcBorders>
            <w:vAlign w:val="center"/>
          </w:tcPr>
          <w:p w14:paraId="2FAF3CA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患者可通过患者小程序提交视频问诊订单后进入候诊室，可实时查看排队情况。</w:t>
            </w:r>
          </w:p>
        </w:tc>
      </w:tr>
      <w:tr w14:paraId="19981AE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2AA43C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329972C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AE69D6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视频陪诊</w:t>
            </w:r>
          </w:p>
        </w:tc>
        <w:tc>
          <w:tcPr>
            <w:tcW w:w="5454" w:type="dxa"/>
            <w:tcBorders>
              <w:top w:val="single" w:color="auto" w:sz="4" w:space="0"/>
              <w:left w:val="nil"/>
              <w:bottom w:val="single" w:color="auto" w:sz="4" w:space="0"/>
              <w:right w:val="single" w:color="auto" w:sz="4" w:space="0"/>
            </w:tcBorders>
            <w:vAlign w:val="center"/>
          </w:tcPr>
          <w:p w14:paraId="4BC2800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患者可通过患者小程序提交视频问诊订单后，向微信好友发送陪诊申请，被邀请人可进入视频诊室。</w:t>
            </w:r>
          </w:p>
        </w:tc>
      </w:tr>
      <w:tr w14:paraId="2348205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4F8566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624057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F470A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诊疗记录</w:t>
            </w:r>
          </w:p>
        </w:tc>
        <w:tc>
          <w:tcPr>
            <w:tcW w:w="5454" w:type="dxa"/>
            <w:tcBorders>
              <w:top w:val="single" w:color="auto" w:sz="4" w:space="0"/>
              <w:left w:val="nil"/>
              <w:bottom w:val="single" w:color="auto" w:sz="4" w:space="0"/>
              <w:right w:val="single" w:color="auto" w:sz="4" w:space="0"/>
            </w:tcBorders>
            <w:vAlign w:val="center"/>
          </w:tcPr>
          <w:p w14:paraId="66EA48E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患者进入患者小程序可查看医生所开病历和处方信息。</w:t>
            </w:r>
          </w:p>
        </w:tc>
      </w:tr>
      <w:tr w14:paraId="478298C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395CC0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08180AD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6318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医生评价</w:t>
            </w:r>
          </w:p>
        </w:tc>
        <w:tc>
          <w:tcPr>
            <w:tcW w:w="5454" w:type="dxa"/>
            <w:tcBorders>
              <w:top w:val="single" w:color="auto" w:sz="4" w:space="0"/>
              <w:left w:val="nil"/>
              <w:bottom w:val="single" w:color="auto" w:sz="4" w:space="0"/>
              <w:right w:val="single" w:color="auto" w:sz="4" w:space="0"/>
            </w:tcBorders>
            <w:vAlign w:val="center"/>
          </w:tcPr>
          <w:p w14:paraId="0F41A5D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诊疗完成后，患者可对医生进行评价。评价包括服务满意度进行评分，并可提交评价内容</w:t>
            </w:r>
          </w:p>
        </w:tc>
      </w:tr>
      <w:tr w14:paraId="7BB7102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EA5A47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4D03F28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CBE9B1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在线支付</w:t>
            </w:r>
          </w:p>
        </w:tc>
        <w:tc>
          <w:tcPr>
            <w:tcW w:w="5454" w:type="dxa"/>
            <w:tcBorders>
              <w:top w:val="single" w:color="auto" w:sz="4" w:space="0"/>
              <w:left w:val="nil"/>
              <w:bottom w:val="single" w:color="auto" w:sz="4" w:space="0"/>
              <w:right w:val="single" w:color="auto" w:sz="4" w:space="0"/>
            </w:tcBorders>
            <w:vAlign w:val="center"/>
          </w:tcPr>
          <w:p w14:paraId="1D9C71EF">
            <w:pPr>
              <w:spacing w:line="276" w:lineRule="auto"/>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患者通过患者小程序在线支付所需费用。可根据实际情况对接微信线上医保。</w:t>
            </w:r>
          </w:p>
        </w:tc>
      </w:tr>
      <w:tr w14:paraId="3E53D79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D2E532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7EB3A1B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D1FE79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在线购药</w:t>
            </w:r>
          </w:p>
        </w:tc>
        <w:tc>
          <w:tcPr>
            <w:tcW w:w="5454" w:type="dxa"/>
            <w:tcBorders>
              <w:top w:val="single" w:color="auto" w:sz="4" w:space="0"/>
              <w:left w:val="nil"/>
              <w:bottom w:val="single" w:color="auto" w:sz="4" w:space="0"/>
              <w:right w:val="single" w:color="auto" w:sz="4" w:space="0"/>
            </w:tcBorders>
            <w:vAlign w:val="center"/>
          </w:tcPr>
          <w:p w14:paraId="3D6E965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患者可根据医生开具的药品进行在线购买药品。支持物流配送和自提两种模式，自提支持根据取药码取药。</w:t>
            </w:r>
          </w:p>
        </w:tc>
      </w:tr>
      <w:tr w14:paraId="0BB5826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F8B96F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61CBF3D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EC96E5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物流信息</w:t>
            </w:r>
          </w:p>
        </w:tc>
        <w:tc>
          <w:tcPr>
            <w:tcW w:w="5454" w:type="dxa"/>
            <w:tcBorders>
              <w:top w:val="single" w:color="auto" w:sz="4" w:space="0"/>
              <w:left w:val="nil"/>
              <w:bottom w:val="single" w:color="auto" w:sz="4" w:space="0"/>
              <w:right w:val="single" w:color="auto" w:sz="4" w:space="0"/>
            </w:tcBorders>
            <w:vAlign w:val="center"/>
          </w:tcPr>
          <w:p w14:paraId="790B012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患者可通过患者小程序查看处方药品物流配送信息</w:t>
            </w:r>
          </w:p>
        </w:tc>
      </w:tr>
      <w:tr w14:paraId="6221E02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5B371F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55A91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4A3A06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收货地址</w:t>
            </w:r>
          </w:p>
        </w:tc>
        <w:tc>
          <w:tcPr>
            <w:tcW w:w="5454" w:type="dxa"/>
            <w:tcBorders>
              <w:top w:val="single" w:color="auto" w:sz="4" w:space="0"/>
              <w:left w:val="nil"/>
              <w:bottom w:val="single" w:color="auto" w:sz="4" w:space="0"/>
              <w:right w:val="single" w:color="auto" w:sz="4" w:space="0"/>
            </w:tcBorders>
            <w:vAlign w:val="center"/>
          </w:tcPr>
          <w:p w14:paraId="0D1FD6A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患者可添加多个收货地址进行管理。</w:t>
            </w:r>
          </w:p>
        </w:tc>
      </w:tr>
      <w:tr w14:paraId="44D6120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DDD8EF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1C34538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E82BF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消息中心</w:t>
            </w:r>
          </w:p>
        </w:tc>
        <w:tc>
          <w:tcPr>
            <w:tcW w:w="5454" w:type="dxa"/>
            <w:tcBorders>
              <w:top w:val="single" w:color="auto" w:sz="4" w:space="0"/>
              <w:left w:val="nil"/>
              <w:bottom w:val="single" w:color="auto" w:sz="4" w:space="0"/>
              <w:right w:val="single" w:color="auto" w:sz="4" w:space="0"/>
            </w:tcBorders>
            <w:vAlign w:val="center"/>
          </w:tcPr>
          <w:p w14:paraId="10D4FC4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通过患者小程序消息查看图文订单和视频订单中的就诊结果，就诊时间，治疗方案等消息，及时提醒患者进行相关操作</w:t>
            </w:r>
          </w:p>
        </w:tc>
      </w:tr>
      <w:tr w14:paraId="1252F1A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6A3181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74CFBCE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02E2B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知情同意书</w:t>
            </w:r>
          </w:p>
        </w:tc>
        <w:tc>
          <w:tcPr>
            <w:tcW w:w="5454" w:type="dxa"/>
            <w:tcBorders>
              <w:top w:val="single" w:color="auto" w:sz="4" w:space="0"/>
              <w:left w:val="nil"/>
              <w:bottom w:val="single" w:color="auto" w:sz="4" w:space="0"/>
              <w:right w:val="single" w:color="auto" w:sz="4" w:space="0"/>
            </w:tcBorders>
            <w:vAlign w:val="center"/>
          </w:tcPr>
          <w:p w14:paraId="6E2AAD9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居民群众申请互联网诊疗平台诊疗服务时，需先阅读互联网诊疗平台知情同意书，内容包括报价信息（收费标准）、病患需知等说明。</w:t>
            </w:r>
          </w:p>
        </w:tc>
      </w:tr>
      <w:tr w14:paraId="24C2EB3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86CF82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2AC87CB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C90EF6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就诊人管理</w:t>
            </w:r>
          </w:p>
        </w:tc>
        <w:tc>
          <w:tcPr>
            <w:tcW w:w="5454" w:type="dxa"/>
            <w:tcBorders>
              <w:top w:val="single" w:color="auto" w:sz="4" w:space="0"/>
              <w:left w:val="nil"/>
              <w:bottom w:val="single" w:color="auto" w:sz="4" w:space="0"/>
              <w:right w:val="single" w:color="auto" w:sz="4" w:space="0"/>
            </w:tcBorders>
            <w:vAlign w:val="center"/>
          </w:tcPr>
          <w:p w14:paraId="0F24DA9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患者可添加多个就诊人进行咨询如：患者帮助父母进行在线咨询，可添加父母为就诊人并提交订单</w:t>
            </w:r>
          </w:p>
        </w:tc>
      </w:tr>
      <w:tr w14:paraId="6A5D61A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67DC4C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16C8556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30A02E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订单管理</w:t>
            </w:r>
          </w:p>
        </w:tc>
        <w:tc>
          <w:tcPr>
            <w:tcW w:w="5454" w:type="dxa"/>
            <w:tcBorders>
              <w:top w:val="single" w:color="auto" w:sz="4" w:space="0"/>
              <w:left w:val="nil"/>
              <w:bottom w:val="single" w:color="auto" w:sz="4" w:space="0"/>
              <w:right w:val="single" w:color="auto" w:sz="4" w:space="0"/>
            </w:tcBorders>
            <w:vAlign w:val="center"/>
          </w:tcPr>
          <w:p w14:paraId="22FD06D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患者进入小程序，进入订单页面，可查看到图文咨询、视频问诊、药品等相关的订单信息。未开始的图文咨询、视频问诊可自助申请退款。</w:t>
            </w:r>
          </w:p>
        </w:tc>
      </w:tr>
      <w:tr w14:paraId="60AD4D5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8BAEB1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78FB8BF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AA98F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电子发票</w:t>
            </w:r>
          </w:p>
        </w:tc>
        <w:tc>
          <w:tcPr>
            <w:tcW w:w="5454" w:type="dxa"/>
            <w:tcBorders>
              <w:top w:val="single" w:color="auto" w:sz="4" w:space="0"/>
              <w:left w:val="nil"/>
              <w:bottom w:val="single" w:color="auto" w:sz="4" w:space="0"/>
              <w:right w:val="single" w:color="auto" w:sz="4" w:space="0"/>
            </w:tcBorders>
            <w:vAlign w:val="center"/>
          </w:tcPr>
          <w:p w14:paraId="0DFB68E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患者进入小程序，提交并支付订单后，可查看对应订单的电子发票，支持发送电子发票到个人邮箱</w:t>
            </w:r>
          </w:p>
        </w:tc>
      </w:tr>
      <w:tr w14:paraId="774B57A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447E1B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ABB7AF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9BABF8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医生搜索</w:t>
            </w:r>
          </w:p>
        </w:tc>
        <w:tc>
          <w:tcPr>
            <w:tcW w:w="5454" w:type="dxa"/>
            <w:tcBorders>
              <w:top w:val="single" w:color="auto" w:sz="4" w:space="0"/>
              <w:left w:val="nil"/>
              <w:bottom w:val="single" w:color="auto" w:sz="4" w:space="0"/>
              <w:right w:val="single" w:color="auto" w:sz="4" w:space="0"/>
            </w:tcBorders>
            <w:vAlign w:val="center"/>
          </w:tcPr>
          <w:p w14:paraId="005C973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患者进入小程序，通过科室、医生姓名等方式搜索医生，选择医生进行图文咨询或视频问诊</w:t>
            </w:r>
          </w:p>
        </w:tc>
      </w:tr>
      <w:tr w14:paraId="5324A73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39F337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6C10D2C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60537B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我的问诊</w:t>
            </w:r>
          </w:p>
        </w:tc>
        <w:tc>
          <w:tcPr>
            <w:tcW w:w="5454" w:type="dxa"/>
            <w:tcBorders>
              <w:top w:val="single" w:color="auto" w:sz="4" w:space="0"/>
              <w:left w:val="nil"/>
              <w:bottom w:val="single" w:color="auto" w:sz="4" w:space="0"/>
              <w:right w:val="single" w:color="auto" w:sz="4" w:space="0"/>
            </w:tcBorders>
            <w:vAlign w:val="center"/>
          </w:tcPr>
          <w:p w14:paraId="4315615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患者进入小程序，打开我的问诊，可查看图文咨询、视频问诊的记录。在规定时间内，患者可跟医生进行图文沟通，医生可在规定时间内多次向患者发起视频呼叫。</w:t>
            </w:r>
          </w:p>
        </w:tc>
      </w:tr>
      <w:tr w14:paraId="31C26DA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B9956B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right w:val="single" w:color="auto" w:sz="4" w:space="0"/>
            </w:tcBorders>
            <w:vAlign w:val="center"/>
          </w:tcPr>
          <w:p w14:paraId="437EE42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B666BD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电子处方</w:t>
            </w:r>
          </w:p>
        </w:tc>
        <w:tc>
          <w:tcPr>
            <w:tcW w:w="5454" w:type="dxa"/>
            <w:tcBorders>
              <w:top w:val="single" w:color="auto" w:sz="4" w:space="0"/>
              <w:left w:val="nil"/>
              <w:bottom w:val="single" w:color="auto" w:sz="4" w:space="0"/>
              <w:right w:val="single" w:color="auto" w:sz="4" w:space="0"/>
            </w:tcBorders>
            <w:vAlign w:val="center"/>
          </w:tcPr>
          <w:p w14:paraId="12D9CED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患者进入小程序，可查看医生开具的电子处方信息</w:t>
            </w:r>
          </w:p>
        </w:tc>
      </w:tr>
      <w:tr w14:paraId="0032662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26050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75" w:type="dxa"/>
            <w:vMerge w:val="continue"/>
            <w:tcBorders>
              <w:left w:val="nil"/>
              <w:right w:val="single" w:color="auto" w:sz="4" w:space="0"/>
            </w:tcBorders>
            <w:vAlign w:val="center"/>
          </w:tcPr>
          <w:p w14:paraId="40AFFDA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8AD9BE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医生介绍</w:t>
            </w:r>
          </w:p>
        </w:tc>
        <w:tc>
          <w:tcPr>
            <w:tcW w:w="5454" w:type="dxa"/>
            <w:tcBorders>
              <w:top w:val="single" w:color="auto" w:sz="4" w:space="0"/>
              <w:left w:val="nil"/>
              <w:bottom w:val="single" w:color="auto" w:sz="4" w:space="0"/>
              <w:right w:val="single" w:color="auto" w:sz="4" w:space="0"/>
            </w:tcBorders>
            <w:vAlign w:val="center"/>
          </w:tcPr>
          <w:p w14:paraId="4565D31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根据后台的出诊医生，在患者小程序端展示医生信息（职称、擅长专业等）、医生提供的服务（图文咨询、视频问诊、服务包）和患者评价</w:t>
            </w:r>
          </w:p>
        </w:tc>
      </w:tr>
      <w:tr w14:paraId="68F3A4C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577515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75" w:type="dxa"/>
            <w:vMerge w:val="continue"/>
            <w:tcBorders>
              <w:left w:val="nil"/>
              <w:right w:val="single" w:color="auto" w:sz="4" w:space="0"/>
            </w:tcBorders>
            <w:vAlign w:val="center"/>
          </w:tcPr>
          <w:p w14:paraId="7D31ECC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577904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关注/曾就诊医生</w:t>
            </w:r>
          </w:p>
        </w:tc>
        <w:tc>
          <w:tcPr>
            <w:tcW w:w="5454" w:type="dxa"/>
            <w:tcBorders>
              <w:top w:val="single" w:color="auto" w:sz="4" w:space="0"/>
              <w:left w:val="nil"/>
              <w:bottom w:val="single" w:color="auto" w:sz="4" w:space="0"/>
              <w:right w:val="single" w:color="auto" w:sz="4" w:space="0"/>
            </w:tcBorders>
            <w:vAlign w:val="center"/>
          </w:tcPr>
          <w:p w14:paraId="626019B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患者进入小程序，可查看关注的医生和近期曾进行图文咨询或视频问诊的医生</w:t>
            </w:r>
          </w:p>
        </w:tc>
      </w:tr>
      <w:tr w14:paraId="67CFA12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94C2DC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75" w:type="dxa"/>
            <w:vMerge w:val="continue"/>
            <w:tcBorders>
              <w:left w:val="nil"/>
              <w:right w:val="single" w:color="auto" w:sz="4" w:space="0"/>
            </w:tcBorders>
            <w:vAlign w:val="center"/>
          </w:tcPr>
          <w:p w14:paraId="7FCF9DE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7E5CD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短信验证</w:t>
            </w:r>
          </w:p>
        </w:tc>
        <w:tc>
          <w:tcPr>
            <w:tcW w:w="5454" w:type="dxa"/>
            <w:tcBorders>
              <w:top w:val="single" w:color="auto" w:sz="4" w:space="0"/>
              <w:left w:val="nil"/>
              <w:bottom w:val="single" w:color="auto" w:sz="4" w:space="0"/>
              <w:right w:val="single" w:color="auto" w:sz="4" w:space="0"/>
            </w:tcBorders>
            <w:vAlign w:val="center"/>
          </w:tcPr>
          <w:p w14:paraId="511C645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添加就诊人时，需通过手机短信验证码校验</w:t>
            </w:r>
          </w:p>
        </w:tc>
      </w:tr>
      <w:tr w14:paraId="618B82F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BCE64E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75" w:type="dxa"/>
            <w:vMerge w:val="continue"/>
            <w:tcBorders>
              <w:left w:val="nil"/>
              <w:right w:val="single" w:color="auto" w:sz="4" w:space="0"/>
            </w:tcBorders>
            <w:vAlign w:val="center"/>
          </w:tcPr>
          <w:p w14:paraId="77BB73E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D98F22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身份证OCR</w:t>
            </w:r>
          </w:p>
        </w:tc>
        <w:tc>
          <w:tcPr>
            <w:tcW w:w="5454" w:type="dxa"/>
            <w:tcBorders>
              <w:top w:val="single" w:color="auto" w:sz="4" w:space="0"/>
              <w:left w:val="nil"/>
              <w:bottom w:val="single" w:color="auto" w:sz="4" w:space="0"/>
              <w:right w:val="single" w:color="auto" w:sz="4" w:space="0"/>
            </w:tcBorders>
            <w:vAlign w:val="center"/>
          </w:tcPr>
          <w:p w14:paraId="01B3FD7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添加就诊人时，上传身份证进行图像识别自动填入姓名、身份证号</w:t>
            </w:r>
          </w:p>
        </w:tc>
      </w:tr>
      <w:tr w14:paraId="4214831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057D27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75" w:type="dxa"/>
            <w:vMerge w:val="continue"/>
            <w:tcBorders>
              <w:left w:val="nil"/>
              <w:bottom w:val="single" w:color="auto" w:sz="4" w:space="0"/>
              <w:right w:val="single" w:color="auto" w:sz="4" w:space="0"/>
            </w:tcBorders>
            <w:vAlign w:val="center"/>
          </w:tcPr>
          <w:p w14:paraId="4A28FEB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A5230D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帮助与反馈</w:t>
            </w:r>
          </w:p>
        </w:tc>
        <w:tc>
          <w:tcPr>
            <w:tcW w:w="5454" w:type="dxa"/>
            <w:tcBorders>
              <w:top w:val="single" w:color="auto" w:sz="4" w:space="0"/>
              <w:left w:val="nil"/>
              <w:bottom w:val="single" w:color="auto" w:sz="4" w:space="0"/>
              <w:right w:val="single" w:color="auto" w:sz="4" w:space="0"/>
            </w:tcBorders>
            <w:vAlign w:val="center"/>
          </w:tcPr>
          <w:p w14:paraId="707DE27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患者进入小程序，打开帮助与反馈，患者可查看常见问题，向在线客服发送消息，提交问题反馈</w:t>
            </w:r>
          </w:p>
        </w:tc>
      </w:tr>
      <w:tr w14:paraId="0BCC5E1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2F36C0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5971FE4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医生移动端</w:t>
            </w:r>
          </w:p>
        </w:tc>
        <w:tc>
          <w:tcPr>
            <w:tcW w:w="1437" w:type="dxa"/>
            <w:tcBorders>
              <w:top w:val="single" w:color="auto" w:sz="4" w:space="0"/>
              <w:left w:val="nil"/>
              <w:bottom w:val="single" w:color="auto" w:sz="4" w:space="0"/>
              <w:right w:val="single" w:color="auto" w:sz="4" w:space="0"/>
            </w:tcBorders>
            <w:vAlign w:val="center"/>
          </w:tcPr>
          <w:p w14:paraId="4DC96A9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医生登录</w:t>
            </w:r>
          </w:p>
        </w:tc>
        <w:tc>
          <w:tcPr>
            <w:tcW w:w="5454" w:type="dxa"/>
            <w:tcBorders>
              <w:top w:val="single" w:color="auto" w:sz="4" w:space="0"/>
              <w:left w:val="nil"/>
              <w:bottom w:val="single" w:color="auto" w:sz="4" w:space="0"/>
              <w:right w:val="single" w:color="auto" w:sz="4" w:space="0"/>
            </w:tcBorders>
            <w:vAlign w:val="center"/>
          </w:tcPr>
          <w:p w14:paraId="7FFF99B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医生登录工作站，可通过账号/密码、人脸识别登录</w:t>
            </w:r>
          </w:p>
        </w:tc>
      </w:tr>
      <w:tr w14:paraId="4BD195A8">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vAlign w:val="center"/>
          </w:tcPr>
          <w:p w14:paraId="630DA53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6E7F486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8D2DA0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w:t>
            </w:r>
          </w:p>
        </w:tc>
        <w:tc>
          <w:tcPr>
            <w:tcW w:w="5454" w:type="dxa"/>
            <w:tcBorders>
              <w:top w:val="single" w:color="auto" w:sz="4" w:space="0"/>
              <w:left w:val="nil"/>
              <w:bottom w:val="single" w:color="auto" w:sz="4" w:space="0"/>
              <w:right w:val="single" w:color="auto" w:sz="4" w:space="0"/>
            </w:tcBorders>
            <w:vAlign w:val="center"/>
          </w:tcPr>
          <w:p w14:paraId="754076D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医生进入工作站，在工作站中可查看购买了自己图文咨询服务的订单与患者进行图文咨询。医生针对病情对患者开具处方。</w:t>
            </w:r>
          </w:p>
        </w:tc>
      </w:tr>
      <w:tr w14:paraId="67E5722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3198EB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1D14CC5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20B63B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我的诊室</w:t>
            </w:r>
          </w:p>
        </w:tc>
        <w:tc>
          <w:tcPr>
            <w:tcW w:w="5454" w:type="dxa"/>
            <w:tcBorders>
              <w:top w:val="single" w:color="auto" w:sz="4" w:space="0"/>
              <w:left w:val="nil"/>
              <w:bottom w:val="single" w:color="auto" w:sz="4" w:space="0"/>
              <w:right w:val="single" w:color="auto" w:sz="4" w:space="0"/>
            </w:tcBorders>
            <w:vAlign w:val="center"/>
          </w:tcPr>
          <w:p w14:paraId="5BAEB4C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包含视频问诊、线下门诊的患者；医生通过工作站查看视频问诊提交的问题单（包括症状和描述），视患者的情况进行视频接诊对于提交错科室的订单医生可拒绝接诊；也可查看线下患者的诊疗记录，并进行开方诊疗服务</w:t>
            </w:r>
          </w:p>
        </w:tc>
      </w:tr>
      <w:tr w14:paraId="018E4F0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961371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297E83D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6A8D70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w:t>
            </w:r>
          </w:p>
        </w:tc>
        <w:tc>
          <w:tcPr>
            <w:tcW w:w="5454" w:type="dxa"/>
            <w:tcBorders>
              <w:top w:val="single" w:color="auto" w:sz="4" w:space="0"/>
              <w:left w:val="nil"/>
              <w:bottom w:val="single" w:color="auto" w:sz="4" w:space="0"/>
              <w:right w:val="single" w:color="auto" w:sz="4" w:space="0"/>
            </w:tcBorders>
            <w:vAlign w:val="center"/>
          </w:tcPr>
          <w:p w14:paraId="48698C3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查看视频问诊患者提交的问题单，进行接诊、拒绝接诊服务</w:t>
            </w:r>
          </w:p>
        </w:tc>
      </w:tr>
      <w:tr w14:paraId="1393FB6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44E9D3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5FEFC0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690AFE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线下门诊</w:t>
            </w:r>
          </w:p>
        </w:tc>
        <w:tc>
          <w:tcPr>
            <w:tcW w:w="5454" w:type="dxa"/>
            <w:tcBorders>
              <w:top w:val="single" w:color="auto" w:sz="4" w:space="0"/>
              <w:left w:val="nil"/>
              <w:bottom w:val="single" w:color="auto" w:sz="4" w:space="0"/>
              <w:right w:val="single" w:color="auto" w:sz="4" w:space="0"/>
            </w:tcBorders>
            <w:vAlign w:val="center"/>
          </w:tcPr>
          <w:p w14:paraId="564FE5D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查看线下门诊患者的诊疗信息，进行诊疗</w:t>
            </w:r>
          </w:p>
        </w:tc>
      </w:tr>
      <w:tr w14:paraId="3C60F31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3807E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6E3AF9F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63C0A6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w:t>
            </w:r>
          </w:p>
        </w:tc>
        <w:tc>
          <w:tcPr>
            <w:tcW w:w="5454" w:type="dxa"/>
            <w:tcBorders>
              <w:top w:val="single" w:color="auto" w:sz="4" w:space="0"/>
              <w:left w:val="nil"/>
              <w:bottom w:val="single" w:color="auto" w:sz="4" w:space="0"/>
              <w:right w:val="single" w:color="auto" w:sz="4" w:space="0"/>
            </w:tcBorders>
            <w:vAlign w:val="center"/>
          </w:tcPr>
          <w:p w14:paraId="0B4633E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医生通过消息可查看需要处理预约、取消、处方、未读消息等通知</w:t>
            </w:r>
          </w:p>
        </w:tc>
      </w:tr>
      <w:tr w14:paraId="1C256E7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C10D34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202F37A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26E1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邀请视频会诊</w:t>
            </w:r>
          </w:p>
        </w:tc>
        <w:tc>
          <w:tcPr>
            <w:tcW w:w="5454" w:type="dxa"/>
            <w:tcBorders>
              <w:top w:val="single" w:color="auto" w:sz="4" w:space="0"/>
              <w:left w:val="nil"/>
              <w:bottom w:val="single" w:color="auto" w:sz="4" w:space="0"/>
              <w:right w:val="single" w:color="auto" w:sz="4" w:space="0"/>
            </w:tcBorders>
            <w:vAlign w:val="center"/>
          </w:tcPr>
          <w:p w14:paraId="336E38C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医生在与患者进行视频问诊的过程中可在工作站中邀请其他医生参与视频会诊</w:t>
            </w:r>
          </w:p>
        </w:tc>
      </w:tr>
      <w:tr w14:paraId="0565CF9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B390F4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5B15433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B3E52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处方签名</w:t>
            </w:r>
          </w:p>
        </w:tc>
        <w:tc>
          <w:tcPr>
            <w:tcW w:w="5454" w:type="dxa"/>
            <w:tcBorders>
              <w:top w:val="single" w:color="auto" w:sz="4" w:space="0"/>
              <w:left w:val="nil"/>
              <w:bottom w:val="single" w:color="auto" w:sz="4" w:space="0"/>
              <w:right w:val="single" w:color="auto" w:sz="4" w:space="0"/>
            </w:tcBorders>
            <w:vAlign w:val="center"/>
          </w:tcPr>
          <w:p w14:paraId="4C6B5C4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提供医生录入的电子病历、电子处方等电子文件提供签名服务，保证资料的合法性</w:t>
            </w:r>
          </w:p>
        </w:tc>
      </w:tr>
      <w:tr w14:paraId="3B1D021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0B950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D5DC41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8A0C98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w:t>
            </w:r>
          </w:p>
        </w:tc>
        <w:tc>
          <w:tcPr>
            <w:tcW w:w="5454" w:type="dxa"/>
            <w:tcBorders>
              <w:top w:val="single" w:color="auto" w:sz="4" w:space="0"/>
              <w:left w:val="nil"/>
              <w:bottom w:val="single" w:color="auto" w:sz="4" w:space="0"/>
              <w:right w:val="single" w:color="auto" w:sz="4" w:space="0"/>
            </w:tcBorders>
            <w:vAlign w:val="center"/>
          </w:tcPr>
          <w:p w14:paraId="57D237A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医生开具电子处方后，由药师进行审方，对处方进行合法性、规范性、适宜性的审核</w:t>
            </w:r>
          </w:p>
        </w:tc>
      </w:tr>
      <w:tr w14:paraId="332704E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9476A1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05E6B96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1791C3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申请单录入</w:t>
            </w:r>
          </w:p>
        </w:tc>
        <w:tc>
          <w:tcPr>
            <w:tcW w:w="5454" w:type="dxa"/>
            <w:tcBorders>
              <w:top w:val="single" w:color="auto" w:sz="4" w:space="0"/>
              <w:left w:val="nil"/>
              <w:bottom w:val="single" w:color="auto" w:sz="4" w:space="0"/>
              <w:right w:val="single" w:color="auto" w:sz="4" w:space="0"/>
            </w:tcBorders>
            <w:vAlign w:val="center"/>
          </w:tcPr>
          <w:p w14:paraId="1C14246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医生通过医生工作站对患者开具检查、检验项目</w:t>
            </w:r>
          </w:p>
        </w:tc>
      </w:tr>
      <w:tr w14:paraId="0DB505C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6E60DE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31EB993B">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567EBF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历史诊疗记录</w:t>
            </w:r>
          </w:p>
        </w:tc>
        <w:tc>
          <w:tcPr>
            <w:tcW w:w="5454" w:type="dxa"/>
            <w:tcBorders>
              <w:top w:val="single" w:color="auto" w:sz="4" w:space="0"/>
              <w:left w:val="nil"/>
              <w:bottom w:val="single" w:color="auto" w:sz="4" w:space="0"/>
              <w:right w:val="single" w:color="auto" w:sz="4" w:space="0"/>
            </w:tcBorders>
            <w:vAlign w:val="center"/>
          </w:tcPr>
          <w:p w14:paraId="5D8388D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医生可在工作站中查看购买了自己视频问诊服务的患者的历史诊疗信息，包含医嘱、诊断、病历信息</w:t>
            </w:r>
          </w:p>
        </w:tc>
      </w:tr>
      <w:tr w14:paraId="1638F47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4EF83D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344F5FF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558C99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病历录入</w:t>
            </w:r>
          </w:p>
        </w:tc>
        <w:tc>
          <w:tcPr>
            <w:tcW w:w="5454" w:type="dxa"/>
            <w:tcBorders>
              <w:top w:val="single" w:color="auto" w:sz="4" w:space="0"/>
              <w:left w:val="nil"/>
              <w:bottom w:val="single" w:color="auto" w:sz="4" w:space="0"/>
              <w:right w:val="single" w:color="auto" w:sz="4" w:space="0"/>
            </w:tcBorders>
            <w:vAlign w:val="center"/>
          </w:tcPr>
          <w:p w14:paraId="10F6DDA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医生通过医生工作站对患者进行诊断，完成病历的录入包括主诉、诊断、病史、注意事项等信息；可使用病历模板、历史病历进行录入</w:t>
            </w:r>
          </w:p>
        </w:tc>
      </w:tr>
      <w:tr w14:paraId="323FD6C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2F5089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7C2689A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27F9B9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诊断录入</w:t>
            </w:r>
          </w:p>
        </w:tc>
        <w:tc>
          <w:tcPr>
            <w:tcW w:w="5454" w:type="dxa"/>
            <w:tcBorders>
              <w:top w:val="single" w:color="auto" w:sz="4" w:space="0"/>
              <w:left w:val="nil"/>
              <w:bottom w:val="single" w:color="auto" w:sz="4" w:space="0"/>
              <w:right w:val="single" w:color="auto" w:sz="4" w:space="0"/>
            </w:tcBorders>
            <w:vAlign w:val="center"/>
          </w:tcPr>
          <w:p w14:paraId="5B1494C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视频问诊过程中，根据患者病情，病症，病状，合理有效的开具诊断、可使用诊断模板、历史诊断快速录入</w:t>
            </w:r>
          </w:p>
        </w:tc>
      </w:tr>
      <w:tr w14:paraId="34C86EE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96D6CE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359032D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BE02A6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医嘱录入</w:t>
            </w:r>
          </w:p>
        </w:tc>
        <w:tc>
          <w:tcPr>
            <w:tcW w:w="5454" w:type="dxa"/>
            <w:tcBorders>
              <w:top w:val="single" w:color="auto" w:sz="4" w:space="0"/>
              <w:left w:val="nil"/>
              <w:bottom w:val="single" w:color="auto" w:sz="4" w:space="0"/>
              <w:right w:val="single" w:color="auto" w:sz="4" w:space="0"/>
            </w:tcBorders>
            <w:vAlign w:val="center"/>
          </w:tcPr>
          <w:p w14:paraId="2445987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视频问诊过程中，根据患者病情，病症，病状，合理有效的开具处方，使用历史处方、处方模板、医嘱套快速录入；包含西药、中草药、检查、检验信息录入</w:t>
            </w:r>
          </w:p>
        </w:tc>
      </w:tr>
      <w:tr w14:paraId="17FB8FA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D9466A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0FEEBF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3598E1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消息提醒</w:t>
            </w:r>
          </w:p>
        </w:tc>
        <w:tc>
          <w:tcPr>
            <w:tcW w:w="5454" w:type="dxa"/>
            <w:tcBorders>
              <w:top w:val="single" w:color="auto" w:sz="4" w:space="0"/>
              <w:left w:val="nil"/>
              <w:bottom w:val="single" w:color="auto" w:sz="4" w:space="0"/>
              <w:right w:val="single" w:color="auto" w:sz="4" w:space="0"/>
            </w:tcBorders>
            <w:vAlign w:val="center"/>
          </w:tcPr>
          <w:p w14:paraId="449B5C7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针对医生工作站为医生提供下单提醒、接诊提醒、取消接诊提醒、处方审核提醒、会诊邀请等消息</w:t>
            </w:r>
          </w:p>
        </w:tc>
      </w:tr>
      <w:tr w14:paraId="065EE05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9CA59B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0F9DCB99">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702556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处方审核拒绝处理</w:t>
            </w:r>
          </w:p>
        </w:tc>
        <w:tc>
          <w:tcPr>
            <w:tcW w:w="5454" w:type="dxa"/>
            <w:tcBorders>
              <w:top w:val="single" w:color="auto" w:sz="4" w:space="0"/>
              <w:left w:val="nil"/>
              <w:bottom w:val="single" w:color="auto" w:sz="4" w:space="0"/>
              <w:right w:val="single" w:color="auto" w:sz="4" w:space="0"/>
            </w:tcBorders>
            <w:vAlign w:val="center"/>
          </w:tcPr>
          <w:p w14:paraId="3E63FBE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对处方（医嘱）中可能存在的药物相互作用、药物过敏、注射液体外配伍、剂量范围、药物禁忌、不良反应、重复用药、给药途径和特殊人群用药等潜在不合理用药问题进行审查，审核不通过的处方通知医生进行处理，医生接收到系统消息提示，可进行接受拒绝，也可申诉</w:t>
            </w:r>
          </w:p>
        </w:tc>
      </w:tr>
      <w:tr w14:paraId="71438EF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A73500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D7C3B9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4F1F1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医嘱处理时间轴</w:t>
            </w:r>
          </w:p>
        </w:tc>
        <w:tc>
          <w:tcPr>
            <w:tcW w:w="5454" w:type="dxa"/>
            <w:tcBorders>
              <w:top w:val="single" w:color="auto" w:sz="4" w:space="0"/>
              <w:left w:val="nil"/>
              <w:bottom w:val="single" w:color="auto" w:sz="4" w:space="0"/>
              <w:right w:val="single" w:color="auto" w:sz="4" w:space="0"/>
            </w:tcBorders>
            <w:vAlign w:val="center"/>
          </w:tcPr>
          <w:p w14:paraId="076A1D8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系统显示每个医嘱的处理状态以及处理节点全部留痕可查看（包含开方、审方、支付、退药、发药等各个环节）</w:t>
            </w:r>
          </w:p>
        </w:tc>
      </w:tr>
      <w:tr w14:paraId="630CB49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4C69AA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148C923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052678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结束服务</w:t>
            </w:r>
          </w:p>
        </w:tc>
        <w:tc>
          <w:tcPr>
            <w:tcW w:w="5454" w:type="dxa"/>
            <w:tcBorders>
              <w:top w:val="single" w:color="auto" w:sz="4" w:space="0"/>
              <w:left w:val="nil"/>
              <w:bottom w:val="single" w:color="auto" w:sz="4" w:space="0"/>
              <w:right w:val="single" w:color="auto" w:sz="4" w:space="0"/>
            </w:tcBorders>
            <w:vAlign w:val="center"/>
          </w:tcPr>
          <w:p w14:paraId="34586FB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医生点击“结束服务”后，将医嘱和病历分别签名并提交审核，审核通过后系统会推送治疗方案给患者</w:t>
            </w:r>
          </w:p>
        </w:tc>
      </w:tr>
      <w:tr w14:paraId="17EA904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1D2C46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right w:val="single" w:color="auto" w:sz="4" w:space="0"/>
            </w:tcBorders>
            <w:vAlign w:val="center"/>
          </w:tcPr>
          <w:p w14:paraId="1C6E437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2E7B3E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取消接诊</w:t>
            </w:r>
          </w:p>
        </w:tc>
        <w:tc>
          <w:tcPr>
            <w:tcW w:w="5454" w:type="dxa"/>
            <w:tcBorders>
              <w:top w:val="single" w:color="auto" w:sz="4" w:space="0"/>
              <w:left w:val="nil"/>
              <w:bottom w:val="single" w:color="auto" w:sz="4" w:space="0"/>
              <w:right w:val="single" w:color="auto" w:sz="4" w:space="0"/>
            </w:tcBorders>
            <w:vAlign w:val="center"/>
          </w:tcPr>
          <w:p w14:paraId="44A7069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如医生接诊患者后，发现患者病情有新变化，需要转科治疗，无法进行接诊，可取消接诊后拒绝接诊</w:t>
            </w:r>
          </w:p>
        </w:tc>
      </w:tr>
      <w:tr w14:paraId="46E4810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C202CD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75" w:type="dxa"/>
            <w:vMerge w:val="continue"/>
            <w:tcBorders>
              <w:left w:val="nil"/>
              <w:right w:val="single" w:color="auto" w:sz="4" w:space="0"/>
            </w:tcBorders>
            <w:vAlign w:val="center"/>
          </w:tcPr>
          <w:p w14:paraId="63D62FB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A0FA07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综合评分</w:t>
            </w:r>
          </w:p>
        </w:tc>
        <w:tc>
          <w:tcPr>
            <w:tcW w:w="5454" w:type="dxa"/>
            <w:tcBorders>
              <w:top w:val="single" w:color="auto" w:sz="4" w:space="0"/>
              <w:left w:val="nil"/>
              <w:bottom w:val="single" w:color="auto" w:sz="4" w:space="0"/>
              <w:right w:val="single" w:color="auto" w:sz="4" w:space="0"/>
            </w:tcBorders>
            <w:vAlign w:val="center"/>
          </w:tcPr>
          <w:p w14:paraId="0CD4B85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医生可查看图文、视频患者给医生进行打分的情况，系统进行综合计算，得出综合评分</w:t>
            </w:r>
          </w:p>
        </w:tc>
      </w:tr>
      <w:tr w14:paraId="140893E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B09442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75" w:type="dxa"/>
            <w:vMerge w:val="continue"/>
            <w:tcBorders>
              <w:left w:val="nil"/>
              <w:right w:val="single" w:color="auto" w:sz="4" w:space="0"/>
            </w:tcBorders>
            <w:vAlign w:val="center"/>
          </w:tcPr>
          <w:p w14:paraId="1E6D11E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E1EF20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图文咨询人次</w:t>
            </w:r>
          </w:p>
        </w:tc>
        <w:tc>
          <w:tcPr>
            <w:tcW w:w="5454" w:type="dxa"/>
            <w:tcBorders>
              <w:top w:val="single" w:color="auto" w:sz="4" w:space="0"/>
              <w:left w:val="nil"/>
              <w:bottom w:val="single" w:color="auto" w:sz="4" w:space="0"/>
              <w:right w:val="single" w:color="auto" w:sz="4" w:space="0"/>
            </w:tcBorders>
            <w:vAlign w:val="center"/>
          </w:tcPr>
          <w:p w14:paraId="6CC9F4D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医生可查看累计完成的图文咨询人次</w:t>
            </w:r>
          </w:p>
        </w:tc>
      </w:tr>
      <w:tr w14:paraId="13D0C74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A32795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75" w:type="dxa"/>
            <w:vMerge w:val="continue"/>
            <w:tcBorders>
              <w:left w:val="nil"/>
              <w:right w:val="single" w:color="auto" w:sz="4" w:space="0"/>
            </w:tcBorders>
            <w:vAlign w:val="center"/>
          </w:tcPr>
          <w:p w14:paraId="2F69108B">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13B8B2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视频问诊人次</w:t>
            </w:r>
          </w:p>
        </w:tc>
        <w:tc>
          <w:tcPr>
            <w:tcW w:w="5454" w:type="dxa"/>
            <w:tcBorders>
              <w:top w:val="single" w:color="auto" w:sz="4" w:space="0"/>
              <w:left w:val="nil"/>
              <w:bottom w:val="single" w:color="auto" w:sz="4" w:space="0"/>
              <w:right w:val="single" w:color="auto" w:sz="4" w:space="0"/>
            </w:tcBorders>
            <w:vAlign w:val="center"/>
          </w:tcPr>
          <w:p w14:paraId="714465F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医生可查看累计完成的视频问诊人次</w:t>
            </w:r>
          </w:p>
        </w:tc>
      </w:tr>
      <w:tr w14:paraId="479BB7C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7319DB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75" w:type="dxa"/>
            <w:vMerge w:val="continue"/>
            <w:tcBorders>
              <w:left w:val="nil"/>
              <w:right w:val="single" w:color="auto" w:sz="4" w:space="0"/>
            </w:tcBorders>
            <w:vAlign w:val="center"/>
          </w:tcPr>
          <w:p w14:paraId="2DF2FF2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0DFCD4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我的排班</w:t>
            </w:r>
          </w:p>
        </w:tc>
        <w:tc>
          <w:tcPr>
            <w:tcW w:w="5454" w:type="dxa"/>
            <w:tcBorders>
              <w:top w:val="single" w:color="auto" w:sz="4" w:space="0"/>
              <w:left w:val="nil"/>
              <w:bottom w:val="single" w:color="auto" w:sz="4" w:space="0"/>
              <w:right w:val="single" w:color="auto" w:sz="4" w:space="0"/>
            </w:tcBorders>
            <w:vAlign w:val="center"/>
          </w:tcPr>
          <w:p w14:paraId="37B0E0A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医生可在工作站中查看自己的排班信息按月排班展示；</w:t>
            </w:r>
          </w:p>
        </w:tc>
      </w:tr>
      <w:tr w14:paraId="400E64B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1833B9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75" w:type="dxa"/>
            <w:vMerge w:val="continue"/>
            <w:tcBorders>
              <w:left w:val="nil"/>
              <w:right w:val="single" w:color="auto" w:sz="4" w:space="0"/>
            </w:tcBorders>
            <w:vAlign w:val="center"/>
          </w:tcPr>
          <w:p w14:paraId="0611F7B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94A44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快捷回复模板</w:t>
            </w:r>
          </w:p>
        </w:tc>
        <w:tc>
          <w:tcPr>
            <w:tcW w:w="5454" w:type="dxa"/>
            <w:tcBorders>
              <w:top w:val="single" w:color="auto" w:sz="4" w:space="0"/>
              <w:left w:val="nil"/>
              <w:bottom w:val="single" w:color="auto" w:sz="4" w:space="0"/>
              <w:right w:val="single" w:color="auto" w:sz="4" w:space="0"/>
            </w:tcBorders>
            <w:vAlign w:val="center"/>
          </w:tcPr>
          <w:p w14:paraId="5C646B3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医生可维护模板，在与患者对话过程中使用回复模板，快速给出响应</w:t>
            </w:r>
          </w:p>
        </w:tc>
      </w:tr>
      <w:tr w14:paraId="2ABCC3B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1255B8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25</w:t>
            </w:r>
          </w:p>
        </w:tc>
        <w:tc>
          <w:tcPr>
            <w:tcW w:w="975" w:type="dxa"/>
            <w:vMerge w:val="continue"/>
            <w:tcBorders>
              <w:left w:val="nil"/>
              <w:right w:val="single" w:color="auto" w:sz="4" w:space="0"/>
            </w:tcBorders>
            <w:vAlign w:val="center"/>
          </w:tcPr>
          <w:p w14:paraId="7B80BA6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B94DB8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我的名片</w:t>
            </w:r>
          </w:p>
        </w:tc>
        <w:tc>
          <w:tcPr>
            <w:tcW w:w="5454" w:type="dxa"/>
            <w:tcBorders>
              <w:top w:val="single" w:color="auto" w:sz="4" w:space="0"/>
              <w:left w:val="nil"/>
              <w:bottom w:val="single" w:color="auto" w:sz="4" w:space="0"/>
              <w:right w:val="single" w:color="auto" w:sz="4" w:space="0"/>
            </w:tcBorders>
            <w:vAlign w:val="center"/>
          </w:tcPr>
          <w:p w14:paraId="106D6CF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医生看查看自己的二维码名片，并分享给患者进行图文、视频预约</w:t>
            </w:r>
          </w:p>
        </w:tc>
      </w:tr>
      <w:tr w14:paraId="0AD475E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1E71C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26</w:t>
            </w:r>
          </w:p>
        </w:tc>
        <w:tc>
          <w:tcPr>
            <w:tcW w:w="975" w:type="dxa"/>
            <w:vMerge w:val="continue"/>
            <w:tcBorders>
              <w:left w:val="nil"/>
              <w:right w:val="single" w:color="auto" w:sz="4" w:space="0"/>
            </w:tcBorders>
            <w:vAlign w:val="center"/>
          </w:tcPr>
          <w:p w14:paraId="168A345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371AE5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我的科室</w:t>
            </w:r>
          </w:p>
        </w:tc>
        <w:tc>
          <w:tcPr>
            <w:tcW w:w="5454" w:type="dxa"/>
            <w:tcBorders>
              <w:top w:val="single" w:color="auto" w:sz="4" w:space="0"/>
              <w:left w:val="nil"/>
              <w:bottom w:val="single" w:color="auto" w:sz="4" w:space="0"/>
              <w:right w:val="single" w:color="auto" w:sz="4" w:space="0"/>
            </w:tcBorders>
            <w:vAlign w:val="center"/>
          </w:tcPr>
          <w:p w14:paraId="7484424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如医生多点执业，有多个诊疗科室，医生可在此切换科室登录查看预约患者</w:t>
            </w:r>
          </w:p>
        </w:tc>
      </w:tr>
      <w:tr w14:paraId="14D9F74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A0F9F4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27</w:t>
            </w:r>
          </w:p>
        </w:tc>
        <w:tc>
          <w:tcPr>
            <w:tcW w:w="975" w:type="dxa"/>
            <w:vMerge w:val="continue"/>
            <w:tcBorders>
              <w:left w:val="nil"/>
              <w:right w:val="single" w:color="auto" w:sz="4" w:space="0"/>
            </w:tcBorders>
            <w:vAlign w:val="center"/>
          </w:tcPr>
          <w:p w14:paraId="4BA7683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396AF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帮助与反馈</w:t>
            </w:r>
          </w:p>
        </w:tc>
        <w:tc>
          <w:tcPr>
            <w:tcW w:w="5454" w:type="dxa"/>
            <w:tcBorders>
              <w:top w:val="single" w:color="auto" w:sz="4" w:space="0"/>
              <w:left w:val="nil"/>
              <w:bottom w:val="single" w:color="auto" w:sz="4" w:space="0"/>
              <w:right w:val="single" w:color="auto" w:sz="4" w:space="0"/>
            </w:tcBorders>
            <w:vAlign w:val="center"/>
          </w:tcPr>
          <w:p w14:paraId="2BA594D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医生可查看操作帮助说明，如不能解决问题，可提交反馈或联系在线客服</w:t>
            </w:r>
          </w:p>
        </w:tc>
      </w:tr>
      <w:tr w14:paraId="476D52F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ACBAC0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7142EA2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医生工作站</w:t>
            </w:r>
          </w:p>
        </w:tc>
        <w:tc>
          <w:tcPr>
            <w:tcW w:w="1437" w:type="dxa"/>
            <w:tcBorders>
              <w:top w:val="single" w:color="auto" w:sz="4" w:space="0"/>
              <w:left w:val="nil"/>
              <w:bottom w:val="single" w:color="auto" w:sz="4" w:space="0"/>
              <w:right w:val="single" w:color="auto" w:sz="4" w:space="0"/>
            </w:tcBorders>
            <w:vAlign w:val="center"/>
          </w:tcPr>
          <w:p w14:paraId="0626A59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预约就诊</w:t>
            </w:r>
          </w:p>
        </w:tc>
        <w:tc>
          <w:tcPr>
            <w:tcW w:w="5454" w:type="dxa"/>
            <w:tcBorders>
              <w:top w:val="single" w:color="auto" w:sz="4" w:space="0"/>
              <w:left w:val="nil"/>
              <w:bottom w:val="single" w:color="auto" w:sz="4" w:space="0"/>
              <w:right w:val="single" w:color="auto" w:sz="4" w:space="0"/>
            </w:tcBorders>
            <w:vAlign w:val="center"/>
          </w:tcPr>
          <w:p w14:paraId="6F0C27D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患者可按医生排班时段预约就诊。</w:t>
            </w:r>
          </w:p>
        </w:tc>
      </w:tr>
      <w:tr w14:paraId="3D45C54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B20E78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5199170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7BABB5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视频看诊</w:t>
            </w:r>
          </w:p>
        </w:tc>
        <w:tc>
          <w:tcPr>
            <w:tcW w:w="5454" w:type="dxa"/>
            <w:tcBorders>
              <w:top w:val="single" w:color="auto" w:sz="4" w:space="0"/>
              <w:left w:val="nil"/>
              <w:bottom w:val="single" w:color="auto" w:sz="4" w:space="0"/>
              <w:right w:val="single" w:color="auto" w:sz="4" w:space="0"/>
            </w:tcBorders>
            <w:vAlign w:val="center"/>
          </w:tcPr>
          <w:p w14:paraId="59B0928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查看视频问诊患者提交的问题单，进行接诊、拒绝接诊服务</w:t>
            </w:r>
          </w:p>
        </w:tc>
      </w:tr>
      <w:tr w14:paraId="55BA978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B1FC4A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64C77239">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3F4041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历史查询</w:t>
            </w:r>
          </w:p>
        </w:tc>
        <w:tc>
          <w:tcPr>
            <w:tcW w:w="5454" w:type="dxa"/>
            <w:tcBorders>
              <w:top w:val="single" w:color="auto" w:sz="4" w:space="0"/>
              <w:left w:val="nil"/>
              <w:bottom w:val="single" w:color="auto" w:sz="4" w:space="0"/>
              <w:right w:val="single" w:color="auto" w:sz="4" w:space="0"/>
            </w:tcBorders>
            <w:vAlign w:val="center"/>
          </w:tcPr>
          <w:p w14:paraId="7E388DD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查看患者历史就诊信息</w:t>
            </w:r>
          </w:p>
        </w:tc>
      </w:tr>
      <w:tr w14:paraId="01199EC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96B24E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240CA0C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AAF68E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医嘱查询</w:t>
            </w:r>
          </w:p>
        </w:tc>
        <w:tc>
          <w:tcPr>
            <w:tcW w:w="5454" w:type="dxa"/>
            <w:tcBorders>
              <w:top w:val="single" w:color="auto" w:sz="4" w:space="0"/>
              <w:left w:val="nil"/>
              <w:bottom w:val="single" w:color="auto" w:sz="4" w:space="0"/>
              <w:right w:val="single" w:color="auto" w:sz="4" w:space="0"/>
            </w:tcBorders>
            <w:vAlign w:val="center"/>
          </w:tcPr>
          <w:p w14:paraId="725E5B7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查看患者既往医嘱信息，进行费用统计，按照生命周期进行展示医嘱执行记录</w:t>
            </w:r>
          </w:p>
        </w:tc>
      </w:tr>
      <w:tr w14:paraId="6E4E86A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C9A96B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689B27D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E89D98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检查报告</w:t>
            </w:r>
          </w:p>
        </w:tc>
        <w:tc>
          <w:tcPr>
            <w:tcW w:w="5454" w:type="dxa"/>
            <w:tcBorders>
              <w:top w:val="single" w:color="auto" w:sz="4" w:space="0"/>
              <w:left w:val="nil"/>
              <w:bottom w:val="single" w:color="auto" w:sz="4" w:space="0"/>
              <w:right w:val="single" w:color="auto" w:sz="4" w:space="0"/>
            </w:tcBorders>
            <w:vAlign w:val="center"/>
          </w:tcPr>
          <w:p w14:paraId="6CB28E1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查看患者的检查报告信息</w:t>
            </w:r>
          </w:p>
        </w:tc>
      </w:tr>
      <w:tr w14:paraId="60F6C70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A1C8C2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5000B87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AED8C0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检验结果</w:t>
            </w:r>
          </w:p>
        </w:tc>
        <w:tc>
          <w:tcPr>
            <w:tcW w:w="5454" w:type="dxa"/>
            <w:tcBorders>
              <w:top w:val="single" w:color="auto" w:sz="4" w:space="0"/>
              <w:left w:val="nil"/>
              <w:bottom w:val="single" w:color="auto" w:sz="4" w:space="0"/>
              <w:right w:val="single" w:color="auto" w:sz="4" w:space="0"/>
            </w:tcBorders>
            <w:vAlign w:val="center"/>
          </w:tcPr>
          <w:p w14:paraId="329B408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查看患者的检验结果信息</w:t>
            </w:r>
          </w:p>
        </w:tc>
      </w:tr>
      <w:tr w14:paraId="5D6F95A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E05CE2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58F184D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904196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电子病历</w:t>
            </w:r>
          </w:p>
        </w:tc>
        <w:tc>
          <w:tcPr>
            <w:tcW w:w="5454" w:type="dxa"/>
            <w:tcBorders>
              <w:top w:val="single" w:color="auto" w:sz="4" w:space="0"/>
              <w:left w:val="nil"/>
              <w:bottom w:val="single" w:color="auto" w:sz="4" w:space="0"/>
              <w:right w:val="single" w:color="auto" w:sz="4" w:space="0"/>
            </w:tcBorders>
            <w:vAlign w:val="center"/>
          </w:tcPr>
          <w:p w14:paraId="2D8EEDF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w:t>
            </w:r>
            <w:r>
              <w:rPr>
                <w:rFonts w:asciiTheme="minorEastAsia" w:hAnsiTheme="minorEastAsia" w:eastAsiaTheme="minorEastAsia"/>
                <w:sz w:val="18"/>
                <w:szCs w:val="18"/>
              </w:rPr>
              <w:t>WEB</w:t>
            </w:r>
            <w:r>
              <w:rPr>
                <w:rFonts w:hint="eastAsia" w:asciiTheme="minorEastAsia" w:hAnsiTheme="minorEastAsia" w:eastAsiaTheme="minorEastAsia"/>
                <w:sz w:val="18"/>
                <w:szCs w:val="18"/>
              </w:rPr>
              <w:t>端可进行电子病历模板配置</w:t>
            </w:r>
          </w:p>
        </w:tc>
      </w:tr>
      <w:tr w14:paraId="642D2DA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7B6A26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15B172F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5A74B2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电子处方</w:t>
            </w:r>
          </w:p>
        </w:tc>
        <w:tc>
          <w:tcPr>
            <w:tcW w:w="5454" w:type="dxa"/>
            <w:tcBorders>
              <w:top w:val="single" w:color="auto" w:sz="4" w:space="0"/>
              <w:left w:val="nil"/>
              <w:bottom w:val="single" w:color="auto" w:sz="4" w:space="0"/>
              <w:right w:val="single" w:color="auto" w:sz="4" w:space="0"/>
            </w:tcBorders>
            <w:vAlign w:val="center"/>
          </w:tcPr>
          <w:p w14:paraId="1664A0E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w:t>
            </w:r>
            <w:r>
              <w:rPr>
                <w:rFonts w:asciiTheme="minorEastAsia" w:hAnsiTheme="minorEastAsia" w:eastAsiaTheme="minorEastAsia"/>
                <w:sz w:val="18"/>
                <w:szCs w:val="18"/>
              </w:rPr>
              <w:t>WEB</w:t>
            </w:r>
            <w:r>
              <w:rPr>
                <w:rFonts w:hint="eastAsia" w:asciiTheme="minorEastAsia" w:hAnsiTheme="minorEastAsia" w:eastAsiaTheme="minorEastAsia"/>
                <w:sz w:val="18"/>
                <w:szCs w:val="18"/>
              </w:rPr>
              <w:t>端针对于处方进行相应的操作</w:t>
            </w:r>
          </w:p>
        </w:tc>
      </w:tr>
      <w:tr w14:paraId="36F49FF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118D13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D43325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8EF079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收费</w:t>
            </w:r>
          </w:p>
        </w:tc>
        <w:tc>
          <w:tcPr>
            <w:tcW w:w="5454" w:type="dxa"/>
            <w:tcBorders>
              <w:top w:val="single" w:color="auto" w:sz="4" w:space="0"/>
              <w:left w:val="nil"/>
              <w:bottom w:val="single" w:color="auto" w:sz="4" w:space="0"/>
              <w:right w:val="single" w:color="auto" w:sz="4" w:space="0"/>
            </w:tcBorders>
            <w:vAlign w:val="center"/>
          </w:tcPr>
          <w:p w14:paraId="78A97D1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处方审核完成后，患者可在手机，进行支付</w:t>
            </w:r>
          </w:p>
        </w:tc>
      </w:tr>
      <w:tr w14:paraId="69E8E74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DBAB94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1FB3257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454B80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医嘱录入</w:t>
            </w:r>
          </w:p>
        </w:tc>
        <w:tc>
          <w:tcPr>
            <w:tcW w:w="5454" w:type="dxa"/>
            <w:tcBorders>
              <w:top w:val="single" w:color="auto" w:sz="4" w:space="0"/>
              <w:left w:val="nil"/>
              <w:bottom w:val="single" w:color="auto" w:sz="4" w:space="0"/>
              <w:right w:val="single" w:color="auto" w:sz="4" w:space="0"/>
            </w:tcBorders>
            <w:vAlign w:val="center"/>
          </w:tcPr>
          <w:p w14:paraId="37006B5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视频问诊过程中，根据患者病情，病症，病状，合理有效的开具处方，使用历史处方、处方模板、医嘱套快速录入；包含西药、中草药、检查、检验信息录入</w:t>
            </w:r>
          </w:p>
        </w:tc>
      </w:tr>
      <w:tr w14:paraId="4547585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C629C4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350293D">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B6434F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医嘱模板配置</w:t>
            </w:r>
          </w:p>
        </w:tc>
        <w:tc>
          <w:tcPr>
            <w:tcW w:w="5454" w:type="dxa"/>
            <w:tcBorders>
              <w:top w:val="single" w:color="auto" w:sz="4" w:space="0"/>
              <w:left w:val="nil"/>
              <w:bottom w:val="single" w:color="auto" w:sz="4" w:space="0"/>
              <w:right w:val="single" w:color="auto" w:sz="4" w:space="0"/>
            </w:tcBorders>
            <w:vAlign w:val="center"/>
          </w:tcPr>
          <w:p w14:paraId="1FC6AC1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医生通过工作站可设置医嘱模板，在医嘱录入时，通过模板选择医嘱</w:t>
            </w:r>
          </w:p>
        </w:tc>
      </w:tr>
      <w:tr w14:paraId="3E26759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340C3C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59C4C68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31DD1E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诊断模板维护</w:t>
            </w:r>
          </w:p>
        </w:tc>
        <w:tc>
          <w:tcPr>
            <w:tcW w:w="5454" w:type="dxa"/>
            <w:tcBorders>
              <w:top w:val="single" w:color="auto" w:sz="4" w:space="0"/>
              <w:left w:val="nil"/>
              <w:bottom w:val="single" w:color="auto" w:sz="4" w:space="0"/>
              <w:right w:val="single" w:color="auto" w:sz="4" w:space="0"/>
            </w:tcBorders>
            <w:vAlign w:val="center"/>
          </w:tcPr>
          <w:p w14:paraId="62807D0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医生通过工作站可维护诊断模板，在诊断录入时，通过模板选择诊断</w:t>
            </w:r>
          </w:p>
        </w:tc>
      </w:tr>
      <w:tr w14:paraId="1EACFA8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A22C92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0B910C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5592F4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病历模板维护</w:t>
            </w:r>
          </w:p>
        </w:tc>
        <w:tc>
          <w:tcPr>
            <w:tcW w:w="5454" w:type="dxa"/>
            <w:tcBorders>
              <w:top w:val="single" w:color="auto" w:sz="4" w:space="0"/>
              <w:left w:val="nil"/>
              <w:bottom w:val="single" w:color="auto" w:sz="4" w:space="0"/>
              <w:right w:val="single" w:color="auto" w:sz="4" w:space="0"/>
            </w:tcBorders>
            <w:vAlign w:val="center"/>
          </w:tcPr>
          <w:p w14:paraId="1262B2A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医生通过工作站可维护病历模板，在病历录入时，通过模板录入病历</w:t>
            </w:r>
          </w:p>
        </w:tc>
      </w:tr>
      <w:tr w14:paraId="48E779A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EF24CE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418A9F9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0BEB3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处方流转/审核/发药</w:t>
            </w:r>
          </w:p>
        </w:tc>
        <w:tc>
          <w:tcPr>
            <w:tcW w:w="5454" w:type="dxa"/>
            <w:tcBorders>
              <w:top w:val="single" w:color="auto" w:sz="4" w:space="0"/>
              <w:left w:val="nil"/>
              <w:bottom w:val="single" w:color="auto" w:sz="4" w:space="0"/>
              <w:right w:val="single" w:color="auto" w:sz="4" w:space="0"/>
            </w:tcBorders>
            <w:vAlign w:val="center"/>
          </w:tcPr>
          <w:p w14:paraId="2747A9D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平台认证药师可在线审核处方，审核通过的流转至下一环节，审核不通过的处方退回至开方医生。</w:t>
            </w:r>
          </w:p>
        </w:tc>
      </w:tr>
      <w:tr w14:paraId="354AF47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631CA7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3B319CF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6B76B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申请单录入</w:t>
            </w:r>
          </w:p>
        </w:tc>
        <w:tc>
          <w:tcPr>
            <w:tcW w:w="5454" w:type="dxa"/>
            <w:tcBorders>
              <w:top w:val="single" w:color="auto" w:sz="4" w:space="0"/>
              <w:left w:val="nil"/>
              <w:bottom w:val="single" w:color="auto" w:sz="4" w:space="0"/>
              <w:right w:val="single" w:color="auto" w:sz="4" w:space="0"/>
            </w:tcBorders>
            <w:vAlign w:val="center"/>
          </w:tcPr>
          <w:p w14:paraId="161AF83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医生在互联网给病人开具检查、检验申请单项目</w:t>
            </w:r>
          </w:p>
        </w:tc>
      </w:tr>
      <w:tr w14:paraId="4A2BD1C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40DBFD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0E0D3C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5E76B3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处方签名</w:t>
            </w:r>
          </w:p>
        </w:tc>
        <w:tc>
          <w:tcPr>
            <w:tcW w:w="5454" w:type="dxa"/>
            <w:tcBorders>
              <w:top w:val="single" w:color="auto" w:sz="4" w:space="0"/>
              <w:left w:val="nil"/>
              <w:bottom w:val="single" w:color="auto" w:sz="4" w:space="0"/>
              <w:right w:val="single" w:color="auto" w:sz="4" w:space="0"/>
            </w:tcBorders>
            <w:vAlign w:val="center"/>
          </w:tcPr>
          <w:p w14:paraId="6AE2F08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医生处方开具完成并确认后，系统提示进行电子签名，签名完成后药房可对处方进行审核</w:t>
            </w:r>
          </w:p>
        </w:tc>
      </w:tr>
      <w:tr w14:paraId="497B991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4B6FD6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6BE59C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9B718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w:t>
            </w:r>
          </w:p>
        </w:tc>
        <w:tc>
          <w:tcPr>
            <w:tcW w:w="5454" w:type="dxa"/>
            <w:tcBorders>
              <w:top w:val="single" w:color="auto" w:sz="4" w:space="0"/>
              <w:left w:val="nil"/>
              <w:bottom w:val="single" w:color="auto" w:sz="4" w:space="0"/>
              <w:right w:val="single" w:color="auto" w:sz="4" w:space="0"/>
            </w:tcBorders>
            <w:vAlign w:val="center"/>
          </w:tcPr>
          <w:p w14:paraId="32A42E9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药房对医生已签名的处方进行审核，审核通过可发药，审核不通过医生可进行申诉、接受拒绝处理</w:t>
            </w:r>
          </w:p>
        </w:tc>
      </w:tr>
      <w:tr w14:paraId="748623D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BF254B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07CF3BE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A3F5B3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药师审查及干预</w:t>
            </w:r>
          </w:p>
        </w:tc>
        <w:tc>
          <w:tcPr>
            <w:tcW w:w="5454" w:type="dxa"/>
            <w:tcBorders>
              <w:top w:val="single" w:color="auto" w:sz="4" w:space="0"/>
              <w:left w:val="nil"/>
              <w:bottom w:val="single" w:color="auto" w:sz="4" w:space="0"/>
              <w:right w:val="single" w:color="auto" w:sz="4" w:space="0"/>
            </w:tcBorders>
            <w:vAlign w:val="center"/>
          </w:tcPr>
          <w:p w14:paraId="708329C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药师对医生已签名的处方进行审查，可介入处方审核进程。</w:t>
            </w:r>
          </w:p>
        </w:tc>
      </w:tr>
      <w:tr w14:paraId="1E3E1A8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ACAD93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bottom w:val="single" w:color="auto" w:sz="4" w:space="0"/>
              <w:right w:val="single" w:color="auto" w:sz="4" w:space="0"/>
            </w:tcBorders>
            <w:vAlign w:val="center"/>
          </w:tcPr>
          <w:p w14:paraId="26A81E6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044FCC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门诊日志</w:t>
            </w:r>
          </w:p>
        </w:tc>
        <w:tc>
          <w:tcPr>
            <w:tcW w:w="5454" w:type="dxa"/>
            <w:tcBorders>
              <w:top w:val="single" w:color="auto" w:sz="4" w:space="0"/>
              <w:left w:val="nil"/>
              <w:bottom w:val="single" w:color="auto" w:sz="4" w:space="0"/>
              <w:right w:val="single" w:color="auto" w:sz="4" w:space="0"/>
            </w:tcBorders>
            <w:vAlign w:val="center"/>
          </w:tcPr>
          <w:p w14:paraId="18EB9F6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医生可查看每日工作日志，按照接诊状态查看互联网接诊人次</w:t>
            </w:r>
          </w:p>
        </w:tc>
      </w:tr>
      <w:tr w14:paraId="4B43AA6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D2100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4840B9C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综合管理后台</w:t>
            </w:r>
          </w:p>
        </w:tc>
        <w:tc>
          <w:tcPr>
            <w:tcW w:w="1437" w:type="dxa"/>
            <w:tcBorders>
              <w:top w:val="single" w:color="auto" w:sz="4" w:space="0"/>
              <w:left w:val="nil"/>
              <w:bottom w:val="single" w:color="auto" w:sz="4" w:space="0"/>
              <w:right w:val="single" w:color="auto" w:sz="4" w:space="0"/>
            </w:tcBorders>
            <w:vAlign w:val="center"/>
          </w:tcPr>
          <w:p w14:paraId="2FD2E68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菜单管理</w:t>
            </w:r>
          </w:p>
        </w:tc>
        <w:tc>
          <w:tcPr>
            <w:tcW w:w="5454" w:type="dxa"/>
            <w:tcBorders>
              <w:top w:val="single" w:color="auto" w:sz="4" w:space="0"/>
              <w:left w:val="nil"/>
              <w:bottom w:val="single" w:color="auto" w:sz="4" w:space="0"/>
              <w:right w:val="single" w:color="auto" w:sz="4" w:space="0"/>
            </w:tcBorders>
            <w:vAlign w:val="center"/>
          </w:tcPr>
          <w:p w14:paraId="7B8B2BD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可添加、编辑、删除系统菜单，可配置菜单的内外部链接地址，实现功能导航、外部应用、站点的管理</w:t>
            </w:r>
          </w:p>
        </w:tc>
      </w:tr>
      <w:tr w14:paraId="161B3BE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4484FC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031BF4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526F9C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角色管理</w:t>
            </w:r>
          </w:p>
        </w:tc>
        <w:tc>
          <w:tcPr>
            <w:tcW w:w="5454" w:type="dxa"/>
            <w:tcBorders>
              <w:top w:val="single" w:color="auto" w:sz="4" w:space="0"/>
              <w:left w:val="nil"/>
              <w:bottom w:val="single" w:color="auto" w:sz="4" w:space="0"/>
              <w:right w:val="single" w:color="auto" w:sz="4" w:space="0"/>
            </w:tcBorders>
            <w:vAlign w:val="center"/>
          </w:tcPr>
          <w:p w14:paraId="176DF4A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可添加、编辑、删除系统角色，并给角色配置菜单访问权限</w:t>
            </w:r>
          </w:p>
        </w:tc>
      </w:tr>
      <w:tr w14:paraId="5B774A5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175388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2A0DFE7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E16648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人员管理</w:t>
            </w:r>
          </w:p>
        </w:tc>
        <w:tc>
          <w:tcPr>
            <w:tcW w:w="5454" w:type="dxa"/>
            <w:tcBorders>
              <w:top w:val="single" w:color="auto" w:sz="4" w:space="0"/>
              <w:left w:val="nil"/>
              <w:bottom w:val="single" w:color="auto" w:sz="4" w:space="0"/>
              <w:right w:val="single" w:color="auto" w:sz="4" w:space="0"/>
            </w:tcBorders>
            <w:vAlign w:val="center"/>
          </w:tcPr>
          <w:p w14:paraId="1655EE8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选择机构添加、编辑人员信息，关联科室可通过人员类别、姓名、手机号、身份证号筛选人员</w:t>
            </w:r>
          </w:p>
        </w:tc>
      </w:tr>
      <w:tr w14:paraId="5F94C68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63AF7C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1D61FB9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6F6923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科室管理</w:t>
            </w:r>
          </w:p>
        </w:tc>
        <w:tc>
          <w:tcPr>
            <w:tcW w:w="5454" w:type="dxa"/>
            <w:tcBorders>
              <w:top w:val="single" w:color="auto" w:sz="4" w:space="0"/>
              <w:left w:val="nil"/>
              <w:bottom w:val="single" w:color="auto" w:sz="4" w:space="0"/>
              <w:right w:val="single" w:color="auto" w:sz="4" w:space="0"/>
            </w:tcBorders>
            <w:vAlign w:val="center"/>
          </w:tcPr>
          <w:p w14:paraId="0CF93DD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科室管理列表可通过机构，输入科室名称进行查询，可添加、编辑科室包含功能有停用和启用科室</w:t>
            </w:r>
          </w:p>
        </w:tc>
      </w:tr>
      <w:tr w14:paraId="46EF12E9">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4DC2A9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092F039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DD8527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审方管理</w:t>
            </w:r>
          </w:p>
        </w:tc>
        <w:tc>
          <w:tcPr>
            <w:tcW w:w="5454" w:type="dxa"/>
            <w:tcBorders>
              <w:top w:val="single" w:color="auto" w:sz="4" w:space="0"/>
              <w:left w:val="nil"/>
              <w:bottom w:val="single" w:color="auto" w:sz="4" w:space="0"/>
              <w:right w:val="single" w:color="auto" w:sz="4" w:space="0"/>
            </w:tcBorders>
            <w:vAlign w:val="center"/>
          </w:tcPr>
          <w:p w14:paraId="28BC320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选择日期范围、科室、医生、审核状态进行检索，输入药品名称、诊断结果、药师名称进行检索（支持模糊查询），勾选医生已修改会过滤出医生已修改的列表，勾选问题处方会过滤有问题处方列表</w:t>
            </w:r>
          </w:p>
        </w:tc>
      </w:tr>
      <w:tr w14:paraId="5F300D7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D06A1C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3F273D0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6649F0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物流管理</w:t>
            </w:r>
          </w:p>
        </w:tc>
        <w:tc>
          <w:tcPr>
            <w:tcW w:w="5454" w:type="dxa"/>
            <w:tcBorders>
              <w:top w:val="single" w:color="auto" w:sz="4" w:space="0"/>
              <w:left w:val="nil"/>
              <w:bottom w:val="single" w:color="auto" w:sz="4" w:space="0"/>
              <w:right w:val="single" w:color="auto" w:sz="4" w:space="0"/>
            </w:tcBorders>
            <w:vAlign w:val="center"/>
          </w:tcPr>
          <w:p w14:paraId="6602389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患者在线支付药品订单后可选择自提或物流配送，并对物流信息进行管理。</w:t>
            </w:r>
          </w:p>
        </w:tc>
      </w:tr>
      <w:tr w14:paraId="382AF89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FC6FA6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29E215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47B11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在线客服</w:t>
            </w:r>
          </w:p>
        </w:tc>
        <w:tc>
          <w:tcPr>
            <w:tcW w:w="5454" w:type="dxa"/>
            <w:tcBorders>
              <w:top w:val="single" w:color="auto" w:sz="4" w:space="0"/>
              <w:left w:val="nil"/>
              <w:bottom w:val="single" w:color="auto" w:sz="4" w:space="0"/>
              <w:right w:val="single" w:color="auto" w:sz="4" w:space="0"/>
            </w:tcBorders>
            <w:vAlign w:val="center"/>
          </w:tcPr>
          <w:p w14:paraId="2947E6B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患者可与医院客服进行图文沟通，帮助解决患者遇到的问题</w:t>
            </w:r>
          </w:p>
        </w:tc>
      </w:tr>
      <w:tr w14:paraId="69B0249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C53AD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60A8D26C">
            <w:pPr>
              <w:widowControl/>
              <w:jc w:val="center"/>
              <w:rPr>
                <w:rFonts w:hint="eastAsia" w:asciiTheme="minorEastAsia" w:hAnsiTheme="minorEastAsia" w:eastAsiaTheme="minorEastAsia"/>
                <w:sz w:val="18"/>
                <w:szCs w:val="18"/>
              </w:rPr>
            </w:pPr>
          </w:p>
        </w:tc>
        <w:tc>
          <w:tcPr>
            <w:tcW w:w="1437" w:type="dxa"/>
            <w:vMerge w:val="restart"/>
            <w:tcBorders>
              <w:top w:val="single" w:color="auto" w:sz="4" w:space="0"/>
              <w:left w:val="nil"/>
              <w:right w:val="single" w:color="auto" w:sz="4" w:space="0"/>
            </w:tcBorders>
            <w:vAlign w:val="center"/>
          </w:tcPr>
          <w:p w14:paraId="27C9106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运营中心</w:t>
            </w:r>
          </w:p>
        </w:tc>
        <w:tc>
          <w:tcPr>
            <w:tcW w:w="5454" w:type="dxa"/>
            <w:tcBorders>
              <w:top w:val="single" w:color="auto" w:sz="4" w:space="0"/>
              <w:left w:val="nil"/>
              <w:bottom w:val="single" w:color="auto" w:sz="4" w:space="0"/>
              <w:right w:val="single" w:color="auto" w:sz="4" w:space="0"/>
            </w:tcBorders>
            <w:vAlign w:val="center"/>
          </w:tcPr>
          <w:p w14:paraId="2796660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可查看注册的患者和就诊患者信息，建立患者个人健康档案。</w:t>
            </w:r>
          </w:p>
        </w:tc>
      </w:tr>
      <w:tr w14:paraId="77293EE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640176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87311AB">
            <w:pPr>
              <w:widowControl/>
              <w:jc w:val="center"/>
              <w:rPr>
                <w:rFonts w:hint="eastAsia" w:asciiTheme="minorEastAsia" w:hAnsiTheme="minorEastAsia" w:eastAsiaTheme="minorEastAsia"/>
                <w:sz w:val="18"/>
                <w:szCs w:val="18"/>
              </w:rPr>
            </w:pPr>
          </w:p>
        </w:tc>
        <w:tc>
          <w:tcPr>
            <w:tcW w:w="1437" w:type="dxa"/>
            <w:vMerge w:val="continue"/>
            <w:tcBorders>
              <w:left w:val="nil"/>
              <w:right w:val="single" w:color="auto" w:sz="4" w:space="0"/>
            </w:tcBorders>
            <w:vAlign w:val="center"/>
          </w:tcPr>
          <w:p w14:paraId="7FCCE422">
            <w:pPr>
              <w:widowControl/>
              <w:jc w:val="center"/>
              <w:rPr>
                <w:rFonts w:hint="eastAsia" w:asciiTheme="minorEastAsia" w:hAnsiTheme="minorEastAsia" w:eastAsiaTheme="minorEastAsia"/>
                <w:sz w:val="18"/>
                <w:szCs w:val="18"/>
              </w:rPr>
            </w:pPr>
          </w:p>
        </w:tc>
        <w:tc>
          <w:tcPr>
            <w:tcW w:w="5454" w:type="dxa"/>
            <w:tcBorders>
              <w:top w:val="single" w:color="auto" w:sz="4" w:space="0"/>
              <w:left w:val="nil"/>
              <w:bottom w:val="single" w:color="auto" w:sz="4" w:space="0"/>
              <w:right w:val="single" w:color="auto" w:sz="4" w:space="0"/>
            </w:tcBorders>
            <w:vAlign w:val="center"/>
          </w:tcPr>
          <w:p w14:paraId="28F76F8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可查看问诊订单、医保退款、退款查询和医生诊疗统计等信息。</w:t>
            </w:r>
          </w:p>
        </w:tc>
      </w:tr>
      <w:tr w14:paraId="42D763D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59933B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46FBB1B1">
            <w:pPr>
              <w:widowControl/>
              <w:jc w:val="center"/>
              <w:rPr>
                <w:rFonts w:hint="eastAsia" w:asciiTheme="minorEastAsia" w:hAnsiTheme="minorEastAsia" w:eastAsiaTheme="minorEastAsia"/>
                <w:sz w:val="18"/>
                <w:szCs w:val="18"/>
              </w:rPr>
            </w:pPr>
          </w:p>
        </w:tc>
        <w:tc>
          <w:tcPr>
            <w:tcW w:w="1437" w:type="dxa"/>
            <w:vMerge w:val="continue"/>
            <w:tcBorders>
              <w:left w:val="nil"/>
              <w:bottom w:val="single" w:color="auto" w:sz="4" w:space="0"/>
              <w:right w:val="single" w:color="auto" w:sz="4" w:space="0"/>
            </w:tcBorders>
            <w:vAlign w:val="center"/>
          </w:tcPr>
          <w:p w14:paraId="2858608F">
            <w:pPr>
              <w:widowControl/>
              <w:jc w:val="center"/>
              <w:rPr>
                <w:rFonts w:hint="eastAsia" w:asciiTheme="minorEastAsia" w:hAnsiTheme="minorEastAsia" w:eastAsiaTheme="minorEastAsia"/>
                <w:sz w:val="18"/>
                <w:szCs w:val="18"/>
              </w:rPr>
            </w:pPr>
          </w:p>
        </w:tc>
        <w:tc>
          <w:tcPr>
            <w:tcW w:w="5454" w:type="dxa"/>
            <w:tcBorders>
              <w:top w:val="single" w:color="auto" w:sz="4" w:space="0"/>
              <w:left w:val="nil"/>
              <w:bottom w:val="single" w:color="auto" w:sz="4" w:space="0"/>
              <w:right w:val="single" w:color="auto" w:sz="4" w:space="0"/>
            </w:tcBorders>
            <w:vAlign w:val="center"/>
          </w:tcPr>
          <w:p w14:paraId="4D8D4A9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可对诊室的出诊时间、出诊医生、出诊诊室名称进行管理。并设置统一医嘱项、收费项、视频服务价格、图文服务价格。</w:t>
            </w:r>
          </w:p>
        </w:tc>
      </w:tr>
      <w:tr w14:paraId="48B1F019">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BA77C6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8AF69B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39B431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支付平台管理</w:t>
            </w:r>
          </w:p>
        </w:tc>
        <w:tc>
          <w:tcPr>
            <w:tcW w:w="5454" w:type="dxa"/>
            <w:tcBorders>
              <w:top w:val="single" w:color="auto" w:sz="4" w:space="0"/>
              <w:left w:val="nil"/>
              <w:bottom w:val="single" w:color="auto" w:sz="4" w:space="0"/>
              <w:right w:val="single" w:color="auto" w:sz="4" w:space="0"/>
            </w:tcBorders>
            <w:vAlign w:val="center"/>
          </w:tcPr>
          <w:p w14:paraId="1DE2C7B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线上线下患者结算采用统一支付平台管理，可汇总统一支付平台取到订单、支付、对账等数据</w:t>
            </w:r>
          </w:p>
        </w:tc>
      </w:tr>
      <w:tr w14:paraId="5DC3FA9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B9B641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bottom w:val="single" w:color="auto" w:sz="4" w:space="0"/>
              <w:right w:val="single" w:color="auto" w:sz="4" w:space="0"/>
            </w:tcBorders>
            <w:vAlign w:val="center"/>
          </w:tcPr>
          <w:p w14:paraId="2EA428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100E97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三大字典</w:t>
            </w:r>
          </w:p>
        </w:tc>
        <w:tc>
          <w:tcPr>
            <w:tcW w:w="5454" w:type="dxa"/>
            <w:tcBorders>
              <w:top w:val="single" w:color="auto" w:sz="4" w:space="0"/>
              <w:left w:val="nil"/>
              <w:bottom w:val="single" w:color="auto" w:sz="4" w:space="0"/>
              <w:right w:val="single" w:color="auto" w:sz="4" w:space="0"/>
            </w:tcBorders>
            <w:vAlign w:val="center"/>
          </w:tcPr>
          <w:p w14:paraId="1BDB070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药品字典包含功能查询检索、启用、禁用、导出药品</w:t>
            </w:r>
          </w:p>
        </w:tc>
      </w:tr>
    </w:tbl>
    <w:p w14:paraId="396E33C2">
      <w:pPr>
        <w:spacing w:line="264" w:lineRule="auto"/>
        <w:rPr>
          <w:rFonts w:ascii="宋体"/>
          <w:b/>
          <w:bCs/>
        </w:rPr>
      </w:pPr>
    </w:p>
    <w:p w14:paraId="5EA1DA31">
      <w:pPr>
        <w:spacing w:line="264" w:lineRule="auto"/>
        <w:rPr>
          <w:rFonts w:ascii="宋体"/>
          <w:b/>
          <w:bCs/>
        </w:rPr>
      </w:pPr>
      <w:r>
        <w:rPr>
          <w:rFonts w:hint="eastAsia" w:ascii="宋体"/>
          <w:b/>
          <w:bCs/>
        </w:rPr>
        <w:t>（</w:t>
      </w:r>
      <w:r>
        <w:rPr>
          <w:rFonts w:ascii="宋体"/>
          <w:b/>
          <w:bCs/>
        </w:rPr>
        <w:t>2</w:t>
      </w:r>
      <w:r>
        <w:rPr>
          <w:rFonts w:hint="eastAsia" w:ascii="宋体"/>
          <w:b/>
          <w:bCs/>
        </w:rPr>
        <w:t>）系统配套支撑要求</w:t>
      </w:r>
    </w:p>
    <w:tbl>
      <w:tblPr>
        <w:tblStyle w:val="16"/>
        <w:tblW w:w="8500" w:type="dxa"/>
        <w:tblInd w:w="0" w:type="dxa"/>
        <w:tblLayout w:type="fixed"/>
        <w:tblCellMar>
          <w:top w:w="0" w:type="dxa"/>
          <w:left w:w="108" w:type="dxa"/>
          <w:bottom w:w="0" w:type="dxa"/>
          <w:right w:w="108" w:type="dxa"/>
        </w:tblCellMar>
      </w:tblPr>
      <w:tblGrid>
        <w:gridCol w:w="643"/>
        <w:gridCol w:w="1792"/>
        <w:gridCol w:w="4931"/>
        <w:gridCol w:w="1134"/>
      </w:tblGrid>
      <w:tr w14:paraId="40908BBA">
        <w:tblPrEx>
          <w:tblCellMar>
            <w:top w:w="0" w:type="dxa"/>
            <w:left w:w="108" w:type="dxa"/>
            <w:bottom w:w="0" w:type="dxa"/>
            <w:right w:w="108" w:type="dxa"/>
          </w:tblCellMar>
        </w:tblPrEx>
        <w:trPr>
          <w:trHeight w:val="300" w:hRule="atLeast"/>
        </w:trPr>
        <w:tc>
          <w:tcPr>
            <w:tcW w:w="6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C93103">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序号</w:t>
            </w:r>
          </w:p>
        </w:tc>
        <w:tc>
          <w:tcPr>
            <w:tcW w:w="1792"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7632FA2D">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主项</w:t>
            </w:r>
          </w:p>
        </w:tc>
        <w:tc>
          <w:tcPr>
            <w:tcW w:w="493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039F7CFC">
            <w:pPr>
              <w:widowControl/>
              <w:jc w:val="center"/>
              <w:rPr>
                <w:rFonts w:hint="eastAsia" w:asciiTheme="minorEastAsia" w:hAnsiTheme="minorEastAsia" w:eastAsiaTheme="minorEastAsia"/>
                <w:b/>
                <w:bCs/>
                <w:kern w:val="0"/>
                <w:sz w:val="18"/>
                <w:szCs w:val="18"/>
              </w:rPr>
            </w:pPr>
            <w:r>
              <w:rPr>
                <w:rFonts w:hint="eastAsia" w:asciiTheme="minorEastAsia" w:hAnsiTheme="minorEastAsia" w:eastAsiaTheme="minorEastAsia"/>
                <w:b/>
                <w:bCs/>
                <w:sz w:val="18"/>
                <w:szCs w:val="18"/>
              </w:rPr>
              <w:t>技术参数要求</w:t>
            </w:r>
          </w:p>
        </w:tc>
        <w:tc>
          <w:tcPr>
            <w:tcW w:w="1134"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0A2A8070">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数量</w:t>
            </w:r>
          </w:p>
        </w:tc>
      </w:tr>
      <w:tr w14:paraId="3B48FC9A">
        <w:tblPrEx>
          <w:tblCellMar>
            <w:top w:w="0" w:type="dxa"/>
            <w:left w:w="108" w:type="dxa"/>
            <w:bottom w:w="0" w:type="dxa"/>
            <w:right w:w="108" w:type="dxa"/>
          </w:tblCellMar>
        </w:tblPrEx>
        <w:trPr>
          <w:trHeight w:val="280" w:hRule="atLeast"/>
        </w:trPr>
        <w:tc>
          <w:tcPr>
            <w:tcW w:w="643" w:type="dxa"/>
            <w:tcBorders>
              <w:top w:val="single" w:color="auto" w:sz="4" w:space="0"/>
              <w:left w:val="single" w:color="auto" w:sz="4" w:space="0"/>
              <w:bottom w:val="single" w:color="auto" w:sz="4" w:space="0"/>
              <w:right w:val="single" w:color="auto" w:sz="4" w:space="0"/>
            </w:tcBorders>
            <w:vAlign w:val="center"/>
          </w:tcPr>
          <w:p w14:paraId="6583FE85">
            <w:pPr>
              <w:widowControl/>
              <w:jc w:val="center"/>
              <w:rPr>
                <w:rFonts w:hint="eastAsia" w:asciiTheme="minorEastAsia" w:hAnsiTheme="minorEastAsia" w:eastAsiaTheme="minorEastAsia"/>
                <w:kern w:val="0"/>
                <w:sz w:val="18"/>
                <w:szCs w:val="18"/>
              </w:rPr>
            </w:pPr>
            <w:r>
              <w:rPr>
                <w:rFonts w:asciiTheme="minorEastAsia" w:hAnsiTheme="minorEastAsia" w:eastAsiaTheme="minorEastAsia"/>
                <w:kern w:val="0"/>
                <w:sz w:val="18"/>
                <w:szCs w:val="18"/>
              </w:rPr>
              <w:t>1</w:t>
            </w:r>
          </w:p>
        </w:tc>
        <w:tc>
          <w:tcPr>
            <w:tcW w:w="1792" w:type="dxa"/>
            <w:tcBorders>
              <w:top w:val="single" w:color="auto" w:sz="4" w:space="0"/>
              <w:left w:val="nil"/>
              <w:bottom w:val="single" w:color="auto" w:sz="4" w:space="0"/>
              <w:right w:val="single" w:color="auto" w:sz="4" w:space="0"/>
            </w:tcBorders>
            <w:vAlign w:val="center"/>
          </w:tcPr>
          <w:p w14:paraId="539F1DF7">
            <w:pPr>
              <w:widowControl/>
              <w:jc w:val="center"/>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配套资源</w:t>
            </w:r>
          </w:p>
        </w:tc>
        <w:tc>
          <w:tcPr>
            <w:tcW w:w="4931" w:type="dxa"/>
            <w:tcBorders>
              <w:top w:val="single" w:color="auto" w:sz="4" w:space="0"/>
              <w:left w:val="nil"/>
              <w:bottom w:val="single" w:color="auto" w:sz="4" w:space="0"/>
              <w:right w:val="single" w:color="auto" w:sz="4" w:space="0"/>
            </w:tcBorders>
            <w:vAlign w:val="center"/>
          </w:tcPr>
          <w:p w14:paraId="272EC4A9">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云点播资源IM专业版授权（1年）</w:t>
            </w:r>
          </w:p>
          <w:p w14:paraId="6BC3A528">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云点播资源存储100G（</w:t>
            </w:r>
            <w:r>
              <w:rPr>
                <w:rFonts w:asciiTheme="minorEastAsia" w:hAnsiTheme="minorEastAsia" w:eastAsiaTheme="minorEastAsia"/>
                <w:kern w:val="0"/>
                <w:sz w:val="18"/>
                <w:szCs w:val="18"/>
              </w:rPr>
              <w:t>1</w:t>
            </w:r>
            <w:r>
              <w:rPr>
                <w:rFonts w:hint="eastAsia" w:asciiTheme="minorEastAsia" w:hAnsiTheme="minorEastAsia" w:eastAsiaTheme="minorEastAsia"/>
                <w:kern w:val="0"/>
                <w:sz w:val="18"/>
                <w:szCs w:val="18"/>
              </w:rPr>
              <w:t>年）</w:t>
            </w:r>
          </w:p>
          <w:p w14:paraId="0F88210F">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云点播资源点播流量500G（1年）</w:t>
            </w:r>
          </w:p>
          <w:p w14:paraId="7FF961D7">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云点播资源转码200小时（1年）</w:t>
            </w:r>
          </w:p>
          <w:p w14:paraId="589F169A">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实时音频服务TRTC包月套餐（尊享版，1年）</w:t>
            </w:r>
          </w:p>
        </w:tc>
        <w:tc>
          <w:tcPr>
            <w:tcW w:w="1134" w:type="dxa"/>
            <w:tcBorders>
              <w:top w:val="single" w:color="auto" w:sz="4" w:space="0"/>
              <w:left w:val="nil"/>
              <w:bottom w:val="single" w:color="auto" w:sz="4" w:space="0"/>
              <w:right w:val="single" w:color="auto" w:sz="4" w:space="0"/>
            </w:tcBorders>
            <w:vAlign w:val="center"/>
          </w:tcPr>
          <w:p w14:paraId="7C49E9A2">
            <w:pPr>
              <w:widowControl/>
              <w:jc w:val="center"/>
              <w:rPr>
                <w:rFonts w:hint="eastAsia" w:asciiTheme="minorEastAsia" w:hAnsiTheme="minorEastAsia" w:eastAsiaTheme="minorEastAsia"/>
                <w:kern w:val="0"/>
                <w:sz w:val="18"/>
                <w:szCs w:val="18"/>
              </w:rPr>
            </w:pPr>
            <w:r>
              <w:rPr>
                <w:rFonts w:asciiTheme="minorEastAsia" w:hAnsiTheme="minorEastAsia" w:eastAsiaTheme="minorEastAsia"/>
                <w:kern w:val="0"/>
                <w:sz w:val="18"/>
                <w:szCs w:val="18"/>
              </w:rPr>
              <w:t>1套</w:t>
            </w:r>
          </w:p>
        </w:tc>
      </w:tr>
    </w:tbl>
    <w:p w14:paraId="2D45DF43">
      <w:r>
        <w:br w:type="page"/>
      </w:r>
    </w:p>
    <w:p w14:paraId="318FA398">
      <w:pPr>
        <w:pStyle w:val="4"/>
        <w:spacing w:before="156" w:beforeLines="50" w:after="156" w:afterLines="50" w:line="360" w:lineRule="auto"/>
        <w:rPr>
          <w:rFonts w:hint="eastAsia" w:cs="宋体"/>
          <w:sz w:val="28"/>
          <w:szCs w:val="28"/>
        </w:rPr>
      </w:pPr>
      <w:r>
        <w:rPr>
          <w:rFonts w:hint="eastAsia" w:cs="宋体"/>
          <w:sz w:val="28"/>
          <w:szCs w:val="28"/>
        </w:rPr>
        <w:t>二、项目商务要求</w:t>
      </w:r>
    </w:p>
    <w:p w14:paraId="01C2C2F5">
      <w:pPr>
        <w:pStyle w:val="34"/>
        <w:numPr>
          <w:ilvl w:val="0"/>
          <w:numId w:val="7"/>
        </w:numPr>
        <w:snapToGrid w:val="0"/>
        <w:spacing w:line="360" w:lineRule="auto"/>
        <w:ind w:firstLine="147" w:firstLineChars="0"/>
        <w:jc w:val="left"/>
        <w:rPr>
          <w:rFonts w:hint="eastAsia" w:ascii="宋体" w:hAnsi="宋体" w:eastAsia="宋体" w:cs="宋体"/>
          <w:b/>
          <w:bCs/>
          <w:sz w:val="24"/>
          <w:szCs w:val="24"/>
        </w:rPr>
      </w:pPr>
      <w:r>
        <w:rPr>
          <w:rFonts w:hint="eastAsia" w:ascii="宋体" w:hAnsi="宋体" w:eastAsia="宋体" w:cs="宋体"/>
          <w:b/>
          <w:color w:val="000000" w:themeColor="text1"/>
          <w:sz w:val="24"/>
          <w:szCs w:val="24"/>
          <w14:textFill>
            <w14:solidFill>
              <w14:schemeClr w14:val="tx1"/>
            </w14:solidFill>
          </w14:textFill>
        </w:rPr>
        <w:t>服务期限</w:t>
      </w:r>
      <w:r>
        <w:rPr>
          <w:rFonts w:hint="eastAsia" w:ascii="宋体" w:hAnsi="宋体" w:eastAsia="宋体" w:cs="宋体"/>
          <w:bCs/>
          <w:color w:val="000000"/>
          <w:sz w:val="24"/>
          <w:szCs w:val="24"/>
        </w:rPr>
        <w:t xml:space="preserve"> </w:t>
      </w:r>
    </w:p>
    <w:p w14:paraId="613FEBC7">
      <w:p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本项目服务期限为一年。本项目服务期满后，采购单位可根据中标供应商履约情况确定合同期限是否延长，但最长不超过36个月，合同一年一签</w:t>
      </w:r>
      <w:r>
        <w:rPr>
          <w:rFonts w:hint="eastAsia" w:ascii="宋体" w:hAnsi="宋体" w:cs="宋体"/>
          <w:sz w:val="24"/>
          <w:lang w:eastAsia="zh-CN"/>
        </w:rPr>
        <w:t>。</w:t>
      </w:r>
    </w:p>
    <w:p w14:paraId="049C1C9A">
      <w:pPr>
        <w:pStyle w:val="15"/>
        <w:numPr>
          <w:ilvl w:val="0"/>
          <w:numId w:val="8"/>
        </w:numPr>
        <w:ind w:firstLine="482"/>
        <w:rPr>
          <w:rFonts w:hint="eastAsia" w:ascii="宋体" w:hAnsi="宋体" w:cs="宋体"/>
          <w:b/>
          <w:bCs/>
          <w:sz w:val="24"/>
        </w:rPr>
      </w:pPr>
      <w:r>
        <w:rPr>
          <w:rFonts w:hint="eastAsia" w:ascii="宋体" w:hAnsi="宋体" w:cs="宋体"/>
          <w:b/>
          <w:bCs/>
          <w:sz w:val="24"/>
        </w:rPr>
        <w:t>售后服务要求</w:t>
      </w:r>
    </w:p>
    <w:p w14:paraId="76B621E8">
      <w:p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运维服务期内，乙方应成立专门的项目组开展运维服务工作，对于采购人提出的需求，提供7*24小时技术支持热线电话（固话或手机）及远程服务。工作期间（正常工作日9:00-18:00）软件故障响应时间不超过2小时，紧急情况下到达现场时间不超过6小时；非工作期间软件故障响应时间不超过4小时，紧急到达现场时间不超过12小时 （如遇人力不可抗拒的因素，双方另行协商），以保证医院业务工作正常运行。</w:t>
      </w:r>
    </w:p>
    <w:p w14:paraId="727DDDF8">
      <w:pPr>
        <w:pStyle w:val="15"/>
        <w:numPr>
          <w:ilvl w:val="0"/>
          <w:numId w:val="8"/>
        </w:numPr>
        <w:ind w:firstLine="482"/>
        <w:rPr>
          <w:rFonts w:hint="eastAsia" w:ascii="宋体" w:hAnsi="宋体" w:cs="宋体"/>
          <w:b/>
          <w:bCs/>
          <w:sz w:val="24"/>
        </w:rPr>
      </w:pPr>
      <w:r>
        <w:rPr>
          <w:rFonts w:hint="eastAsia" w:ascii="宋体" w:hAnsi="宋体" w:cs="宋体"/>
          <w:b/>
          <w:bCs/>
          <w:sz w:val="24"/>
        </w:rPr>
        <w:t>付款方式</w:t>
      </w:r>
    </w:p>
    <w:p w14:paraId="4CA17764">
      <w:pPr>
        <w:numPr>
          <w:ilvl w:val="0"/>
          <w:numId w:val="9"/>
        </w:num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分期付款：维保合同签订后甲方向乙方支付50%，维保期结束后甲方向乙方支付剩余50%。</w:t>
      </w:r>
    </w:p>
    <w:p w14:paraId="34581F4F">
      <w:pPr>
        <w:numPr>
          <w:ilvl w:val="0"/>
          <w:numId w:val="9"/>
        </w:num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上一年度服务期满后，经双方协商同意继续合作，下一年度服务自动延续，服务费用仍按照第一年的支付比例、支付方式执行。</w:t>
      </w:r>
    </w:p>
    <w:p w14:paraId="2035F365">
      <w:pPr>
        <w:pStyle w:val="15"/>
        <w:numPr>
          <w:ilvl w:val="0"/>
          <w:numId w:val="8"/>
        </w:numPr>
        <w:ind w:firstLine="482"/>
        <w:rPr>
          <w:rFonts w:hint="eastAsia" w:ascii="宋体" w:hAnsi="宋体" w:cs="宋体"/>
          <w:b/>
          <w:bCs/>
          <w:sz w:val="24"/>
        </w:rPr>
      </w:pPr>
      <w:r>
        <w:rPr>
          <w:rFonts w:hint="eastAsia" w:ascii="宋体" w:hAnsi="宋体" w:cs="宋体"/>
          <w:b/>
          <w:bCs/>
          <w:sz w:val="24"/>
        </w:rPr>
        <w:t>项目质量考核验收标准及违约金</w:t>
      </w:r>
    </w:p>
    <w:p w14:paraId="593F5E8D">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投标人所投产品应为成熟的、稳定的软件产品，用户有权在合同签订前，对成交供应商提供的软件按照采购文件要求的技术参数进行验证。不能提供软件或不能通过验证的视为虚假承诺，由此引发的所有损失由供应商负责。</w:t>
      </w:r>
    </w:p>
    <w:p w14:paraId="52FE97FA">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投标人货物经过双方检验认可后，签署验收报告，产品保修期自验收合格之日起算，由投标人提供产品保修文件。</w:t>
      </w:r>
    </w:p>
    <w:p w14:paraId="6FD74340">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当满足以下条件时，采购人才向中标人签发货物验收报告：</w:t>
      </w:r>
    </w:p>
    <w:p w14:paraId="0B0AE26C">
      <w:pPr>
        <w:tabs>
          <w:tab w:val="left" w:pos="1260"/>
        </w:tabs>
        <w:spacing w:line="360" w:lineRule="auto"/>
        <w:ind w:firstLine="566" w:firstLineChars="236"/>
        <w:jc w:val="left"/>
        <w:rPr>
          <w:rFonts w:hint="eastAsia" w:ascii="宋体" w:hAnsi="宋体" w:cs="宋体"/>
          <w:sz w:val="24"/>
        </w:rPr>
      </w:pPr>
      <w:r>
        <w:rPr>
          <w:rFonts w:hint="eastAsia" w:ascii="宋体" w:hAnsi="宋体" w:cs="宋体"/>
          <w:sz w:val="24"/>
        </w:rPr>
        <w:t>a、中标人已按照合同规定提供了全部产品及完整的技术资料。</w:t>
      </w:r>
    </w:p>
    <w:p w14:paraId="03F49FF3">
      <w:pPr>
        <w:tabs>
          <w:tab w:val="left" w:pos="1260"/>
        </w:tabs>
        <w:spacing w:line="360" w:lineRule="auto"/>
        <w:ind w:firstLine="566" w:firstLineChars="236"/>
        <w:jc w:val="left"/>
        <w:rPr>
          <w:rFonts w:hint="eastAsia" w:ascii="宋体" w:hAnsi="宋体" w:cs="宋体"/>
          <w:sz w:val="24"/>
        </w:rPr>
      </w:pPr>
      <w:r>
        <w:rPr>
          <w:rFonts w:hint="eastAsia" w:ascii="宋体" w:hAnsi="宋体" w:cs="宋体"/>
          <w:sz w:val="24"/>
        </w:rPr>
        <w:t>b、货物符合招标文件技术规格书的要求，性能满足要求。</w:t>
      </w:r>
    </w:p>
    <w:p w14:paraId="4D7128CF">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中标人不能交货的，需偿付不能交货部分货款的10 %的违约金并按主管部门相关规定处理。</w:t>
      </w:r>
    </w:p>
    <w:p w14:paraId="3FE647C7">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如投标人未按照投标文件中承诺的时间交货或提供服务，投标人应承担延期交货和延期服务的违约责任，并赔偿采购人因此造成的实际经济损失。实际经济损失超出履约保证金额，采购人有权终止合同。</w:t>
      </w:r>
    </w:p>
    <w:p w14:paraId="49E6B017">
      <w:pPr>
        <w:numPr>
          <w:ilvl w:val="0"/>
          <w:numId w:val="10"/>
        </w:numPr>
        <w:tabs>
          <w:tab w:val="left" w:pos="1260"/>
        </w:tabs>
        <w:spacing w:line="360" w:lineRule="auto"/>
        <w:jc w:val="left"/>
        <w:rPr>
          <w:rFonts w:hint="eastAsia" w:ascii="宋体" w:hAnsi="宋体" w:cs="宋体"/>
          <w:color w:val="000000"/>
          <w:kern w:val="0"/>
          <w:sz w:val="24"/>
        </w:rPr>
      </w:pPr>
      <w:r>
        <w:rPr>
          <w:rFonts w:hint="eastAsia" w:ascii="宋体" w:hAnsi="宋体" w:cs="宋体"/>
          <w:sz w:val="24"/>
        </w:rPr>
        <w:t>违约金先从由投标人履约保证金中扣除，若有不足部分则由中标</w:t>
      </w:r>
      <w:r>
        <w:rPr>
          <w:rFonts w:hint="eastAsia" w:ascii="宋体" w:hAnsi="宋体" w:cs="宋体"/>
          <w:color w:val="000000"/>
          <w:kern w:val="0"/>
          <w:sz w:val="24"/>
        </w:rPr>
        <w:t>人补齐。</w:t>
      </w:r>
    </w:p>
    <w:p w14:paraId="0F0DBAD6">
      <w:pPr>
        <w:pStyle w:val="15"/>
        <w:numPr>
          <w:ilvl w:val="0"/>
          <w:numId w:val="8"/>
        </w:numPr>
        <w:ind w:firstLine="482"/>
        <w:rPr>
          <w:rFonts w:hint="eastAsia" w:ascii="宋体" w:hAnsi="宋体" w:cs="宋体"/>
          <w:b/>
          <w:bCs/>
          <w:sz w:val="24"/>
        </w:rPr>
      </w:pPr>
      <w:r>
        <w:rPr>
          <w:rFonts w:hint="eastAsia" w:ascii="宋体" w:hAnsi="宋体" w:cs="宋体"/>
          <w:b/>
          <w:bCs/>
          <w:sz w:val="24"/>
        </w:rPr>
        <w:t>实施要求</w:t>
      </w:r>
    </w:p>
    <w:p w14:paraId="69806C5B">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交货地点：采购人指定地点。</w:t>
      </w:r>
    </w:p>
    <w:p w14:paraId="1C5E8E78">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2BE9B900">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采购人购买产品后，有权对该产品与其他设备进行配套、整合或适当改进，而免受侵犯专利权的起诉。</w:t>
      </w:r>
    </w:p>
    <w:p w14:paraId="78C5EA2B">
      <w:pPr>
        <w:spacing w:line="560" w:lineRule="exact"/>
        <w:ind w:firstLine="560" w:firstLineChars="200"/>
        <w:jc w:val="center"/>
        <w:outlineLvl w:val="0"/>
        <w:rPr>
          <w:rFonts w:hint="eastAsia" w:ascii="仿宋" w:hAnsi="仿宋" w:eastAsia="仿宋" w:cs="仿宋"/>
          <w:b/>
          <w:bCs/>
          <w:sz w:val="28"/>
          <w:szCs w:val="28"/>
        </w:rPr>
      </w:pPr>
      <w:r>
        <w:rPr>
          <w:rFonts w:hint="eastAsia" w:ascii="仿宋" w:hAnsi="仿宋" w:eastAsia="仿宋" w:cs="仿宋"/>
          <w:b/>
          <w:bCs/>
          <w:sz w:val="28"/>
          <w:szCs w:val="28"/>
        </w:rPr>
        <w:t>三、评审标准</w:t>
      </w:r>
    </w:p>
    <w:p w14:paraId="61508E20">
      <w:pPr>
        <w:pStyle w:val="2"/>
        <w:spacing w:line="560" w:lineRule="exact"/>
        <w:ind w:firstLine="560" w:firstLineChars="200"/>
        <w:rPr>
          <w:rFonts w:hint="eastAsia" w:ascii="仿宋" w:hAnsi="仿宋" w:eastAsia="仿宋" w:cs="仿宋"/>
          <w:sz w:val="28"/>
          <w:szCs w:val="28"/>
        </w:rPr>
      </w:pPr>
    </w:p>
    <w:tbl>
      <w:tblPr>
        <w:tblStyle w:val="1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38"/>
        <w:gridCol w:w="1115"/>
        <w:gridCol w:w="657"/>
        <w:gridCol w:w="1108"/>
        <w:gridCol w:w="4976"/>
      </w:tblGrid>
      <w:tr w14:paraId="0E9A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A6951CA">
            <w:pPr>
              <w:jc w:val="center"/>
              <w:textAlignment w:val="center"/>
              <w:rPr>
                <w:rFonts w:hint="eastAsia"/>
                <w:b/>
                <w:bCs/>
                <w:szCs w:val="21"/>
              </w:rPr>
            </w:pPr>
            <w:r>
              <w:rPr>
                <w:rFonts w:hint="eastAsia"/>
                <w:b/>
                <w:bCs/>
                <w:szCs w:val="21"/>
                <w:lang w:bidi="ar"/>
              </w:rPr>
              <w:t>序号</w:t>
            </w:r>
          </w:p>
        </w:tc>
        <w:tc>
          <w:tcPr>
            <w:tcW w:w="3518" w:type="dxa"/>
            <w:gridSpan w:val="4"/>
            <w:vAlign w:val="center"/>
          </w:tcPr>
          <w:p w14:paraId="6573AF5C">
            <w:pPr>
              <w:jc w:val="center"/>
              <w:textAlignment w:val="center"/>
              <w:rPr>
                <w:rFonts w:hint="eastAsia"/>
                <w:b/>
                <w:bCs/>
                <w:szCs w:val="21"/>
              </w:rPr>
            </w:pPr>
            <w:r>
              <w:rPr>
                <w:rFonts w:hint="eastAsia"/>
                <w:b/>
                <w:bCs/>
                <w:szCs w:val="21"/>
                <w:lang w:bidi="ar"/>
              </w:rPr>
              <w:t>评分项</w:t>
            </w:r>
          </w:p>
        </w:tc>
        <w:tc>
          <w:tcPr>
            <w:tcW w:w="4976" w:type="dxa"/>
          </w:tcPr>
          <w:p w14:paraId="221B5BBA">
            <w:pPr>
              <w:jc w:val="center"/>
              <w:textAlignment w:val="top"/>
              <w:rPr>
                <w:rFonts w:hint="eastAsia"/>
                <w:b/>
                <w:bCs/>
                <w:szCs w:val="21"/>
              </w:rPr>
            </w:pPr>
            <w:r>
              <w:rPr>
                <w:rFonts w:hint="eastAsia"/>
                <w:b/>
                <w:bCs/>
                <w:szCs w:val="21"/>
                <w:lang w:bidi="ar"/>
              </w:rPr>
              <w:t>权重</w:t>
            </w:r>
          </w:p>
        </w:tc>
      </w:tr>
      <w:tr w14:paraId="38AB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0C56FCF">
            <w:pPr>
              <w:jc w:val="center"/>
              <w:textAlignment w:val="center"/>
              <w:rPr>
                <w:rFonts w:hint="eastAsia"/>
                <w:szCs w:val="21"/>
              </w:rPr>
            </w:pPr>
            <w:r>
              <w:rPr>
                <w:rFonts w:hint="eastAsia"/>
                <w:szCs w:val="21"/>
                <w:lang w:bidi="ar"/>
              </w:rPr>
              <w:t>一</w:t>
            </w:r>
          </w:p>
        </w:tc>
        <w:tc>
          <w:tcPr>
            <w:tcW w:w="3518" w:type="dxa"/>
            <w:gridSpan w:val="4"/>
            <w:vAlign w:val="center"/>
          </w:tcPr>
          <w:p w14:paraId="115F484C">
            <w:pPr>
              <w:jc w:val="center"/>
              <w:textAlignment w:val="center"/>
              <w:rPr>
                <w:rFonts w:hint="eastAsia"/>
                <w:b/>
                <w:bCs/>
                <w:szCs w:val="21"/>
              </w:rPr>
            </w:pPr>
            <w:r>
              <w:rPr>
                <w:rFonts w:hint="eastAsia"/>
                <w:b/>
                <w:bCs/>
                <w:szCs w:val="21"/>
                <w:lang w:bidi="ar"/>
              </w:rPr>
              <w:t>价格</w:t>
            </w:r>
          </w:p>
        </w:tc>
        <w:tc>
          <w:tcPr>
            <w:tcW w:w="4976" w:type="dxa"/>
          </w:tcPr>
          <w:p w14:paraId="0F6534E6">
            <w:pPr>
              <w:jc w:val="center"/>
              <w:textAlignment w:val="top"/>
              <w:rPr>
                <w:rFonts w:hint="eastAsia"/>
                <w:b/>
                <w:bCs/>
                <w:szCs w:val="21"/>
              </w:rPr>
            </w:pPr>
            <w:r>
              <w:rPr>
                <w:b/>
                <w:bCs/>
                <w:szCs w:val="21"/>
                <w:lang w:bidi="ar"/>
              </w:rPr>
              <w:t>10</w:t>
            </w:r>
          </w:p>
        </w:tc>
      </w:tr>
      <w:tr w14:paraId="790B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restart"/>
            <w:vAlign w:val="center"/>
          </w:tcPr>
          <w:p w14:paraId="15E81205">
            <w:pPr>
              <w:jc w:val="center"/>
              <w:textAlignment w:val="center"/>
              <w:rPr>
                <w:rFonts w:hint="eastAsia"/>
                <w:szCs w:val="21"/>
              </w:rPr>
            </w:pPr>
            <w:r>
              <w:rPr>
                <w:rFonts w:hint="eastAsia"/>
                <w:szCs w:val="21"/>
                <w:lang w:bidi="ar"/>
              </w:rPr>
              <w:t>二</w:t>
            </w:r>
          </w:p>
        </w:tc>
        <w:tc>
          <w:tcPr>
            <w:tcW w:w="3518" w:type="dxa"/>
            <w:gridSpan w:val="4"/>
            <w:vAlign w:val="center"/>
          </w:tcPr>
          <w:p w14:paraId="03080B75">
            <w:pPr>
              <w:jc w:val="center"/>
              <w:textAlignment w:val="center"/>
              <w:rPr>
                <w:rFonts w:hint="eastAsia"/>
                <w:b/>
                <w:bCs/>
                <w:szCs w:val="21"/>
              </w:rPr>
            </w:pPr>
            <w:r>
              <w:rPr>
                <w:rFonts w:hint="eastAsia"/>
                <w:b/>
                <w:bCs/>
                <w:szCs w:val="21"/>
                <w:lang w:bidi="ar"/>
              </w:rPr>
              <w:t>商务部分</w:t>
            </w:r>
          </w:p>
        </w:tc>
        <w:tc>
          <w:tcPr>
            <w:tcW w:w="4976" w:type="dxa"/>
          </w:tcPr>
          <w:p w14:paraId="66AC3F79">
            <w:pPr>
              <w:jc w:val="center"/>
              <w:textAlignment w:val="top"/>
              <w:rPr>
                <w:rFonts w:hint="eastAsia"/>
                <w:b/>
                <w:bCs/>
                <w:szCs w:val="21"/>
              </w:rPr>
            </w:pPr>
            <w:r>
              <w:rPr>
                <w:b/>
                <w:bCs/>
                <w:szCs w:val="21"/>
                <w:lang w:bidi="ar"/>
              </w:rPr>
              <w:t>3</w:t>
            </w:r>
            <w:r>
              <w:rPr>
                <w:rFonts w:hint="eastAsia"/>
                <w:b/>
                <w:bCs/>
                <w:szCs w:val="21"/>
                <w:lang w:val="en-US" w:eastAsia="zh-CN" w:bidi="ar"/>
              </w:rPr>
              <w:t>0</w:t>
            </w:r>
          </w:p>
        </w:tc>
      </w:tr>
      <w:tr w14:paraId="7651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5B601364">
            <w:pPr>
              <w:jc w:val="center"/>
              <w:rPr>
                <w:rFonts w:hint="eastAsia"/>
                <w:szCs w:val="21"/>
              </w:rPr>
            </w:pPr>
          </w:p>
        </w:tc>
        <w:tc>
          <w:tcPr>
            <w:tcW w:w="638" w:type="dxa"/>
            <w:vAlign w:val="center"/>
          </w:tcPr>
          <w:p w14:paraId="0FD4BEF8">
            <w:pPr>
              <w:jc w:val="center"/>
              <w:textAlignment w:val="center"/>
              <w:rPr>
                <w:rFonts w:hint="eastAsia"/>
                <w:szCs w:val="21"/>
              </w:rPr>
            </w:pPr>
            <w:r>
              <w:rPr>
                <w:rFonts w:hint="eastAsia"/>
                <w:szCs w:val="21"/>
                <w:lang w:bidi="ar"/>
              </w:rPr>
              <w:t>序号</w:t>
            </w:r>
          </w:p>
        </w:tc>
        <w:tc>
          <w:tcPr>
            <w:tcW w:w="1115" w:type="dxa"/>
            <w:vAlign w:val="center"/>
          </w:tcPr>
          <w:p w14:paraId="6FAEE930">
            <w:pPr>
              <w:jc w:val="center"/>
              <w:textAlignment w:val="center"/>
              <w:rPr>
                <w:rFonts w:hint="eastAsia"/>
                <w:szCs w:val="21"/>
              </w:rPr>
            </w:pPr>
            <w:r>
              <w:rPr>
                <w:rFonts w:hint="eastAsia"/>
                <w:szCs w:val="21"/>
                <w:lang w:bidi="ar"/>
              </w:rPr>
              <w:t>评分因素</w:t>
            </w:r>
          </w:p>
        </w:tc>
        <w:tc>
          <w:tcPr>
            <w:tcW w:w="657" w:type="dxa"/>
            <w:vAlign w:val="center"/>
          </w:tcPr>
          <w:p w14:paraId="2434C003">
            <w:pPr>
              <w:jc w:val="center"/>
              <w:textAlignment w:val="center"/>
              <w:rPr>
                <w:rFonts w:hint="eastAsia"/>
                <w:szCs w:val="21"/>
              </w:rPr>
            </w:pPr>
            <w:r>
              <w:rPr>
                <w:rFonts w:hint="eastAsia"/>
                <w:szCs w:val="21"/>
                <w:lang w:bidi="ar"/>
              </w:rPr>
              <w:t>权重</w:t>
            </w:r>
          </w:p>
        </w:tc>
        <w:tc>
          <w:tcPr>
            <w:tcW w:w="1108" w:type="dxa"/>
            <w:vAlign w:val="center"/>
          </w:tcPr>
          <w:p w14:paraId="16B70A62">
            <w:pPr>
              <w:jc w:val="center"/>
              <w:textAlignment w:val="center"/>
              <w:rPr>
                <w:rFonts w:hint="eastAsia"/>
                <w:szCs w:val="21"/>
              </w:rPr>
            </w:pPr>
            <w:r>
              <w:rPr>
                <w:rFonts w:hint="eastAsia"/>
                <w:szCs w:val="21"/>
                <w:lang w:bidi="ar"/>
              </w:rPr>
              <w:t>评分方式</w:t>
            </w:r>
          </w:p>
        </w:tc>
        <w:tc>
          <w:tcPr>
            <w:tcW w:w="4976" w:type="dxa"/>
          </w:tcPr>
          <w:p w14:paraId="07161C89">
            <w:pPr>
              <w:jc w:val="center"/>
              <w:textAlignment w:val="top"/>
              <w:rPr>
                <w:rFonts w:hint="eastAsia"/>
                <w:szCs w:val="21"/>
              </w:rPr>
            </w:pPr>
            <w:r>
              <w:rPr>
                <w:rFonts w:hint="eastAsia"/>
                <w:szCs w:val="21"/>
                <w:lang w:bidi="ar"/>
              </w:rPr>
              <w:t>评分准则</w:t>
            </w:r>
          </w:p>
        </w:tc>
      </w:tr>
      <w:tr w14:paraId="6FC8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29E1C55B">
            <w:pPr>
              <w:jc w:val="center"/>
              <w:rPr>
                <w:rFonts w:hint="eastAsia"/>
                <w:szCs w:val="21"/>
              </w:rPr>
            </w:pPr>
          </w:p>
        </w:tc>
        <w:tc>
          <w:tcPr>
            <w:tcW w:w="638" w:type="dxa"/>
            <w:vAlign w:val="center"/>
          </w:tcPr>
          <w:p w14:paraId="555D049B">
            <w:pPr>
              <w:jc w:val="center"/>
              <w:textAlignment w:val="center"/>
              <w:rPr>
                <w:rFonts w:hint="eastAsia"/>
                <w:szCs w:val="21"/>
              </w:rPr>
            </w:pPr>
            <w:r>
              <w:rPr>
                <w:szCs w:val="21"/>
                <w:lang w:bidi="ar"/>
              </w:rPr>
              <w:t>1</w:t>
            </w:r>
          </w:p>
        </w:tc>
        <w:tc>
          <w:tcPr>
            <w:tcW w:w="1115" w:type="dxa"/>
            <w:vAlign w:val="center"/>
          </w:tcPr>
          <w:p w14:paraId="6C869243">
            <w:pPr>
              <w:jc w:val="center"/>
              <w:textAlignment w:val="center"/>
              <w:rPr>
                <w:rFonts w:hint="eastAsia"/>
                <w:szCs w:val="21"/>
              </w:rPr>
            </w:pPr>
            <w:r>
              <w:rPr>
                <w:rFonts w:hint="eastAsia"/>
                <w:szCs w:val="21"/>
              </w:rPr>
              <w:t>服务能力</w:t>
            </w:r>
          </w:p>
        </w:tc>
        <w:tc>
          <w:tcPr>
            <w:tcW w:w="657" w:type="dxa"/>
            <w:vAlign w:val="center"/>
          </w:tcPr>
          <w:p w14:paraId="01A5FA06">
            <w:pPr>
              <w:jc w:val="center"/>
              <w:textAlignment w:val="center"/>
              <w:rPr>
                <w:rFonts w:hint="eastAsia"/>
                <w:szCs w:val="21"/>
              </w:rPr>
            </w:pPr>
            <w:r>
              <w:rPr>
                <w:rFonts w:hint="eastAsia"/>
                <w:szCs w:val="21"/>
                <w:lang w:val="en-US" w:eastAsia="zh-CN" w:bidi="ar"/>
              </w:rPr>
              <w:t>5</w:t>
            </w:r>
          </w:p>
        </w:tc>
        <w:tc>
          <w:tcPr>
            <w:tcW w:w="1108" w:type="dxa"/>
            <w:vAlign w:val="center"/>
          </w:tcPr>
          <w:p w14:paraId="57755806">
            <w:pPr>
              <w:jc w:val="center"/>
              <w:textAlignment w:val="center"/>
              <w:rPr>
                <w:rFonts w:hint="eastAsia"/>
                <w:szCs w:val="21"/>
              </w:rPr>
            </w:pPr>
            <w:r>
              <w:rPr>
                <w:rFonts w:hint="eastAsia"/>
                <w:szCs w:val="21"/>
                <w:lang w:bidi="ar"/>
              </w:rPr>
              <w:t>专家打分</w:t>
            </w:r>
          </w:p>
        </w:tc>
        <w:tc>
          <w:tcPr>
            <w:tcW w:w="4976" w:type="dxa"/>
          </w:tcPr>
          <w:p w14:paraId="5B76BC25">
            <w:pPr>
              <w:spacing w:line="380" w:lineRule="exact"/>
              <w:rPr>
                <w:rFonts w:ascii="宋体" w:hAnsi="宋体"/>
                <w:szCs w:val="21"/>
              </w:rPr>
            </w:pPr>
            <w:r>
              <w:rPr>
                <w:rFonts w:hint="eastAsia" w:ascii="宋体" w:hAnsi="宋体"/>
                <w:szCs w:val="21"/>
              </w:rPr>
              <w:t>（一）评</w:t>
            </w:r>
            <w:r>
              <w:rPr>
                <w:rFonts w:hint="eastAsia" w:ascii="宋体" w:hAnsi="宋体"/>
                <w:szCs w:val="21"/>
                <w:lang w:val="en-US" w:eastAsia="zh-CN"/>
              </w:rPr>
              <w:t>分</w:t>
            </w:r>
            <w:r>
              <w:rPr>
                <w:rFonts w:hint="eastAsia" w:ascii="宋体" w:hAnsi="宋体"/>
                <w:szCs w:val="21"/>
              </w:rPr>
              <w:t>内容：</w:t>
            </w:r>
          </w:p>
          <w:p w14:paraId="54A43CBF">
            <w:pPr>
              <w:widowControl/>
              <w:spacing w:line="380" w:lineRule="exact"/>
              <w:jc w:val="left"/>
              <w:textAlignment w:val="top"/>
              <w:rPr>
                <w:rFonts w:hint="default"/>
                <w:lang w:val="en-US"/>
              </w:rPr>
            </w:pPr>
            <w:r>
              <w:rPr>
                <w:rFonts w:hint="eastAsia" w:ascii="宋体" w:hAnsi="宋体"/>
                <w:szCs w:val="21"/>
                <w:lang w:bidi="ar"/>
              </w:rPr>
              <w:t>投标人提供有效的质量管理体系认证</w:t>
            </w:r>
            <w:r>
              <w:rPr>
                <w:rFonts w:hint="eastAsia" w:ascii="宋体" w:hAnsi="宋体"/>
                <w:szCs w:val="21"/>
                <w:lang w:eastAsia="zh-CN" w:bidi="ar"/>
              </w:rPr>
              <w:t>，</w:t>
            </w:r>
            <w:r>
              <w:rPr>
                <w:rFonts w:hint="eastAsia" w:ascii="宋体" w:hAnsi="宋体"/>
                <w:szCs w:val="21"/>
                <w:lang w:val="en-US" w:eastAsia="zh-CN" w:bidi="ar"/>
              </w:rPr>
              <w:t>得5分。</w:t>
            </w:r>
          </w:p>
          <w:p w14:paraId="7D662736">
            <w:pPr>
              <w:widowControl/>
              <w:spacing w:line="380" w:lineRule="exact"/>
              <w:jc w:val="left"/>
              <w:textAlignment w:val="top"/>
              <w:rPr>
                <w:rFonts w:hint="eastAsia" w:ascii="宋体" w:hAnsi="宋体" w:eastAsia="宋体" w:cs="宋体"/>
                <w:b/>
                <w:bCs/>
                <w:kern w:val="0"/>
                <w:szCs w:val="21"/>
                <w:lang w:eastAsia="zh-CN"/>
              </w:rPr>
            </w:pPr>
            <w:r>
              <w:rPr>
                <w:rFonts w:hint="eastAsia" w:ascii="宋体" w:hAnsi="宋体" w:eastAsia="宋体" w:cs="Times New Roman"/>
                <w:szCs w:val="21"/>
                <w:lang w:bidi="ar"/>
              </w:rPr>
              <w:t>（二）评</w:t>
            </w:r>
            <w:r>
              <w:rPr>
                <w:rFonts w:hint="eastAsia" w:ascii="宋体" w:hAnsi="宋体" w:eastAsia="宋体" w:cs="Times New Roman"/>
                <w:szCs w:val="21"/>
                <w:lang w:val="en-US" w:eastAsia="zh-CN" w:bidi="ar"/>
              </w:rPr>
              <w:t>分</w:t>
            </w:r>
            <w:r>
              <w:rPr>
                <w:rFonts w:hint="eastAsia" w:ascii="宋体" w:hAnsi="宋体" w:eastAsia="宋体" w:cs="Times New Roman"/>
                <w:szCs w:val="21"/>
                <w:lang w:bidi="ar"/>
              </w:rPr>
              <w:t>依据：</w:t>
            </w:r>
          </w:p>
          <w:p w14:paraId="7E15C154">
            <w:pPr>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1.提供认证证书扫描件；同时提供在全国认证认可信息公共服务平台（认e云）（http://cx.cnca.cn）查询截图且显示有效及证书编号一致</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状态需为“有效”</w:t>
            </w:r>
            <w:r>
              <w:rPr>
                <w:rFonts w:hint="eastAsia" w:asciiTheme="minorEastAsia" w:hAnsiTheme="minorEastAsia" w:eastAsiaTheme="minorEastAsia" w:cstheme="minorEastAsia"/>
                <w:bCs/>
                <w:color w:val="FF0000"/>
                <w:sz w:val="21"/>
                <w:szCs w:val="21"/>
              </w:rPr>
              <w:t>；由于成立时间不足三个月导致不能办理相应认证证书的，提供 “成立时间不足三个月，无法办理认证”的承诺函亦可得分。</w:t>
            </w:r>
          </w:p>
          <w:p w14:paraId="68E0FF48">
            <w:pPr>
              <w:rPr>
                <w:rFonts w:hint="eastAsia" w:eastAsiaTheme="minorEastAsia"/>
                <w:lang w:eastAsia="zh-CN"/>
              </w:rPr>
            </w:pPr>
            <w:r>
              <w:rPr>
                <w:rFonts w:hint="eastAsia" w:asciiTheme="minorEastAsia" w:hAnsiTheme="minorEastAsia" w:eastAsiaTheme="minorEastAsia" w:cstheme="minorEastAsia"/>
                <w:bCs/>
                <w:color w:val="FF0000"/>
                <w:sz w:val="21"/>
                <w:szCs w:val="21"/>
              </w:rPr>
              <w:t>2.评分中出现无证明资料或专家无法凭所提供资料判断是否得分的情况，一律作不得分处理</w:t>
            </w:r>
            <w:r>
              <w:rPr>
                <w:rFonts w:hint="eastAsia" w:asciiTheme="minorEastAsia" w:hAnsiTheme="minorEastAsia" w:eastAsiaTheme="minorEastAsia" w:cstheme="minorEastAsia"/>
                <w:bCs/>
                <w:color w:val="FF0000"/>
                <w:sz w:val="21"/>
                <w:szCs w:val="21"/>
                <w:lang w:eastAsia="zh-CN"/>
              </w:rPr>
              <w:t>。</w:t>
            </w:r>
          </w:p>
        </w:tc>
      </w:tr>
      <w:tr w14:paraId="5901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5" w:type="dxa"/>
            <w:vMerge w:val="continue"/>
            <w:vAlign w:val="center"/>
          </w:tcPr>
          <w:p w14:paraId="04A94CF9">
            <w:pPr>
              <w:jc w:val="center"/>
              <w:rPr>
                <w:rFonts w:hint="eastAsia"/>
                <w:szCs w:val="21"/>
              </w:rPr>
            </w:pPr>
          </w:p>
        </w:tc>
        <w:tc>
          <w:tcPr>
            <w:tcW w:w="638" w:type="dxa"/>
            <w:vAlign w:val="center"/>
          </w:tcPr>
          <w:p w14:paraId="6DFAA985">
            <w:pPr>
              <w:jc w:val="center"/>
              <w:textAlignment w:val="center"/>
              <w:rPr>
                <w:rFonts w:hint="eastAsia"/>
                <w:szCs w:val="21"/>
              </w:rPr>
            </w:pPr>
            <w:r>
              <w:rPr>
                <w:szCs w:val="21"/>
                <w:lang w:bidi="ar"/>
              </w:rPr>
              <w:t>2</w:t>
            </w:r>
          </w:p>
        </w:tc>
        <w:tc>
          <w:tcPr>
            <w:tcW w:w="1115" w:type="dxa"/>
            <w:vAlign w:val="center"/>
          </w:tcPr>
          <w:p w14:paraId="444654F1">
            <w:pPr>
              <w:jc w:val="center"/>
              <w:textAlignment w:val="center"/>
              <w:rPr>
                <w:rFonts w:hint="eastAsia"/>
                <w:szCs w:val="21"/>
              </w:rPr>
            </w:pPr>
            <w:r>
              <w:rPr>
                <w:rFonts w:hint="eastAsia"/>
                <w:szCs w:val="21"/>
                <w:lang w:val="en-US" w:eastAsia="zh-CN"/>
              </w:rPr>
              <w:t>业绩情况</w:t>
            </w:r>
          </w:p>
        </w:tc>
        <w:tc>
          <w:tcPr>
            <w:tcW w:w="657" w:type="dxa"/>
            <w:vAlign w:val="center"/>
          </w:tcPr>
          <w:p w14:paraId="593584AE">
            <w:pPr>
              <w:jc w:val="center"/>
              <w:textAlignment w:val="center"/>
              <w:rPr>
                <w:rFonts w:hint="eastAsia"/>
                <w:szCs w:val="21"/>
              </w:rPr>
            </w:pPr>
            <w:r>
              <w:rPr>
                <w:szCs w:val="21"/>
                <w:lang w:bidi="ar"/>
              </w:rPr>
              <w:t>8</w:t>
            </w:r>
          </w:p>
        </w:tc>
        <w:tc>
          <w:tcPr>
            <w:tcW w:w="1108" w:type="dxa"/>
            <w:vAlign w:val="center"/>
          </w:tcPr>
          <w:p w14:paraId="752FECF6">
            <w:pPr>
              <w:jc w:val="center"/>
              <w:textAlignment w:val="center"/>
              <w:rPr>
                <w:rFonts w:hint="eastAsia"/>
                <w:szCs w:val="21"/>
              </w:rPr>
            </w:pPr>
            <w:r>
              <w:rPr>
                <w:rFonts w:hint="eastAsia"/>
                <w:szCs w:val="21"/>
                <w:lang w:bidi="ar"/>
              </w:rPr>
              <w:t>专家打分</w:t>
            </w:r>
          </w:p>
        </w:tc>
        <w:tc>
          <w:tcPr>
            <w:tcW w:w="4976" w:type="dxa"/>
          </w:tcPr>
          <w:p w14:paraId="2D57B44C">
            <w:pPr>
              <w:spacing w:line="240" w:lineRule="auto"/>
              <w:textAlignment w:val="top"/>
              <w:rPr>
                <w:rFonts w:ascii="宋体" w:hAnsi="宋体"/>
                <w:szCs w:val="21"/>
              </w:rPr>
            </w:pPr>
            <w:r>
              <w:rPr>
                <w:rFonts w:hint="eastAsia" w:ascii="宋体" w:hAnsi="宋体"/>
                <w:szCs w:val="21"/>
              </w:rPr>
              <w:t>（一）评</w:t>
            </w:r>
            <w:r>
              <w:rPr>
                <w:rFonts w:hint="eastAsia" w:ascii="宋体" w:hAnsi="宋体"/>
                <w:szCs w:val="21"/>
                <w:lang w:val="en-US" w:eastAsia="zh-CN"/>
              </w:rPr>
              <w:t>分</w:t>
            </w:r>
            <w:r>
              <w:rPr>
                <w:rFonts w:hint="eastAsia" w:ascii="宋体" w:hAnsi="宋体"/>
                <w:szCs w:val="21"/>
              </w:rPr>
              <w:t>内容：</w:t>
            </w:r>
          </w:p>
          <w:p w14:paraId="0EB74CF8">
            <w:pPr>
              <w:spacing w:line="240" w:lineRule="auto"/>
              <w:textAlignment w:val="top"/>
              <w:rPr>
                <w:rFonts w:hint="eastAsia" w:ascii="宋体" w:hAnsi="宋体" w:eastAsia="宋体" w:cs="Times New Roman"/>
                <w:szCs w:val="21"/>
                <w:lang w:bidi="ar"/>
              </w:rPr>
            </w:pPr>
            <w:r>
              <w:rPr>
                <w:rFonts w:hint="eastAsia" w:ascii="宋体" w:hAnsi="宋体" w:eastAsia="宋体" w:cs="Times New Roman"/>
                <w:szCs w:val="21"/>
                <w:lang w:val="en-US" w:eastAsia="zh-CN" w:bidi="ar"/>
              </w:rPr>
              <w:t>提供近三年（</w:t>
            </w:r>
            <w:r>
              <w:rPr>
                <w:rFonts w:hint="eastAsia" w:ascii="宋体" w:hAnsi="宋体" w:eastAsia="宋体" w:cs="Times New Roman"/>
                <w:color w:val="0000FF"/>
                <w:szCs w:val="21"/>
                <w:lang w:val="en-US" w:eastAsia="zh-CN" w:bidi="ar"/>
              </w:rPr>
              <w:t>202</w:t>
            </w:r>
            <w:r>
              <w:rPr>
                <w:rFonts w:hint="eastAsia" w:ascii="宋体" w:hAnsi="宋体" w:cs="Times New Roman"/>
                <w:color w:val="0000FF"/>
                <w:szCs w:val="21"/>
                <w:lang w:val="en-US" w:eastAsia="zh-CN" w:bidi="ar"/>
              </w:rPr>
              <w:t>3</w:t>
            </w:r>
            <w:r>
              <w:rPr>
                <w:rFonts w:hint="eastAsia" w:ascii="宋体" w:hAnsi="宋体" w:eastAsia="宋体" w:cs="Times New Roman"/>
                <w:color w:val="0000FF"/>
                <w:szCs w:val="21"/>
                <w:lang w:val="en-US" w:eastAsia="zh-CN" w:bidi="ar"/>
              </w:rPr>
              <w:t>年</w:t>
            </w:r>
            <w:r>
              <w:rPr>
                <w:rFonts w:hint="eastAsia" w:ascii="宋体" w:hAnsi="宋体" w:cs="Times New Roman"/>
                <w:color w:val="0000FF"/>
                <w:szCs w:val="21"/>
                <w:lang w:val="en-US" w:eastAsia="zh-CN" w:bidi="ar"/>
              </w:rPr>
              <w:t>1</w:t>
            </w:r>
            <w:r>
              <w:rPr>
                <w:rFonts w:hint="eastAsia" w:ascii="宋体" w:hAnsi="宋体" w:eastAsia="宋体" w:cs="Times New Roman"/>
                <w:color w:val="0000FF"/>
                <w:szCs w:val="21"/>
                <w:lang w:val="en-US" w:eastAsia="zh-CN" w:bidi="ar"/>
              </w:rPr>
              <w:t>月1日</w:t>
            </w:r>
            <w:r>
              <w:rPr>
                <w:rFonts w:hint="eastAsia" w:ascii="宋体" w:hAnsi="宋体" w:eastAsia="宋体" w:cs="Times New Roman"/>
                <w:szCs w:val="21"/>
                <w:lang w:val="en-US" w:eastAsia="zh-CN" w:bidi="ar"/>
              </w:rPr>
              <w:t>至投标截止之日止）</w:t>
            </w:r>
            <w:r>
              <w:rPr>
                <w:rFonts w:hint="eastAsia" w:ascii="宋体" w:hAnsi="宋体" w:eastAsia="宋体" w:cs="Times New Roman"/>
                <w:szCs w:val="21"/>
                <w:lang w:bidi="ar"/>
              </w:rPr>
              <w:t>投标人提供</w:t>
            </w:r>
            <w:r>
              <w:rPr>
                <w:rFonts w:hint="eastAsia" w:ascii="宋体" w:hAnsi="宋体" w:eastAsia="宋体" w:cs="Times New Roman"/>
                <w:szCs w:val="21"/>
                <w:lang w:val="en-US" w:eastAsia="zh-CN" w:bidi="ar"/>
              </w:rPr>
              <w:t>同类</w:t>
            </w:r>
            <w:r>
              <w:rPr>
                <w:rFonts w:hint="eastAsia" w:ascii="宋体" w:hAnsi="宋体" w:eastAsia="宋体" w:cs="Times New Roman"/>
                <w:szCs w:val="21"/>
                <w:lang w:bidi="ar"/>
              </w:rPr>
              <w:t>信息化业绩，每提供1个</w:t>
            </w:r>
            <w:r>
              <w:rPr>
                <w:rFonts w:hint="eastAsia" w:ascii="宋体" w:hAnsi="宋体" w:eastAsia="宋体" w:cs="Times New Roman"/>
                <w:szCs w:val="21"/>
                <w:lang w:val="en-US" w:eastAsia="zh-CN" w:bidi="ar"/>
              </w:rPr>
              <w:t>业绩</w:t>
            </w:r>
            <w:r>
              <w:rPr>
                <w:rFonts w:hint="eastAsia" w:ascii="宋体" w:hAnsi="宋体" w:eastAsia="宋体" w:cs="Times New Roman"/>
                <w:szCs w:val="21"/>
                <w:lang w:bidi="ar"/>
              </w:rPr>
              <w:t>得</w:t>
            </w:r>
            <w:r>
              <w:rPr>
                <w:rFonts w:hint="eastAsia" w:ascii="宋体" w:hAnsi="宋体" w:eastAsia="宋体" w:cs="Times New Roman"/>
                <w:szCs w:val="21"/>
                <w:lang w:val="en-US" w:eastAsia="zh-CN" w:bidi="ar"/>
              </w:rPr>
              <w:t>4</w:t>
            </w:r>
            <w:r>
              <w:rPr>
                <w:rFonts w:hint="eastAsia" w:ascii="宋体" w:hAnsi="宋体" w:eastAsia="宋体" w:cs="Times New Roman"/>
                <w:szCs w:val="21"/>
                <w:lang w:bidi="ar"/>
              </w:rPr>
              <w:t>分，满分</w:t>
            </w:r>
            <w:r>
              <w:rPr>
                <w:rFonts w:hint="eastAsia" w:ascii="宋体" w:hAnsi="宋体" w:eastAsia="宋体" w:cs="Times New Roman"/>
                <w:szCs w:val="21"/>
                <w:lang w:val="en-US" w:eastAsia="zh-CN" w:bidi="ar"/>
              </w:rPr>
              <w:t>8</w:t>
            </w:r>
            <w:r>
              <w:rPr>
                <w:rFonts w:hint="eastAsia" w:ascii="宋体" w:hAnsi="宋体" w:eastAsia="宋体" w:cs="Times New Roman"/>
                <w:szCs w:val="21"/>
                <w:lang w:bidi="ar"/>
              </w:rPr>
              <w:t>分。</w:t>
            </w:r>
          </w:p>
          <w:p w14:paraId="5667EA78">
            <w:pPr>
              <w:spacing w:line="240" w:lineRule="auto"/>
              <w:textAlignment w:val="top"/>
              <w:rPr>
                <w:rFonts w:hint="eastAsia" w:ascii="宋体" w:hAnsi="宋体" w:eastAsia="宋体" w:cs="Times New Roman"/>
                <w:szCs w:val="21"/>
                <w:lang w:bidi="ar"/>
              </w:rPr>
            </w:pPr>
            <w:r>
              <w:rPr>
                <w:rFonts w:hint="eastAsia" w:ascii="宋体" w:hAnsi="宋体" w:eastAsia="宋体" w:cs="Times New Roman"/>
                <w:szCs w:val="21"/>
                <w:lang w:bidi="ar"/>
              </w:rPr>
              <w:t>（二）评</w:t>
            </w:r>
            <w:r>
              <w:rPr>
                <w:rFonts w:hint="eastAsia" w:ascii="宋体" w:hAnsi="宋体" w:eastAsia="宋体" w:cs="Times New Roman"/>
                <w:szCs w:val="21"/>
                <w:lang w:val="en-US" w:eastAsia="zh-CN" w:bidi="ar"/>
              </w:rPr>
              <w:t>分</w:t>
            </w:r>
            <w:r>
              <w:rPr>
                <w:rFonts w:hint="eastAsia" w:ascii="宋体" w:hAnsi="宋体" w:eastAsia="宋体" w:cs="Times New Roman"/>
                <w:szCs w:val="21"/>
                <w:lang w:bidi="ar"/>
              </w:rPr>
              <w:t>依据：</w:t>
            </w:r>
          </w:p>
          <w:p w14:paraId="098E4C9D">
            <w:pPr>
              <w:textAlignment w:val="top"/>
              <w:rPr>
                <w:rFonts w:hint="eastAsia" w:eastAsia="宋体"/>
                <w:szCs w:val="21"/>
                <w:lang w:eastAsia="zh-CN" w:bidi="ar"/>
              </w:rPr>
            </w:pPr>
            <w:r>
              <w:rPr>
                <w:rFonts w:hint="eastAsia" w:ascii="宋体" w:hAnsi="宋体" w:eastAsia="宋体" w:cs="Times New Roman"/>
                <w:szCs w:val="21"/>
                <w:lang w:bidi="ar"/>
              </w:rPr>
              <w:t>须提供合同关键信息</w:t>
            </w:r>
            <w:r>
              <w:rPr>
                <w:rFonts w:hint="eastAsia" w:ascii="宋体" w:hAnsi="宋体" w:eastAsia="宋体" w:cs="宋体"/>
                <w:color w:val="FF0000"/>
                <w:sz w:val="21"/>
                <w:szCs w:val="21"/>
                <w:highlight w:val="none"/>
                <w:lang w:val="en-US" w:eastAsia="zh-CN"/>
              </w:rPr>
              <w:t>（含签订合同双方的单位名称、</w:t>
            </w:r>
            <w:r>
              <w:rPr>
                <w:rFonts w:hint="eastAsia" w:ascii="宋体" w:hAnsi="宋体" w:eastAsia="宋体" w:cs="Times New Roman"/>
                <w:szCs w:val="21"/>
                <w:lang w:bidi="ar"/>
              </w:rPr>
              <w:t>系统运维服务</w:t>
            </w:r>
            <w:r>
              <w:rPr>
                <w:rFonts w:hint="eastAsia" w:ascii="宋体" w:hAnsi="宋体" w:eastAsia="宋体" w:cs="Times New Roman"/>
                <w:szCs w:val="21"/>
                <w:lang w:val="en-US" w:eastAsia="zh-CN" w:bidi="ar"/>
              </w:rPr>
              <w:t>内容页、</w:t>
            </w:r>
            <w:r>
              <w:rPr>
                <w:rFonts w:hint="eastAsia" w:ascii="宋体" w:hAnsi="宋体" w:eastAsia="宋体" w:cs="宋体"/>
                <w:color w:val="FF0000"/>
                <w:sz w:val="21"/>
                <w:szCs w:val="21"/>
                <w:highlight w:val="none"/>
                <w:lang w:val="en-US" w:eastAsia="zh-CN"/>
              </w:rPr>
              <w:t>合同项目名称与含签订合同双方的落款盖章、签订日期的关键页）</w:t>
            </w:r>
            <w:r>
              <w:rPr>
                <w:rFonts w:hint="eastAsia" w:ascii="宋体" w:hAnsi="宋体" w:eastAsia="宋体" w:cs="Times New Roman"/>
                <w:szCs w:val="21"/>
                <w:lang w:val="en-US" w:eastAsia="zh-CN" w:bidi="ar"/>
              </w:rPr>
              <w:t>并</w:t>
            </w:r>
            <w:r>
              <w:rPr>
                <w:rFonts w:hint="eastAsia" w:ascii="宋体" w:hAnsi="宋体" w:eastAsia="宋体" w:cs="Times New Roman"/>
                <w:szCs w:val="21"/>
                <w:lang w:bidi="ar"/>
              </w:rPr>
              <w:t>加盖单位公章</w:t>
            </w:r>
            <w:r>
              <w:rPr>
                <w:rFonts w:hint="eastAsia" w:ascii="宋体" w:hAnsi="宋体" w:eastAsia="宋体" w:cs="Times New Roman"/>
                <w:szCs w:val="21"/>
                <w:lang w:eastAsia="zh-CN" w:bidi="ar"/>
              </w:rPr>
              <w:t>。</w:t>
            </w:r>
          </w:p>
        </w:tc>
      </w:tr>
      <w:tr w14:paraId="1686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2E0E78F7">
            <w:pPr>
              <w:jc w:val="center"/>
              <w:rPr>
                <w:rFonts w:hint="eastAsia"/>
                <w:szCs w:val="21"/>
              </w:rPr>
            </w:pPr>
          </w:p>
        </w:tc>
        <w:tc>
          <w:tcPr>
            <w:tcW w:w="638" w:type="dxa"/>
            <w:vAlign w:val="center"/>
          </w:tcPr>
          <w:p w14:paraId="7C4372DE">
            <w:pPr>
              <w:jc w:val="center"/>
              <w:textAlignment w:val="center"/>
              <w:rPr>
                <w:rFonts w:hint="eastAsia"/>
                <w:szCs w:val="21"/>
              </w:rPr>
            </w:pPr>
            <w:r>
              <w:rPr>
                <w:szCs w:val="21"/>
              </w:rPr>
              <w:t>3</w:t>
            </w:r>
          </w:p>
        </w:tc>
        <w:tc>
          <w:tcPr>
            <w:tcW w:w="1115" w:type="dxa"/>
            <w:vAlign w:val="center"/>
          </w:tcPr>
          <w:p w14:paraId="429AB85E">
            <w:pPr>
              <w:jc w:val="center"/>
              <w:textAlignment w:val="center"/>
              <w:rPr>
                <w:rFonts w:hint="eastAsia"/>
                <w:szCs w:val="21"/>
                <w:lang w:bidi="ar"/>
              </w:rPr>
            </w:pPr>
            <w:r>
              <w:rPr>
                <w:rFonts w:hint="eastAsia"/>
                <w:szCs w:val="21"/>
                <w:lang w:bidi="ar"/>
              </w:rPr>
              <w:t>项目团队</w:t>
            </w:r>
          </w:p>
        </w:tc>
        <w:tc>
          <w:tcPr>
            <w:tcW w:w="657" w:type="dxa"/>
            <w:vAlign w:val="center"/>
          </w:tcPr>
          <w:p w14:paraId="449FC298">
            <w:pPr>
              <w:jc w:val="center"/>
              <w:textAlignment w:val="center"/>
              <w:rPr>
                <w:rFonts w:hint="eastAsia"/>
                <w:color w:val="FF0000"/>
                <w:szCs w:val="21"/>
                <w:lang w:bidi="ar"/>
              </w:rPr>
            </w:pPr>
            <w:r>
              <w:rPr>
                <w:szCs w:val="21"/>
                <w:lang w:bidi="ar"/>
              </w:rPr>
              <w:t>12</w:t>
            </w:r>
          </w:p>
        </w:tc>
        <w:tc>
          <w:tcPr>
            <w:tcW w:w="1108" w:type="dxa"/>
            <w:vAlign w:val="center"/>
          </w:tcPr>
          <w:p w14:paraId="3FF90FE5">
            <w:pPr>
              <w:jc w:val="center"/>
              <w:textAlignment w:val="center"/>
              <w:rPr>
                <w:rFonts w:hint="eastAsia"/>
                <w:szCs w:val="21"/>
                <w:lang w:bidi="ar"/>
              </w:rPr>
            </w:pPr>
            <w:r>
              <w:rPr>
                <w:rFonts w:hint="eastAsia"/>
                <w:szCs w:val="21"/>
                <w:lang w:bidi="ar"/>
              </w:rPr>
              <w:t>专家打分</w:t>
            </w:r>
          </w:p>
        </w:tc>
        <w:tc>
          <w:tcPr>
            <w:tcW w:w="4976" w:type="dxa"/>
          </w:tcPr>
          <w:p w14:paraId="2BB8C1FE">
            <w:pPr>
              <w:textAlignment w:val="top"/>
              <w:rPr>
                <w:rFonts w:hint="eastAsia"/>
                <w:szCs w:val="21"/>
                <w:lang w:bidi="ar"/>
              </w:rPr>
            </w:pPr>
            <w:r>
              <w:rPr>
                <w:rFonts w:hint="eastAsia" w:asciiTheme="minorEastAsia" w:hAnsiTheme="minorEastAsia" w:eastAsiaTheme="minorEastAsia" w:cstheme="minorEastAsia"/>
                <w:b/>
                <w:color w:val="FF0000"/>
                <w:sz w:val="21"/>
                <w:szCs w:val="21"/>
              </w:rPr>
              <w:t>（一）评分内容：</w:t>
            </w:r>
          </w:p>
          <w:p w14:paraId="50E39364">
            <w:pPr>
              <w:textAlignment w:val="top"/>
              <w:rPr>
                <w:rFonts w:hint="eastAsia"/>
                <w:szCs w:val="21"/>
                <w:lang w:bidi="ar"/>
              </w:rPr>
            </w:pPr>
            <w:r>
              <w:rPr>
                <w:rFonts w:hint="eastAsia"/>
                <w:szCs w:val="21"/>
                <w:lang w:bidi="ar"/>
              </w:rPr>
              <w:t>1.拟投入本项目的项目负责人资质要求：</w:t>
            </w:r>
          </w:p>
          <w:p w14:paraId="459A3CF1">
            <w:pPr>
              <w:textAlignment w:val="top"/>
              <w:rPr>
                <w:rFonts w:hint="eastAsia"/>
                <w:szCs w:val="21"/>
                <w:lang w:bidi="ar"/>
              </w:rPr>
            </w:pPr>
            <w:r>
              <w:rPr>
                <w:rFonts w:hint="eastAsia"/>
                <w:szCs w:val="21"/>
                <w:lang w:bidi="ar"/>
              </w:rPr>
              <w:t>项目负责人具备</w:t>
            </w:r>
            <w:r>
              <w:rPr>
                <w:rFonts w:hint="eastAsia" w:ascii="宋体" w:hAnsi="宋体"/>
                <w:szCs w:val="21"/>
                <w:lang w:bidi="ar"/>
              </w:rPr>
              <w:t>信息系统项目管理师证书</w:t>
            </w:r>
            <w:r>
              <w:rPr>
                <w:rFonts w:hint="eastAsia"/>
                <w:szCs w:val="21"/>
                <w:lang w:bidi="ar"/>
              </w:rPr>
              <w:t>。</w:t>
            </w:r>
            <w:r>
              <w:rPr>
                <w:rFonts w:hint="eastAsia"/>
                <w:szCs w:val="21"/>
                <w:lang w:val="en-US" w:eastAsia="zh-CN" w:bidi="ar"/>
              </w:rPr>
              <w:t>满足得6</w:t>
            </w:r>
            <w:r>
              <w:rPr>
                <w:rFonts w:hint="eastAsia"/>
                <w:szCs w:val="21"/>
                <w:lang w:bidi="ar"/>
              </w:rPr>
              <w:t>分；不提供者不得分。</w:t>
            </w:r>
          </w:p>
          <w:p w14:paraId="6CA7661B">
            <w:pPr>
              <w:spacing w:line="380" w:lineRule="exact"/>
              <w:textAlignment w:val="top"/>
              <w:rPr>
                <w:rFonts w:hint="eastAsia" w:ascii="宋体" w:hAnsi="宋体"/>
                <w:szCs w:val="21"/>
                <w:lang w:bidi="ar"/>
              </w:rPr>
            </w:pPr>
            <w:r>
              <w:rPr>
                <w:rFonts w:ascii="宋体" w:hAnsi="宋体"/>
                <w:szCs w:val="21"/>
                <w:lang w:bidi="ar"/>
              </w:rPr>
              <w:t>2.</w:t>
            </w:r>
            <w:r>
              <w:rPr>
                <w:rFonts w:hint="eastAsia" w:ascii="宋体" w:hAnsi="宋体"/>
                <w:szCs w:val="21"/>
                <w:lang w:bidi="ar"/>
              </w:rPr>
              <w:t>拟投入本项目的项目团队（项目负责人除外）：</w:t>
            </w:r>
          </w:p>
          <w:p w14:paraId="70D2BC11">
            <w:pPr>
              <w:spacing w:line="380" w:lineRule="exact"/>
              <w:textAlignment w:val="top"/>
              <w:rPr>
                <w:rFonts w:ascii="宋体" w:hAnsi="宋体"/>
                <w:szCs w:val="21"/>
                <w:lang w:bidi="ar"/>
              </w:rPr>
            </w:pPr>
            <w:r>
              <w:rPr>
                <w:rFonts w:hint="eastAsia" w:ascii="宋体" w:hAnsi="宋体"/>
                <w:szCs w:val="21"/>
                <w:lang w:bidi="ar"/>
              </w:rPr>
              <w:t>需要一个完备的项目技术团队确保项目顺利实施，团队成员中每具有</w:t>
            </w:r>
            <w:r>
              <w:rPr>
                <w:rFonts w:hint="eastAsia" w:ascii="宋体" w:hAnsi="宋体"/>
                <w:szCs w:val="21"/>
                <w:lang w:val="en-US" w:eastAsia="zh-CN" w:bidi="ar"/>
              </w:rPr>
              <w:t>下述任意</w:t>
            </w:r>
            <w:r>
              <w:rPr>
                <w:rFonts w:hint="eastAsia" w:ascii="宋体" w:hAnsi="宋体"/>
                <w:szCs w:val="21"/>
                <w:lang w:bidi="ar"/>
              </w:rPr>
              <w:t>一个</w:t>
            </w:r>
            <w:r>
              <w:rPr>
                <w:rFonts w:hint="eastAsia" w:ascii="宋体" w:hAnsi="宋体"/>
                <w:szCs w:val="21"/>
                <w:lang w:val="en-US" w:eastAsia="zh-CN" w:bidi="ar"/>
              </w:rPr>
              <w:t>证书</w:t>
            </w:r>
            <w:r>
              <w:rPr>
                <w:rFonts w:hint="eastAsia" w:ascii="宋体" w:hAnsi="宋体"/>
                <w:szCs w:val="21"/>
                <w:lang w:eastAsia="zh-CN" w:bidi="ar"/>
              </w:rPr>
              <w:t>：</w:t>
            </w:r>
            <w:r>
              <w:rPr>
                <w:rFonts w:hint="eastAsia" w:ascii="宋体" w:hAnsi="宋体"/>
                <w:szCs w:val="21"/>
                <w:lang w:bidi="ar"/>
              </w:rPr>
              <w:t>系统架构设计师、系统分析师、软件设计师</w:t>
            </w:r>
            <w:r>
              <w:rPr>
                <w:rFonts w:hint="eastAsia" w:ascii="宋体" w:hAnsi="宋体"/>
                <w:szCs w:val="21"/>
                <w:lang w:eastAsia="zh-CN" w:bidi="ar"/>
              </w:rPr>
              <w:t>，</w:t>
            </w:r>
            <w:r>
              <w:rPr>
                <w:rFonts w:hint="eastAsia" w:ascii="宋体" w:hAnsi="宋体"/>
                <w:szCs w:val="21"/>
                <w:lang w:val="en-US" w:eastAsia="zh-CN" w:bidi="ar"/>
              </w:rPr>
              <w:t>得</w:t>
            </w:r>
            <w:r>
              <w:rPr>
                <w:rFonts w:ascii="宋体" w:hAnsi="宋体"/>
                <w:szCs w:val="21"/>
                <w:lang w:bidi="ar"/>
              </w:rPr>
              <w:t>3</w:t>
            </w:r>
            <w:r>
              <w:rPr>
                <w:rFonts w:hint="eastAsia" w:ascii="宋体" w:hAnsi="宋体"/>
                <w:szCs w:val="21"/>
                <w:lang w:bidi="ar"/>
              </w:rPr>
              <w:t>分，一名成员同时具有多个证书按</w:t>
            </w:r>
            <w:r>
              <w:rPr>
                <w:rFonts w:ascii="宋体" w:hAnsi="宋体"/>
                <w:szCs w:val="21"/>
                <w:lang w:bidi="ar"/>
              </w:rPr>
              <w:t>1</w:t>
            </w:r>
            <w:r>
              <w:rPr>
                <w:rFonts w:hint="eastAsia" w:ascii="宋体" w:hAnsi="宋体"/>
                <w:szCs w:val="21"/>
                <w:lang w:bidi="ar"/>
              </w:rPr>
              <w:t>个证书计算，满分</w:t>
            </w:r>
            <w:r>
              <w:rPr>
                <w:rFonts w:hint="eastAsia" w:ascii="宋体" w:hAnsi="宋体"/>
                <w:szCs w:val="21"/>
                <w:lang w:val="en-US" w:eastAsia="zh-CN" w:bidi="ar"/>
              </w:rPr>
              <w:t>6</w:t>
            </w:r>
            <w:r>
              <w:rPr>
                <w:rFonts w:hint="eastAsia" w:ascii="宋体" w:hAnsi="宋体"/>
                <w:szCs w:val="21"/>
                <w:lang w:bidi="ar"/>
              </w:rPr>
              <w:t>分，不满足不得分。</w:t>
            </w:r>
          </w:p>
          <w:p w14:paraId="799B0BF3">
            <w:pPr>
              <w:rPr>
                <w:rFonts w:hint="eastAsia"/>
                <w:lang w:val="en-US" w:eastAsia="zh-CN" w:bidi="ar"/>
              </w:rPr>
            </w:pPr>
            <w:r>
              <w:rPr>
                <w:rFonts w:hint="eastAsia" w:ascii="宋体" w:hAnsi="宋体" w:eastAsia="宋体" w:cs="宋体"/>
                <w:b/>
                <w:bCs/>
                <w:color w:val="FF0000"/>
                <w:kern w:val="0"/>
                <w:sz w:val="21"/>
                <w:szCs w:val="21"/>
                <w:highlight w:val="none"/>
              </w:rPr>
              <w:t>（二）评分依据：</w:t>
            </w:r>
          </w:p>
          <w:p w14:paraId="577EE404">
            <w:pPr>
              <w:rPr>
                <w:rFonts w:hint="eastAsia"/>
                <w:color w:val="FF0000"/>
                <w:lang w:bidi="ar"/>
              </w:rPr>
            </w:pPr>
            <w:r>
              <w:rPr>
                <w:rFonts w:hint="eastAsia"/>
                <w:lang w:val="en-US" w:eastAsia="zh-CN" w:bidi="ar"/>
              </w:rPr>
              <w:t>1.</w:t>
            </w:r>
            <w:r>
              <w:rPr>
                <w:rFonts w:hint="eastAsia"/>
                <w:lang w:bidi="ar"/>
              </w:rPr>
              <w:t>项目负责人和团队成员的资质证书提供复印件及</w:t>
            </w:r>
            <w:r>
              <w:rPr>
                <w:rFonts w:hint="eastAsia" w:asciiTheme="minorEastAsia" w:hAnsiTheme="minorEastAsia" w:eastAsiaTheme="minorEastAsia" w:cstheme="minorEastAsia"/>
                <w:bCs/>
                <w:color w:val="FF0000"/>
                <w:sz w:val="21"/>
                <w:szCs w:val="21"/>
              </w:rPr>
              <w:t>提供通过投标人缴纳的近一个月的社保证明作为本单位员工的证明依据，如供应商成立不足一个月，提供情况说明函(格式自拟)，无需提供相关人员社保，亦可得分</w:t>
            </w:r>
            <w:r>
              <w:rPr>
                <w:rFonts w:hint="eastAsia"/>
                <w:color w:val="FF0000"/>
                <w:lang w:bidi="ar"/>
              </w:rPr>
              <w:t>；</w:t>
            </w:r>
          </w:p>
          <w:p w14:paraId="0A5914F8">
            <w:pPr>
              <w:rPr>
                <w:rFonts w:hint="eastAsia" w:asciiTheme="minorEastAsia" w:hAnsiTheme="minorEastAsia" w:eastAsiaTheme="minorEastAsia" w:cstheme="minorEastAsia"/>
                <w:bCs/>
                <w:color w:val="FF0000"/>
                <w:sz w:val="21"/>
                <w:szCs w:val="21"/>
                <w:lang w:eastAsia="zh-CN"/>
              </w:rPr>
            </w:pPr>
            <w:r>
              <w:rPr>
                <w:rFonts w:hint="eastAsia"/>
                <w:color w:val="FF0000"/>
                <w:lang w:val="en-US" w:eastAsia="zh-CN" w:bidi="ar"/>
              </w:rPr>
              <w:t>2.</w:t>
            </w:r>
            <w:r>
              <w:rPr>
                <w:rFonts w:hint="eastAsia" w:asciiTheme="minorEastAsia" w:hAnsiTheme="minorEastAsia" w:eastAsiaTheme="minorEastAsia" w:cstheme="minorEastAsia"/>
                <w:bCs/>
                <w:color w:val="FF0000"/>
                <w:sz w:val="21"/>
                <w:szCs w:val="21"/>
              </w:rPr>
              <w:t>若人员证书为协会颁发的，则还需要提供该协会在全国社会组织信用信息公示平台（网址https://xxgs.chinanpo.mca.gov.cn)的查询“正常”页面截图</w:t>
            </w:r>
            <w:r>
              <w:rPr>
                <w:rFonts w:hint="eastAsia" w:asciiTheme="minorEastAsia" w:hAnsiTheme="minorEastAsia" w:eastAsiaTheme="minorEastAsia" w:cstheme="minorEastAsia"/>
                <w:bCs/>
                <w:color w:val="FF0000"/>
                <w:sz w:val="21"/>
                <w:szCs w:val="21"/>
                <w:lang w:eastAsia="zh-CN"/>
              </w:rPr>
              <w:t>。</w:t>
            </w:r>
          </w:p>
          <w:p w14:paraId="41D12723">
            <w:pPr>
              <w:rPr>
                <w:rFonts w:hint="default"/>
                <w:lang w:val="en-US" w:eastAsia="zh-CN"/>
              </w:rPr>
            </w:pPr>
            <w:r>
              <w:rPr>
                <w:rFonts w:hint="eastAsia" w:asciiTheme="minorEastAsia" w:hAnsiTheme="minorEastAsia" w:eastAsiaTheme="minorEastAsia" w:cstheme="minorEastAsia"/>
                <w:bCs/>
                <w:color w:val="FF0000"/>
                <w:sz w:val="21"/>
                <w:szCs w:val="21"/>
                <w:lang w:val="en-US" w:eastAsia="zh-CN"/>
              </w:rPr>
              <w:t>3.上述资料均要求提供扫描件，加盖投标人公章。评分中出现无证明资料或者专家无法凭所提供资料判断是否得分的情况，一律做不得分处理。</w:t>
            </w:r>
          </w:p>
        </w:tc>
      </w:tr>
      <w:tr w14:paraId="4980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9A4AA3F">
            <w:pPr>
              <w:jc w:val="center"/>
              <w:rPr>
                <w:rFonts w:hint="eastAsia"/>
                <w:szCs w:val="21"/>
              </w:rPr>
            </w:pPr>
          </w:p>
        </w:tc>
        <w:tc>
          <w:tcPr>
            <w:tcW w:w="638" w:type="dxa"/>
            <w:vAlign w:val="center"/>
          </w:tcPr>
          <w:p w14:paraId="57BE98B8">
            <w:pPr>
              <w:jc w:val="center"/>
              <w:textAlignment w:val="center"/>
              <w:rPr>
                <w:rFonts w:hint="eastAsia" w:eastAsia="宋体"/>
                <w:szCs w:val="21"/>
                <w:lang w:val="en-US" w:eastAsia="zh-CN"/>
              </w:rPr>
            </w:pPr>
            <w:r>
              <w:rPr>
                <w:rFonts w:hint="eastAsia"/>
                <w:szCs w:val="21"/>
                <w:lang w:val="en-US" w:eastAsia="zh-CN"/>
              </w:rPr>
              <w:t>4</w:t>
            </w:r>
          </w:p>
        </w:tc>
        <w:tc>
          <w:tcPr>
            <w:tcW w:w="1115" w:type="dxa"/>
            <w:vAlign w:val="center"/>
          </w:tcPr>
          <w:p w14:paraId="35BBE350">
            <w:pPr>
              <w:jc w:val="center"/>
              <w:textAlignment w:val="center"/>
              <w:rPr>
                <w:rFonts w:hint="default" w:eastAsia="宋体"/>
                <w:szCs w:val="21"/>
                <w:lang w:val="en-US" w:eastAsia="zh-CN" w:bidi="ar"/>
              </w:rPr>
            </w:pPr>
            <w:r>
              <w:rPr>
                <w:rFonts w:hint="eastAsia"/>
                <w:szCs w:val="21"/>
                <w:lang w:val="en-US" w:eastAsia="zh-CN" w:bidi="ar"/>
              </w:rPr>
              <w:t>诚信评价</w:t>
            </w:r>
          </w:p>
        </w:tc>
        <w:tc>
          <w:tcPr>
            <w:tcW w:w="657" w:type="dxa"/>
            <w:vAlign w:val="center"/>
          </w:tcPr>
          <w:p w14:paraId="5E0DDC32">
            <w:pPr>
              <w:jc w:val="center"/>
              <w:textAlignment w:val="center"/>
              <w:rPr>
                <w:rFonts w:hint="default" w:eastAsia="宋体"/>
                <w:szCs w:val="21"/>
                <w:lang w:val="en-US" w:eastAsia="zh-CN" w:bidi="ar"/>
              </w:rPr>
            </w:pPr>
            <w:r>
              <w:rPr>
                <w:rFonts w:hint="eastAsia"/>
                <w:szCs w:val="21"/>
                <w:lang w:val="en-US" w:eastAsia="zh-CN" w:bidi="ar"/>
              </w:rPr>
              <w:t>5</w:t>
            </w:r>
          </w:p>
        </w:tc>
        <w:tc>
          <w:tcPr>
            <w:tcW w:w="1108" w:type="dxa"/>
            <w:vAlign w:val="center"/>
          </w:tcPr>
          <w:p w14:paraId="1B8D26BA">
            <w:pPr>
              <w:jc w:val="center"/>
              <w:textAlignment w:val="center"/>
              <w:rPr>
                <w:rFonts w:hint="eastAsia"/>
                <w:szCs w:val="21"/>
                <w:lang w:bidi="ar"/>
              </w:rPr>
            </w:pPr>
            <w:r>
              <w:rPr>
                <w:rFonts w:hint="eastAsia" w:ascii="宋体" w:hAnsi="宋体"/>
                <w:szCs w:val="21"/>
                <w:lang w:bidi="ar"/>
              </w:rPr>
              <w:t>专家打分</w:t>
            </w:r>
          </w:p>
        </w:tc>
        <w:tc>
          <w:tcPr>
            <w:tcW w:w="4976" w:type="dxa"/>
          </w:tcPr>
          <w:p w14:paraId="366ECD7B">
            <w:pPr>
              <w:rPr>
                <w:rFonts w:hint="eastAsia" w:asciiTheme="minorEastAsia" w:hAnsiTheme="minorEastAsia" w:eastAsiaTheme="minorEastAsia" w:cstheme="minorEastAsia"/>
                <w:bCs/>
                <w:color w:val="FF0000"/>
                <w:sz w:val="21"/>
                <w:szCs w:val="21"/>
                <w:lang w:val="en-US" w:eastAsia="zh-CN"/>
              </w:rPr>
            </w:pPr>
            <w:r>
              <w:rPr>
                <w:rFonts w:hint="eastAsia" w:ascii="宋体" w:hAnsi="宋体" w:eastAsia="宋体" w:cs="宋体"/>
                <w:sz w:val="21"/>
                <w:szCs w:val="21"/>
                <w:highlight w:val="none"/>
                <w:lang w:val="en-US" w:eastAsia="zh-CN" w:bidi="ar"/>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采购代理机构通过“信用中国”“中国政府采购网”、“深圳市政府采购监管网”以及市、区财政部门认定的其他渠道查询供应商信用信息，投标人无需提供证明材料。)</w:t>
            </w:r>
          </w:p>
        </w:tc>
      </w:tr>
      <w:tr w14:paraId="3FC8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restart"/>
            <w:vAlign w:val="center"/>
          </w:tcPr>
          <w:p w14:paraId="30DA05B3">
            <w:pPr>
              <w:jc w:val="center"/>
              <w:textAlignment w:val="center"/>
              <w:rPr>
                <w:rFonts w:hint="eastAsia"/>
                <w:szCs w:val="21"/>
              </w:rPr>
            </w:pPr>
            <w:r>
              <w:rPr>
                <w:rFonts w:hint="eastAsia"/>
                <w:szCs w:val="21"/>
                <w:lang w:bidi="ar"/>
              </w:rPr>
              <w:t>三</w:t>
            </w:r>
          </w:p>
        </w:tc>
        <w:tc>
          <w:tcPr>
            <w:tcW w:w="3518" w:type="dxa"/>
            <w:gridSpan w:val="4"/>
            <w:vAlign w:val="center"/>
          </w:tcPr>
          <w:p w14:paraId="37196118">
            <w:pPr>
              <w:jc w:val="center"/>
              <w:textAlignment w:val="center"/>
              <w:rPr>
                <w:rFonts w:hint="eastAsia"/>
                <w:b/>
                <w:bCs/>
                <w:szCs w:val="21"/>
              </w:rPr>
            </w:pPr>
            <w:r>
              <w:rPr>
                <w:rFonts w:hint="eastAsia"/>
                <w:b/>
                <w:bCs/>
                <w:szCs w:val="21"/>
                <w:lang w:bidi="ar"/>
              </w:rPr>
              <w:t>技术部分</w:t>
            </w:r>
          </w:p>
        </w:tc>
        <w:tc>
          <w:tcPr>
            <w:tcW w:w="4976" w:type="dxa"/>
          </w:tcPr>
          <w:p w14:paraId="63AEB0FB">
            <w:pPr>
              <w:jc w:val="center"/>
              <w:textAlignment w:val="top"/>
              <w:rPr>
                <w:rFonts w:hint="eastAsia"/>
                <w:b/>
                <w:bCs/>
                <w:szCs w:val="21"/>
              </w:rPr>
            </w:pPr>
            <w:r>
              <w:rPr>
                <w:rFonts w:hint="eastAsia"/>
                <w:b/>
                <w:bCs/>
                <w:szCs w:val="21"/>
                <w:lang w:val="en-US" w:eastAsia="zh-CN" w:bidi="ar"/>
              </w:rPr>
              <w:t>60</w:t>
            </w:r>
          </w:p>
        </w:tc>
      </w:tr>
      <w:tr w14:paraId="2BA3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0783D314">
            <w:pPr>
              <w:jc w:val="center"/>
              <w:rPr>
                <w:rFonts w:hint="eastAsia"/>
                <w:szCs w:val="21"/>
              </w:rPr>
            </w:pPr>
          </w:p>
        </w:tc>
        <w:tc>
          <w:tcPr>
            <w:tcW w:w="638" w:type="dxa"/>
            <w:vAlign w:val="center"/>
          </w:tcPr>
          <w:p w14:paraId="6745553E">
            <w:pPr>
              <w:jc w:val="center"/>
              <w:textAlignment w:val="center"/>
              <w:rPr>
                <w:rFonts w:hint="eastAsia"/>
                <w:szCs w:val="21"/>
              </w:rPr>
            </w:pPr>
            <w:r>
              <w:rPr>
                <w:rFonts w:hint="eastAsia"/>
                <w:szCs w:val="21"/>
                <w:lang w:bidi="ar"/>
              </w:rPr>
              <w:t>序号</w:t>
            </w:r>
          </w:p>
        </w:tc>
        <w:tc>
          <w:tcPr>
            <w:tcW w:w="1115" w:type="dxa"/>
            <w:vAlign w:val="center"/>
          </w:tcPr>
          <w:p w14:paraId="69E42774">
            <w:pPr>
              <w:jc w:val="center"/>
              <w:textAlignment w:val="center"/>
              <w:rPr>
                <w:rFonts w:hint="eastAsia"/>
                <w:szCs w:val="21"/>
              </w:rPr>
            </w:pPr>
            <w:r>
              <w:rPr>
                <w:rFonts w:hint="eastAsia"/>
                <w:szCs w:val="21"/>
                <w:lang w:bidi="ar"/>
              </w:rPr>
              <w:t>评分因素</w:t>
            </w:r>
          </w:p>
        </w:tc>
        <w:tc>
          <w:tcPr>
            <w:tcW w:w="657" w:type="dxa"/>
            <w:vAlign w:val="center"/>
          </w:tcPr>
          <w:p w14:paraId="70CA779C">
            <w:pPr>
              <w:jc w:val="center"/>
              <w:textAlignment w:val="center"/>
              <w:rPr>
                <w:rFonts w:hint="eastAsia"/>
                <w:szCs w:val="21"/>
              </w:rPr>
            </w:pPr>
            <w:r>
              <w:rPr>
                <w:rFonts w:hint="eastAsia"/>
                <w:szCs w:val="21"/>
                <w:lang w:bidi="ar"/>
              </w:rPr>
              <w:t>权重</w:t>
            </w:r>
          </w:p>
        </w:tc>
        <w:tc>
          <w:tcPr>
            <w:tcW w:w="1108" w:type="dxa"/>
            <w:vAlign w:val="center"/>
          </w:tcPr>
          <w:p w14:paraId="225BA026">
            <w:pPr>
              <w:jc w:val="center"/>
              <w:textAlignment w:val="center"/>
              <w:rPr>
                <w:rFonts w:hint="eastAsia"/>
                <w:szCs w:val="21"/>
              </w:rPr>
            </w:pPr>
            <w:r>
              <w:rPr>
                <w:rFonts w:hint="eastAsia"/>
                <w:szCs w:val="21"/>
                <w:lang w:bidi="ar"/>
              </w:rPr>
              <w:t>评分方式</w:t>
            </w:r>
          </w:p>
        </w:tc>
        <w:tc>
          <w:tcPr>
            <w:tcW w:w="4976" w:type="dxa"/>
          </w:tcPr>
          <w:p w14:paraId="301B8AAD">
            <w:pPr>
              <w:jc w:val="center"/>
              <w:textAlignment w:val="top"/>
              <w:rPr>
                <w:rFonts w:hint="eastAsia"/>
                <w:szCs w:val="21"/>
              </w:rPr>
            </w:pPr>
            <w:r>
              <w:rPr>
                <w:rFonts w:hint="eastAsia"/>
                <w:szCs w:val="21"/>
                <w:lang w:bidi="ar"/>
              </w:rPr>
              <w:t>评分准则</w:t>
            </w:r>
          </w:p>
        </w:tc>
      </w:tr>
      <w:tr w14:paraId="5343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495C2288">
            <w:pPr>
              <w:jc w:val="center"/>
              <w:rPr>
                <w:rFonts w:hint="eastAsia"/>
                <w:szCs w:val="21"/>
              </w:rPr>
            </w:pPr>
          </w:p>
        </w:tc>
        <w:tc>
          <w:tcPr>
            <w:tcW w:w="638" w:type="dxa"/>
            <w:vAlign w:val="center"/>
          </w:tcPr>
          <w:p w14:paraId="6EA5A49A">
            <w:pPr>
              <w:jc w:val="center"/>
              <w:textAlignment w:val="center"/>
              <w:rPr>
                <w:rFonts w:hint="eastAsia"/>
                <w:szCs w:val="21"/>
              </w:rPr>
            </w:pPr>
            <w:r>
              <w:rPr>
                <w:rFonts w:hint="eastAsia"/>
                <w:szCs w:val="21"/>
                <w:lang w:bidi="ar"/>
              </w:rPr>
              <w:t>1</w:t>
            </w:r>
          </w:p>
        </w:tc>
        <w:tc>
          <w:tcPr>
            <w:tcW w:w="1115" w:type="dxa"/>
            <w:vAlign w:val="center"/>
          </w:tcPr>
          <w:p w14:paraId="63A8A90B">
            <w:pPr>
              <w:jc w:val="center"/>
              <w:textAlignment w:val="center"/>
              <w:rPr>
                <w:rFonts w:hint="eastAsia"/>
                <w:szCs w:val="21"/>
              </w:rPr>
            </w:pPr>
            <w:r>
              <w:rPr>
                <w:rFonts w:hint="eastAsia"/>
                <w:szCs w:val="21"/>
                <w:lang w:bidi="ar"/>
              </w:rPr>
              <w:t>运维服务内容要求满足度</w:t>
            </w:r>
          </w:p>
        </w:tc>
        <w:tc>
          <w:tcPr>
            <w:tcW w:w="657" w:type="dxa"/>
            <w:vAlign w:val="center"/>
          </w:tcPr>
          <w:p w14:paraId="586A0A00">
            <w:pPr>
              <w:jc w:val="center"/>
              <w:textAlignment w:val="center"/>
              <w:rPr>
                <w:rFonts w:hint="eastAsia"/>
                <w:szCs w:val="21"/>
              </w:rPr>
            </w:pPr>
            <w:r>
              <w:rPr>
                <w:szCs w:val="21"/>
                <w:lang w:bidi="ar"/>
              </w:rPr>
              <w:t>2</w:t>
            </w:r>
            <w:r>
              <w:rPr>
                <w:rFonts w:hint="eastAsia"/>
                <w:szCs w:val="21"/>
                <w:lang w:bidi="ar"/>
              </w:rPr>
              <w:t>0</w:t>
            </w:r>
          </w:p>
        </w:tc>
        <w:tc>
          <w:tcPr>
            <w:tcW w:w="1108" w:type="dxa"/>
            <w:vAlign w:val="center"/>
          </w:tcPr>
          <w:p w14:paraId="770E7744">
            <w:pPr>
              <w:jc w:val="center"/>
              <w:textAlignment w:val="center"/>
              <w:rPr>
                <w:rFonts w:hint="eastAsia"/>
                <w:szCs w:val="21"/>
              </w:rPr>
            </w:pPr>
            <w:r>
              <w:rPr>
                <w:rFonts w:hint="eastAsia"/>
                <w:szCs w:val="21"/>
                <w:lang w:bidi="ar"/>
              </w:rPr>
              <w:t>专家打分</w:t>
            </w:r>
          </w:p>
        </w:tc>
        <w:tc>
          <w:tcPr>
            <w:tcW w:w="4976" w:type="dxa"/>
          </w:tcPr>
          <w:p w14:paraId="56607E64">
            <w:pPr>
              <w:textAlignment w:val="top"/>
              <w:rPr>
                <w:rFonts w:hint="eastAsia"/>
                <w:szCs w:val="21"/>
                <w:lang w:bidi="ar"/>
              </w:rPr>
            </w:pPr>
            <w:r>
              <w:rPr>
                <w:rFonts w:hint="eastAsia" w:asciiTheme="minorEastAsia" w:hAnsiTheme="minorEastAsia" w:eastAsiaTheme="minorEastAsia" w:cstheme="minorEastAsia"/>
                <w:b/>
                <w:color w:val="FF0000"/>
                <w:sz w:val="21"/>
                <w:szCs w:val="21"/>
              </w:rPr>
              <w:t>（一）评分内容：</w:t>
            </w:r>
          </w:p>
          <w:p w14:paraId="010260AC">
            <w:pPr>
              <w:textAlignment w:val="top"/>
              <w:rPr>
                <w:rFonts w:hint="eastAsia"/>
                <w:szCs w:val="21"/>
                <w:lang w:bidi="ar"/>
              </w:rPr>
            </w:pPr>
            <w:r>
              <w:rPr>
                <w:rFonts w:hint="eastAsia" w:ascii="宋体" w:hAnsi="宋体" w:eastAsia="宋体" w:cs="宋体"/>
                <w:color w:val="FF0000"/>
                <w:sz w:val="21"/>
                <w:szCs w:val="21"/>
                <w:highlight w:val="none"/>
                <w:lang w:val="en-US" w:eastAsia="zh-CN"/>
              </w:rPr>
              <w:t>投标人应如是填写《用户需求偏离表》评审专家</w:t>
            </w:r>
            <w:r>
              <w:rPr>
                <w:rFonts w:hint="eastAsia"/>
                <w:szCs w:val="21"/>
                <w:lang w:bidi="ar"/>
              </w:rPr>
              <w:t>根据对</w:t>
            </w:r>
            <w:r>
              <w:rPr>
                <w:rFonts w:hint="eastAsia"/>
                <w:color w:val="00B050"/>
                <w:szCs w:val="21"/>
                <w:lang w:val="en-US" w:eastAsia="zh-CN" w:bidi="ar"/>
              </w:rPr>
              <w:t>投标人对</w:t>
            </w:r>
            <w:r>
              <w:rPr>
                <w:rFonts w:hint="eastAsia"/>
                <w:szCs w:val="21"/>
                <w:lang w:bidi="ar"/>
              </w:rPr>
              <w:t>采购文件运维服务内容的响应程度进行评分：每有一项带“</w:t>
            </w:r>
            <w:bookmarkStart w:id="1" w:name="OLE_LINK2"/>
            <w:r>
              <w:rPr>
                <w:rFonts w:hint="eastAsia"/>
                <w:szCs w:val="21"/>
                <w:lang w:bidi="ar"/>
              </w:rPr>
              <w:t>▲</w:t>
            </w:r>
            <w:bookmarkEnd w:id="1"/>
            <w:r>
              <w:rPr>
                <w:rFonts w:hint="eastAsia"/>
                <w:szCs w:val="21"/>
                <w:lang w:bidi="ar"/>
              </w:rPr>
              <w:t>”项</w:t>
            </w:r>
            <w:bookmarkStart w:id="2" w:name="OLE_LINK29"/>
            <w:r>
              <w:rPr>
                <w:rFonts w:hint="eastAsia"/>
                <w:szCs w:val="21"/>
                <w:lang w:bidi="ar"/>
              </w:rPr>
              <w:t>不满足或者未实质性响应的</w:t>
            </w:r>
            <w:bookmarkEnd w:id="2"/>
            <w:r>
              <w:rPr>
                <w:rFonts w:hint="eastAsia"/>
                <w:szCs w:val="21"/>
                <w:lang w:bidi="ar"/>
              </w:rPr>
              <w:t>，扣</w:t>
            </w:r>
            <w:r>
              <w:rPr>
                <w:szCs w:val="21"/>
                <w:lang w:bidi="ar"/>
              </w:rPr>
              <w:t>3</w:t>
            </w:r>
            <w:r>
              <w:rPr>
                <w:rFonts w:hint="eastAsia"/>
                <w:szCs w:val="21"/>
                <w:lang w:bidi="ar"/>
              </w:rPr>
              <w:t>分，其他每一项不满足或者未实质性响应的扣</w:t>
            </w:r>
            <w:r>
              <w:rPr>
                <w:szCs w:val="21"/>
                <w:lang w:bidi="ar"/>
              </w:rPr>
              <w:t>2</w:t>
            </w:r>
            <w:r>
              <w:rPr>
                <w:rFonts w:hint="eastAsia"/>
                <w:szCs w:val="21"/>
                <w:lang w:bidi="ar"/>
              </w:rPr>
              <w:t>分，扣完为止。</w:t>
            </w:r>
          </w:p>
          <w:p w14:paraId="226EDA00">
            <w:pPr>
              <w:widowControl/>
              <w:spacing w:line="240" w:lineRule="auto"/>
              <w:jc w:val="left"/>
              <w:rPr>
                <w:rFonts w:hint="eastAsia" w:ascii="宋体" w:hAnsi="宋体" w:eastAsia="宋体" w:cs="宋体"/>
                <w:b/>
                <w:bCs/>
                <w:color w:val="FF0000"/>
                <w:kern w:val="0"/>
                <w:sz w:val="21"/>
                <w:szCs w:val="21"/>
                <w:highlight w:val="none"/>
              </w:rPr>
            </w:pPr>
            <w:r>
              <w:rPr>
                <w:rFonts w:hint="eastAsia" w:ascii="宋体" w:hAnsi="宋体" w:eastAsia="宋体" w:cs="宋体"/>
                <w:b/>
                <w:bCs/>
                <w:color w:val="FF0000"/>
                <w:kern w:val="0"/>
                <w:sz w:val="21"/>
                <w:szCs w:val="21"/>
                <w:highlight w:val="none"/>
              </w:rPr>
              <w:t>（二）评分依据：</w:t>
            </w:r>
          </w:p>
          <w:p w14:paraId="550D8894">
            <w:pPr>
              <w:pStyle w:val="7"/>
              <w:spacing w:line="240" w:lineRule="auto"/>
              <w:ind w:firstLine="0"/>
              <w:rPr>
                <w:rFonts w:hint="eastAsia" w:ascii="宋体" w:hAnsi="宋体" w:eastAsia="宋体" w:cs="宋体"/>
                <w:color w:val="00B050"/>
                <w:sz w:val="21"/>
                <w:szCs w:val="21"/>
                <w:highlight w:val="none"/>
              </w:rPr>
            </w:pPr>
            <w:r>
              <w:rPr>
                <w:rFonts w:hint="eastAsia" w:ascii="宋体" w:hAnsi="宋体" w:eastAsia="宋体" w:cs="宋体"/>
                <w:color w:val="FF0000"/>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证明材料不能满足招标要求的，该项按负偏离处理。未提供或未按要求提供或提供的不清晰导致专家无法判断的，不得分</w:t>
            </w:r>
            <w:r>
              <w:rPr>
                <w:rFonts w:hint="eastAsia" w:ascii="宋体" w:hAnsi="宋体" w:eastAsia="宋体" w:cs="宋体"/>
                <w:color w:val="FF0000"/>
                <w:sz w:val="21"/>
                <w:szCs w:val="21"/>
                <w:highlight w:val="none"/>
                <w:lang w:eastAsia="zh-CN"/>
              </w:rPr>
              <w:t>。</w:t>
            </w:r>
          </w:p>
          <w:p w14:paraId="57E7F0B8">
            <w:pPr>
              <w:pStyle w:val="2"/>
              <w:rPr>
                <w:rFonts w:hint="eastAsia"/>
              </w:rPr>
            </w:pPr>
            <w:r>
              <w:rPr>
                <w:rFonts w:hint="eastAsia" w:ascii="宋体" w:hAnsi="宋体" w:eastAsia="宋体" w:cs="宋体"/>
                <w:b/>
                <w:bCs/>
                <w:color w:val="FF0000"/>
                <w:sz w:val="21"/>
                <w:szCs w:val="21"/>
                <w:highlight w:val="none"/>
              </w:rPr>
              <w:t>提示：投标人的</w:t>
            </w:r>
            <w:r>
              <w:rPr>
                <w:rFonts w:hint="eastAsia" w:ascii="宋体" w:hAnsi="宋体" w:eastAsia="宋体" w:cs="宋体"/>
                <w:b/>
                <w:bCs/>
                <w:color w:val="FF0000"/>
                <w:sz w:val="21"/>
                <w:szCs w:val="21"/>
                <w:highlight w:val="none"/>
                <w:lang w:val="en-US" w:eastAsia="zh-CN"/>
              </w:rPr>
              <w:t>“《用户需求偏离表》”</w:t>
            </w:r>
            <w:r>
              <w:rPr>
                <w:rFonts w:hint="eastAsia" w:ascii="宋体" w:hAnsi="宋体" w:eastAsia="宋体" w:cs="宋体"/>
                <w:b/>
                <w:bCs/>
                <w:color w:val="FF0000"/>
                <w:sz w:val="21"/>
                <w:szCs w:val="21"/>
                <w:highlight w:val="none"/>
              </w:rPr>
              <w:t>必须与客观实际保持一致，响应不实且情节严重的，经查实，将依法记入供应商诚信档案或受到行政处罚。</w:t>
            </w:r>
          </w:p>
        </w:tc>
      </w:tr>
      <w:tr w14:paraId="70E4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573E624D">
            <w:pPr>
              <w:jc w:val="center"/>
              <w:rPr>
                <w:rFonts w:hint="eastAsia"/>
                <w:szCs w:val="21"/>
              </w:rPr>
            </w:pPr>
          </w:p>
        </w:tc>
        <w:tc>
          <w:tcPr>
            <w:tcW w:w="638" w:type="dxa"/>
            <w:vAlign w:val="center"/>
          </w:tcPr>
          <w:p w14:paraId="0F4E0E13">
            <w:pPr>
              <w:jc w:val="center"/>
              <w:textAlignment w:val="center"/>
              <w:rPr>
                <w:rFonts w:hint="eastAsia"/>
                <w:szCs w:val="21"/>
              </w:rPr>
            </w:pPr>
            <w:r>
              <w:rPr>
                <w:rFonts w:hint="eastAsia"/>
                <w:szCs w:val="21"/>
                <w:lang w:bidi="ar"/>
              </w:rPr>
              <w:t>2</w:t>
            </w:r>
          </w:p>
        </w:tc>
        <w:tc>
          <w:tcPr>
            <w:tcW w:w="1115" w:type="dxa"/>
            <w:vAlign w:val="center"/>
          </w:tcPr>
          <w:p w14:paraId="407EAA2C">
            <w:pPr>
              <w:jc w:val="center"/>
              <w:textAlignment w:val="center"/>
              <w:rPr>
                <w:rFonts w:hint="eastAsia"/>
                <w:szCs w:val="21"/>
              </w:rPr>
            </w:pPr>
            <w:r>
              <w:rPr>
                <w:rFonts w:hint="eastAsia"/>
                <w:szCs w:val="21"/>
                <w:lang w:bidi="ar"/>
              </w:rPr>
              <w:t>项目实施方案</w:t>
            </w:r>
          </w:p>
        </w:tc>
        <w:tc>
          <w:tcPr>
            <w:tcW w:w="657" w:type="dxa"/>
            <w:vAlign w:val="center"/>
          </w:tcPr>
          <w:p w14:paraId="56532776">
            <w:pPr>
              <w:jc w:val="center"/>
              <w:textAlignment w:val="center"/>
              <w:rPr>
                <w:rFonts w:hint="eastAsia"/>
                <w:szCs w:val="21"/>
              </w:rPr>
            </w:pPr>
            <w:r>
              <w:rPr>
                <w:rFonts w:hint="eastAsia"/>
                <w:szCs w:val="21"/>
                <w:lang w:val="en-US" w:eastAsia="zh-CN" w:bidi="ar"/>
              </w:rPr>
              <w:t>10</w:t>
            </w:r>
          </w:p>
        </w:tc>
        <w:tc>
          <w:tcPr>
            <w:tcW w:w="1108" w:type="dxa"/>
            <w:vAlign w:val="center"/>
          </w:tcPr>
          <w:p w14:paraId="4F1DACAA">
            <w:pPr>
              <w:jc w:val="center"/>
              <w:textAlignment w:val="center"/>
              <w:rPr>
                <w:rFonts w:hint="eastAsia"/>
                <w:szCs w:val="21"/>
              </w:rPr>
            </w:pPr>
            <w:r>
              <w:rPr>
                <w:rFonts w:hint="eastAsia"/>
                <w:szCs w:val="21"/>
                <w:lang w:bidi="ar"/>
              </w:rPr>
              <w:t>专家打分</w:t>
            </w:r>
          </w:p>
        </w:tc>
        <w:tc>
          <w:tcPr>
            <w:tcW w:w="4976" w:type="dxa"/>
          </w:tcPr>
          <w:p w14:paraId="1CEB3542">
            <w:pPr>
              <w:textAlignment w:val="top"/>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（一）评分内容：</w:t>
            </w:r>
          </w:p>
          <w:p w14:paraId="4075C495">
            <w:pPr>
              <w:textAlignment w:val="top"/>
              <w:rPr>
                <w:rFonts w:hint="eastAsia"/>
                <w:szCs w:val="21"/>
                <w:lang w:bidi="ar"/>
              </w:rPr>
            </w:pPr>
            <w:r>
              <w:rPr>
                <w:rFonts w:hint="eastAsia"/>
                <w:szCs w:val="21"/>
                <w:lang w:bidi="ar"/>
              </w:rPr>
              <w:t>根据投标人提供的项目实施方案（应包括但不限于①组织实施和项目管理承诺、②实施管理框架及内容体系、③项目范围管理、④项目整体管理、⑤项目变更管理、⑥项目组织管理、⑦项目进度管理、⑧项目风险管理、⑨质量安全管理）进行综合评审：</w:t>
            </w:r>
          </w:p>
          <w:p w14:paraId="6407D043">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
                <w:color w:val="FF0000"/>
                <w:sz w:val="21"/>
                <w:szCs w:val="21"/>
              </w:rPr>
              <w:t>（二）评分依据：</w:t>
            </w:r>
            <w:r>
              <w:rPr>
                <w:rFonts w:hint="eastAsia" w:asciiTheme="minorEastAsia" w:hAnsiTheme="minorEastAsia" w:eastAsiaTheme="minorEastAsia" w:cstheme="minorEastAsia"/>
                <w:b w:val="0"/>
                <w:bCs/>
                <w:color w:val="FF0000"/>
                <w:sz w:val="21"/>
                <w:szCs w:val="21"/>
                <w:lang w:val="en-US" w:eastAsia="zh-CN"/>
              </w:rPr>
              <w:t>每</w:t>
            </w:r>
            <w:r>
              <w:rPr>
                <w:rFonts w:hint="eastAsia" w:asciiTheme="minorEastAsia" w:hAnsiTheme="minorEastAsia" w:eastAsiaTheme="minorEastAsia" w:cstheme="minorEastAsia"/>
                <w:bCs/>
                <w:color w:val="FF0000"/>
                <w:sz w:val="21"/>
                <w:szCs w:val="21"/>
              </w:rPr>
              <w:t>满足</w:t>
            </w:r>
            <w:r>
              <w:rPr>
                <w:rFonts w:hint="eastAsia" w:asciiTheme="minorEastAsia" w:hAnsiTheme="minorEastAsia" w:eastAsiaTheme="minorEastAsia" w:cstheme="minorEastAsia"/>
                <w:bCs/>
                <w:color w:val="FF0000"/>
                <w:sz w:val="21"/>
                <w:szCs w:val="21"/>
                <w:lang w:val="en-US" w:eastAsia="zh-CN"/>
              </w:rPr>
              <w:t>一</w:t>
            </w:r>
            <w:r>
              <w:rPr>
                <w:rFonts w:hint="eastAsia" w:asciiTheme="minorEastAsia" w:hAnsiTheme="minorEastAsia" w:eastAsiaTheme="minorEastAsia" w:cstheme="minorEastAsia"/>
                <w:bCs/>
                <w:color w:val="FF0000"/>
                <w:sz w:val="21"/>
                <w:szCs w:val="21"/>
              </w:rPr>
              <w:t>点得</w:t>
            </w:r>
            <w:r>
              <w:rPr>
                <w:rFonts w:hint="eastAsia" w:asciiTheme="minorEastAsia" w:hAnsiTheme="minorEastAsia" w:eastAsiaTheme="minorEastAsia" w:cstheme="minorEastAsia"/>
                <w:bCs/>
                <w:color w:val="FF0000"/>
                <w:sz w:val="21"/>
                <w:szCs w:val="21"/>
                <w:lang w:val="en-US" w:eastAsia="zh-CN"/>
              </w:rPr>
              <w:t>0.6</w:t>
            </w:r>
            <w:r>
              <w:rPr>
                <w:rFonts w:hint="eastAsia" w:asciiTheme="minorEastAsia" w:hAnsiTheme="minorEastAsia" w:eastAsiaTheme="minorEastAsia" w:cstheme="minorEastAsia"/>
                <w:bCs/>
                <w:color w:val="FF0000"/>
                <w:sz w:val="21"/>
                <w:szCs w:val="21"/>
              </w:rPr>
              <w:t>分，</w:t>
            </w:r>
            <w:r>
              <w:rPr>
                <w:rFonts w:hint="eastAsia" w:asciiTheme="minorEastAsia" w:hAnsiTheme="minorEastAsia" w:eastAsiaTheme="minorEastAsia" w:cstheme="minorEastAsia"/>
                <w:bCs/>
                <w:color w:val="FF0000"/>
                <w:sz w:val="21"/>
                <w:szCs w:val="21"/>
                <w:lang w:val="en-US" w:eastAsia="zh-CN"/>
              </w:rPr>
              <w:t>最高</w:t>
            </w:r>
            <w:r>
              <w:rPr>
                <w:rFonts w:hint="eastAsia" w:asciiTheme="minorEastAsia" w:hAnsiTheme="minorEastAsia" w:eastAsiaTheme="minorEastAsia" w:cstheme="minorEastAsia"/>
                <w:bCs/>
                <w:color w:val="FF0000"/>
                <w:sz w:val="21"/>
                <w:szCs w:val="21"/>
              </w:rPr>
              <w:t>得</w:t>
            </w:r>
            <w:r>
              <w:rPr>
                <w:rFonts w:hint="eastAsia" w:asciiTheme="minorEastAsia" w:hAnsiTheme="minorEastAsia" w:eastAsiaTheme="minorEastAsia" w:cstheme="minorEastAsia"/>
                <w:bCs/>
                <w:color w:val="FF0000"/>
                <w:sz w:val="21"/>
                <w:szCs w:val="21"/>
                <w:lang w:val="en-US" w:eastAsia="zh-CN"/>
              </w:rPr>
              <w:t>5.4</w:t>
            </w:r>
            <w:r>
              <w:rPr>
                <w:rFonts w:hint="eastAsia" w:asciiTheme="minorEastAsia" w:hAnsiTheme="minorEastAsia" w:eastAsiaTheme="minorEastAsia" w:cstheme="minorEastAsia"/>
                <w:bCs/>
                <w:color w:val="FF0000"/>
                <w:sz w:val="21"/>
                <w:szCs w:val="21"/>
              </w:rPr>
              <w:t>分，在此基础上，根据供应商的具体响应内容按照量化的评审因素指标进一步评审：</w:t>
            </w:r>
          </w:p>
          <w:p w14:paraId="6087AE68">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1.方案整体科学合理、针对性强、可操作性强，评审为优的，加</w:t>
            </w:r>
            <w:r>
              <w:rPr>
                <w:rFonts w:hint="eastAsia" w:asciiTheme="minorEastAsia" w:hAnsiTheme="minorEastAsia" w:eastAsiaTheme="minorEastAsia" w:cstheme="minorEastAsia"/>
                <w:bCs/>
                <w:color w:val="FF0000"/>
                <w:sz w:val="21"/>
                <w:szCs w:val="21"/>
                <w:lang w:val="en-US" w:eastAsia="zh-CN"/>
              </w:rPr>
              <w:t>4.6</w:t>
            </w:r>
            <w:r>
              <w:rPr>
                <w:rFonts w:hint="eastAsia" w:asciiTheme="minorEastAsia" w:hAnsiTheme="minorEastAsia" w:eastAsiaTheme="minorEastAsia" w:cstheme="minorEastAsia"/>
                <w:bCs/>
                <w:color w:val="FF0000"/>
                <w:sz w:val="21"/>
                <w:szCs w:val="21"/>
              </w:rPr>
              <w:t>分；</w:t>
            </w:r>
          </w:p>
          <w:p w14:paraId="60DBD9E5">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2.方案较合理、有一定针对性、一定可操作性，评审为良的，加</w:t>
            </w:r>
            <w:r>
              <w:rPr>
                <w:rFonts w:hint="eastAsia" w:asciiTheme="minorEastAsia" w:hAnsiTheme="minorEastAsia" w:eastAsiaTheme="minorEastAsia" w:cstheme="minorEastAsia"/>
                <w:bCs/>
                <w:color w:val="FF0000"/>
                <w:sz w:val="21"/>
                <w:szCs w:val="21"/>
                <w:lang w:val="en-US" w:eastAsia="zh-CN"/>
              </w:rPr>
              <w:t>2</w:t>
            </w:r>
            <w:r>
              <w:rPr>
                <w:rFonts w:hint="eastAsia" w:asciiTheme="minorEastAsia" w:hAnsiTheme="minorEastAsia" w:eastAsiaTheme="minorEastAsia" w:cstheme="minorEastAsia"/>
                <w:bCs/>
                <w:color w:val="FF0000"/>
                <w:sz w:val="21"/>
                <w:szCs w:val="21"/>
              </w:rPr>
              <w:t>分；</w:t>
            </w:r>
          </w:p>
          <w:p w14:paraId="2B72317D">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3.方案不尽合理、针对性一般、可操作性一般，评审为中的，加</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分；</w:t>
            </w:r>
          </w:p>
          <w:p w14:paraId="704DB9FA">
            <w:pPr>
              <w:textAlignment w:val="top"/>
              <w:rPr>
                <w:rFonts w:hint="eastAsia"/>
                <w:szCs w:val="21"/>
              </w:rPr>
            </w:pPr>
            <w:r>
              <w:rPr>
                <w:rFonts w:hint="eastAsia" w:asciiTheme="minorEastAsia" w:hAnsiTheme="minorEastAsia" w:eastAsiaTheme="minorEastAsia" w:cstheme="minorEastAsia"/>
                <w:bCs/>
                <w:color w:val="FF0000"/>
                <w:sz w:val="21"/>
                <w:szCs w:val="21"/>
              </w:rPr>
              <w:t>4.方案不合理、无针对性、无可操作性，评审为差的，加0分。</w:t>
            </w:r>
          </w:p>
        </w:tc>
      </w:tr>
      <w:tr w14:paraId="6A8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0E3564B0">
            <w:pPr>
              <w:jc w:val="center"/>
              <w:rPr>
                <w:rFonts w:hint="eastAsia"/>
                <w:szCs w:val="21"/>
              </w:rPr>
            </w:pPr>
          </w:p>
        </w:tc>
        <w:tc>
          <w:tcPr>
            <w:tcW w:w="638" w:type="dxa"/>
            <w:vAlign w:val="center"/>
          </w:tcPr>
          <w:p w14:paraId="31646F82">
            <w:pPr>
              <w:jc w:val="center"/>
              <w:textAlignment w:val="center"/>
              <w:rPr>
                <w:rFonts w:hint="eastAsia"/>
                <w:szCs w:val="21"/>
              </w:rPr>
            </w:pPr>
            <w:r>
              <w:rPr>
                <w:rFonts w:hint="eastAsia"/>
                <w:szCs w:val="21"/>
                <w:lang w:bidi="ar"/>
              </w:rPr>
              <w:t>3</w:t>
            </w:r>
          </w:p>
        </w:tc>
        <w:tc>
          <w:tcPr>
            <w:tcW w:w="1115" w:type="dxa"/>
            <w:vAlign w:val="center"/>
          </w:tcPr>
          <w:p w14:paraId="75169136">
            <w:pPr>
              <w:jc w:val="center"/>
              <w:textAlignment w:val="center"/>
              <w:rPr>
                <w:rFonts w:hint="eastAsia"/>
                <w:szCs w:val="21"/>
              </w:rPr>
            </w:pPr>
            <w:r>
              <w:rPr>
                <w:rFonts w:hint="eastAsia"/>
                <w:szCs w:val="21"/>
              </w:rPr>
              <w:t>售后运维服务方案</w:t>
            </w:r>
          </w:p>
        </w:tc>
        <w:tc>
          <w:tcPr>
            <w:tcW w:w="657" w:type="dxa"/>
            <w:vAlign w:val="center"/>
          </w:tcPr>
          <w:p w14:paraId="7DCDAD4A">
            <w:pPr>
              <w:jc w:val="center"/>
              <w:textAlignment w:val="center"/>
              <w:rPr>
                <w:rFonts w:hint="eastAsia"/>
                <w:szCs w:val="21"/>
              </w:rPr>
            </w:pPr>
            <w:r>
              <w:rPr>
                <w:szCs w:val="21"/>
                <w:lang w:bidi="ar"/>
              </w:rPr>
              <w:t>15</w:t>
            </w:r>
          </w:p>
        </w:tc>
        <w:tc>
          <w:tcPr>
            <w:tcW w:w="1108" w:type="dxa"/>
            <w:vAlign w:val="center"/>
          </w:tcPr>
          <w:p w14:paraId="567DE6A5">
            <w:pPr>
              <w:jc w:val="center"/>
              <w:textAlignment w:val="center"/>
              <w:rPr>
                <w:rFonts w:hint="eastAsia"/>
                <w:szCs w:val="21"/>
              </w:rPr>
            </w:pPr>
            <w:r>
              <w:rPr>
                <w:rFonts w:hint="eastAsia"/>
                <w:szCs w:val="21"/>
                <w:lang w:bidi="ar"/>
              </w:rPr>
              <w:t>专家打分</w:t>
            </w:r>
          </w:p>
        </w:tc>
        <w:tc>
          <w:tcPr>
            <w:tcW w:w="4976" w:type="dxa"/>
            <w:vAlign w:val="center"/>
          </w:tcPr>
          <w:p w14:paraId="12DFB96F">
            <w:pPr>
              <w:textAlignment w:val="auto"/>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（一）评分内容：</w:t>
            </w:r>
          </w:p>
          <w:p w14:paraId="1BF06735">
            <w:pPr>
              <w:textAlignment w:val="auto"/>
              <w:rPr>
                <w:rFonts w:hint="eastAsia"/>
                <w:szCs w:val="21"/>
                <w:lang w:bidi="ar"/>
              </w:rPr>
            </w:pPr>
            <w:r>
              <w:rPr>
                <w:rFonts w:hint="eastAsia"/>
                <w:szCs w:val="21"/>
                <w:lang w:bidi="ar"/>
              </w:rPr>
              <w:t>根据投标人提供的售后运维服务方案（应包括但不限于</w:t>
            </w:r>
            <w:bookmarkStart w:id="3" w:name="OLE_LINK75"/>
            <w:r>
              <w:rPr>
                <w:rFonts w:hint="eastAsia"/>
                <w:szCs w:val="21"/>
                <w:lang w:bidi="ar"/>
              </w:rPr>
              <w:t>①售后服务承诺、②服务体系框架搭建、③服务方式、④服务内容及范围、⑤运维服务保障、⑥技术服务手段</w:t>
            </w:r>
            <w:bookmarkEnd w:id="3"/>
            <w:r>
              <w:rPr>
                <w:rFonts w:hint="eastAsia"/>
                <w:szCs w:val="21"/>
                <w:lang w:bidi="ar"/>
              </w:rPr>
              <w:t>）进行综合评审：</w:t>
            </w:r>
          </w:p>
          <w:p w14:paraId="2CACCE1A">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
                <w:color w:val="FF0000"/>
                <w:sz w:val="21"/>
                <w:szCs w:val="21"/>
              </w:rPr>
              <w:t>（二）评分依据：</w:t>
            </w:r>
            <w:r>
              <w:rPr>
                <w:rFonts w:hint="eastAsia" w:asciiTheme="minorEastAsia" w:hAnsiTheme="minorEastAsia" w:eastAsiaTheme="minorEastAsia" w:cstheme="minorEastAsia"/>
                <w:b w:val="0"/>
                <w:bCs/>
                <w:color w:val="FF0000"/>
                <w:sz w:val="21"/>
                <w:szCs w:val="21"/>
                <w:lang w:val="en-US" w:eastAsia="zh-CN"/>
              </w:rPr>
              <w:t>每</w:t>
            </w:r>
            <w:r>
              <w:rPr>
                <w:rFonts w:hint="eastAsia" w:asciiTheme="minorEastAsia" w:hAnsiTheme="minorEastAsia" w:eastAsiaTheme="minorEastAsia" w:cstheme="minorEastAsia"/>
                <w:bCs/>
                <w:color w:val="FF0000"/>
                <w:sz w:val="21"/>
                <w:szCs w:val="21"/>
              </w:rPr>
              <w:t>满足</w:t>
            </w:r>
            <w:r>
              <w:rPr>
                <w:rFonts w:hint="eastAsia" w:asciiTheme="minorEastAsia" w:hAnsiTheme="minorEastAsia" w:eastAsiaTheme="minorEastAsia" w:cstheme="minorEastAsia"/>
                <w:bCs/>
                <w:color w:val="FF0000"/>
                <w:sz w:val="21"/>
                <w:szCs w:val="21"/>
                <w:lang w:val="en-US" w:eastAsia="zh-CN"/>
              </w:rPr>
              <w:t>一</w:t>
            </w:r>
            <w:r>
              <w:rPr>
                <w:rFonts w:hint="eastAsia" w:asciiTheme="minorEastAsia" w:hAnsiTheme="minorEastAsia" w:eastAsiaTheme="minorEastAsia" w:cstheme="minorEastAsia"/>
                <w:bCs/>
                <w:color w:val="FF0000"/>
                <w:sz w:val="21"/>
                <w:szCs w:val="21"/>
              </w:rPr>
              <w:t>点得</w:t>
            </w:r>
            <w:r>
              <w:rPr>
                <w:rFonts w:hint="eastAsia" w:asciiTheme="minorEastAsia" w:hAnsiTheme="minorEastAsia" w:eastAsiaTheme="minorEastAsia" w:cstheme="minorEastAsia"/>
                <w:bCs/>
                <w:color w:val="FF0000"/>
                <w:sz w:val="21"/>
                <w:szCs w:val="21"/>
                <w:lang w:val="en-US" w:eastAsia="zh-CN"/>
              </w:rPr>
              <w:t>1.5</w:t>
            </w:r>
            <w:r>
              <w:rPr>
                <w:rFonts w:hint="eastAsia" w:asciiTheme="minorEastAsia" w:hAnsiTheme="minorEastAsia" w:eastAsiaTheme="minorEastAsia" w:cstheme="minorEastAsia"/>
                <w:bCs/>
                <w:color w:val="FF0000"/>
                <w:sz w:val="21"/>
                <w:szCs w:val="21"/>
              </w:rPr>
              <w:t>分，</w:t>
            </w:r>
            <w:r>
              <w:rPr>
                <w:rFonts w:hint="eastAsia" w:asciiTheme="minorEastAsia" w:hAnsiTheme="minorEastAsia" w:eastAsiaTheme="minorEastAsia" w:cstheme="minorEastAsia"/>
                <w:bCs/>
                <w:color w:val="FF0000"/>
                <w:sz w:val="21"/>
                <w:szCs w:val="21"/>
                <w:lang w:val="en-US" w:eastAsia="zh-CN"/>
              </w:rPr>
              <w:t>最高</w:t>
            </w:r>
            <w:r>
              <w:rPr>
                <w:rFonts w:hint="eastAsia" w:asciiTheme="minorEastAsia" w:hAnsiTheme="minorEastAsia" w:eastAsiaTheme="minorEastAsia" w:cstheme="minorEastAsia"/>
                <w:bCs/>
                <w:color w:val="FF0000"/>
                <w:sz w:val="21"/>
                <w:szCs w:val="21"/>
              </w:rPr>
              <w:t>得</w:t>
            </w:r>
            <w:r>
              <w:rPr>
                <w:rFonts w:hint="eastAsia" w:asciiTheme="minorEastAsia" w:hAnsiTheme="minorEastAsia" w:eastAsiaTheme="minorEastAsia" w:cstheme="minorEastAsia"/>
                <w:bCs/>
                <w:color w:val="FF0000"/>
                <w:sz w:val="21"/>
                <w:szCs w:val="21"/>
                <w:lang w:val="en-US" w:eastAsia="zh-CN"/>
              </w:rPr>
              <w:t>9</w:t>
            </w:r>
            <w:r>
              <w:rPr>
                <w:rFonts w:hint="eastAsia" w:asciiTheme="minorEastAsia" w:hAnsiTheme="minorEastAsia" w:eastAsiaTheme="minorEastAsia" w:cstheme="minorEastAsia"/>
                <w:bCs/>
                <w:color w:val="FF0000"/>
                <w:sz w:val="21"/>
                <w:szCs w:val="21"/>
              </w:rPr>
              <w:t>分，在此基础上，根据供应商的具体响应内容按照量化的评审因素指标进一步评审：</w:t>
            </w:r>
          </w:p>
          <w:p w14:paraId="2D035C4A">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1.方案整体科学合理、针对性强、可操作性强，评审为优的，加</w:t>
            </w:r>
            <w:r>
              <w:rPr>
                <w:rFonts w:hint="eastAsia" w:asciiTheme="minorEastAsia" w:hAnsiTheme="minorEastAsia" w:eastAsiaTheme="minorEastAsia" w:cstheme="minorEastAsia"/>
                <w:bCs/>
                <w:color w:val="FF0000"/>
                <w:sz w:val="21"/>
                <w:szCs w:val="21"/>
                <w:lang w:val="en-US" w:eastAsia="zh-CN"/>
              </w:rPr>
              <w:t>6</w:t>
            </w:r>
            <w:r>
              <w:rPr>
                <w:rFonts w:hint="eastAsia" w:asciiTheme="minorEastAsia" w:hAnsiTheme="minorEastAsia" w:eastAsiaTheme="minorEastAsia" w:cstheme="minorEastAsia"/>
                <w:bCs/>
                <w:color w:val="FF0000"/>
                <w:sz w:val="21"/>
                <w:szCs w:val="21"/>
              </w:rPr>
              <w:t>分；</w:t>
            </w:r>
          </w:p>
          <w:p w14:paraId="28D18411">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2.方案较合理、有一定针对性、一定可操作性，评审为良的，加</w:t>
            </w:r>
            <w:r>
              <w:rPr>
                <w:rFonts w:hint="eastAsia" w:asciiTheme="minorEastAsia" w:hAnsiTheme="minorEastAsia" w:eastAsiaTheme="minorEastAsia" w:cstheme="minorEastAsia"/>
                <w:bCs/>
                <w:color w:val="FF0000"/>
                <w:sz w:val="21"/>
                <w:szCs w:val="21"/>
                <w:lang w:val="en-US" w:eastAsia="zh-CN"/>
              </w:rPr>
              <w:t>3</w:t>
            </w:r>
            <w:r>
              <w:rPr>
                <w:rFonts w:hint="eastAsia" w:asciiTheme="minorEastAsia" w:hAnsiTheme="minorEastAsia" w:eastAsiaTheme="minorEastAsia" w:cstheme="minorEastAsia"/>
                <w:bCs/>
                <w:color w:val="FF0000"/>
                <w:sz w:val="21"/>
                <w:szCs w:val="21"/>
              </w:rPr>
              <w:t>分；</w:t>
            </w:r>
          </w:p>
          <w:p w14:paraId="5CD3E6CD">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3.方案不尽合理、针对性一般、可操作性一般，评审为中的，加</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分；</w:t>
            </w:r>
          </w:p>
          <w:p w14:paraId="29FF43DD">
            <w:pPr>
              <w:textAlignment w:val="auto"/>
              <w:rPr>
                <w:rFonts w:hint="eastAsia"/>
                <w:szCs w:val="21"/>
              </w:rPr>
            </w:pPr>
            <w:r>
              <w:rPr>
                <w:rFonts w:hint="eastAsia" w:asciiTheme="minorEastAsia" w:hAnsiTheme="minorEastAsia" w:eastAsiaTheme="minorEastAsia" w:cstheme="minorEastAsia"/>
                <w:bCs/>
                <w:color w:val="FF0000"/>
                <w:sz w:val="21"/>
                <w:szCs w:val="21"/>
              </w:rPr>
              <w:t>4.方案不合理、无针对性、无可操作性，评审为差的，加0分。</w:t>
            </w:r>
          </w:p>
        </w:tc>
      </w:tr>
      <w:tr w14:paraId="07FD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08F33B36">
            <w:pPr>
              <w:rPr>
                <w:rFonts w:hint="eastAsia"/>
                <w:szCs w:val="21"/>
              </w:rPr>
            </w:pPr>
          </w:p>
        </w:tc>
        <w:tc>
          <w:tcPr>
            <w:tcW w:w="638" w:type="dxa"/>
            <w:vAlign w:val="center"/>
          </w:tcPr>
          <w:p w14:paraId="763330B9">
            <w:pPr>
              <w:jc w:val="center"/>
              <w:textAlignment w:val="center"/>
              <w:rPr>
                <w:rFonts w:hint="eastAsia"/>
                <w:szCs w:val="21"/>
              </w:rPr>
            </w:pPr>
            <w:r>
              <w:rPr>
                <w:rFonts w:hint="eastAsia"/>
                <w:szCs w:val="21"/>
                <w:lang w:bidi="ar"/>
              </w:rPr>
              <w:t>4</w:t>
            </w:r>
          </w:p>
        </w:tc>
        <w:tc>
          <w:tcPr>
            <w:tcW w:w="1115" w:type="dxa"/>
            <w:vAlign w:val="center"/>
          </w:tcPr>
          <w:p w14:paraId="24E12C8F">
            <w:pPr>
              <w:jc w:val="center"/>
              <w:textAlignment w:val="center"/>
              <w:rPr>
                <w:rFonts w:hint="eastAsia"/>
                <w:szCs w:val="21"/>
              </w:rPr>
            </w:pPr>
            <w:r>
              <w:rPr>
                <w:rFonts w:hint="eastAsia"/>
                <w:szCs w:val="21"/>
              </w:rPr>
              <w:t>培训方案</w:t>
            </w:r>
          </w:p>
        </w:tc>
        <w:tc>
          <w:tcPr>
            <w:tcW w:w="657" w:type="dxa"/>
            <w:vAlign w:val="center"/>
          </w:tcPr>
          <w:p w14:paraId="6D772D75">
            <w:pPr>
              <w:jc w:val="center"/>
              <w:textAlignment w:val="center"/>
              <w:rPr>
                <w:rFonts w:hint="eastAsia"/>
                <w:szCs w:val="21"/>
              </w:rPr>
            </w:pPr>
            <w:r>
              <w:rPr>
                <w:szCs w:val="21"/>
                <w:lang w:bidi="ar"/>
              </w:rPr>
              <w:t>1</w:t>
            </w:r>
            <w:r>
              <w:rPr>
                <w:rFonts w:hint="eastAsia"/>
                <w:szCs w:val="21"/>
                <w:lang w:val="en-US" w:eastAsia="zh-CN" w:bidi="ar"/>
              </w:rPr>
              <w:t>5</w:t>
            </w:r>
          </w:p>
        </w:tc>
        <w:tc>
          <w:tcPr>
            <w:tcW w:w="1108" w:type="dxa"/>
            <w:vAlign w:val="center"/>
          </w:tcPr>
          <w:p w14:paraId="1017D499">
            <w:pPr>
              <w:jc w:val="center"/>
              <w:textAlignment w:val="center"/>
              <w:rPr>
                <w:rFonts w:hint="eastAsia"/>
                <w:szCs w:val="21"/>
              </w:rPr>
            </w:pPr>
            <w:r>
              <w:rPr>
                <w:rFonts w:hint="eastAsia"/>
                <w:szCs w:val="21"/>
                <w:lang w:bidi="ar"/>
              </w:rPr>
              <w:t>专家打分</w:t>
            </w:r>
          </w:p>
        </w:tc>
        <w:tc>
          <w:tcPr>
            <w:tcW w:w="4976" w:type="dxa"/>
          </w:tcPr>
          <w:p w14:paraId="58C09086">
            <w:pPr>
              <w:textAlignment w:val="auto"/>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（一）评分内容：</w:t>
            </w:r>
          </w:p>
          <w:p w14:paraId="7D43A50E">
            <w:pPr>
              <w:textAlignment w:val="top"/>
              <w:rPr>
                <w:rFonts w:hint="eastAsia"/>
                <w:szCs w:val="21"/>
                <w:lang w:bidi="ar"/>
              </w:rPr>
            </w:pPr>
            <w:r>
              <w:rPr>
                <w:rFonts w:hint="eastAsia"/>
                <w:szCs w:val="21"/>
                <w:lang w:bidi="ar"/>
              </w:rPr>
              <w:t>根据投标人提供的培训方案（应包括但不限于</w:t>
            </w:r>
            <w:bookmarkStart w:id="4" w:name="OLE_LINK74"/>
            <w:r>
              <w:rPr>
                <w:rFonts w:hint="eastAsia"/>
                <w:szCs w:val="21"/>
                <w:lang w:bidi="ar"/>
              </w:rPr>
              <w:t>①培训承诺、②培训体系、③培训计划、④培训内容、⑤培训组织机构、⑥培训质量保障</w:t>
            </w:r>
            <w:bookmarkEnd w:id="4"/>
            <w:r>
              <w:rPr>
                <w:rFonts w:hint="eastAsia"/>
                <w:szCs w:val="21"/>
                <w:lang w:bidi="ar"/>
              </w:rPr>
              <w:t>）进行综合评审：</w:t>
            </w:r>
          </w:p>
          <w:p w14:paraId="3F668950">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
                <w:color w:val="FF0000"/>
                <w:sz w:val="21"/>
                <w:szCs w:val="21"/>
              </w:rPr>
              <w:t>（二）评分依据：</w:t>
            </w:r>
            <w:r>
              <w:rPr>
                <w:rFonts w:hint="eastAsia" w:asciiTheme="minorEastAsia" w:hAnsiTheme="minorEastAsia" w:eastAsiaTheme="minorEastAsia" w:cstheme="minorEastAsia"/>
                <w:b w:val="0"/>
                <w:bCs/>
                <w:color w:val="FF0000"/>
                <w:sz w:val="21"/>
                <w:szCs w:val="21"/>
                <w:lang w:val="en-US" w:eastAsia="zh-CN"/>
              </w:rPr>
              <w:t>每</w:t>
            </w:r>
            <w:r>
              <w:rPr>
                <w:rFonts w:hint="eastAsia" w:asciiTheme="minorEastAsia" w:hAnsiTheme="minorEastAsia" w:eastAsiaTheme="minorEastAsia" w:cstheme="minorEastAsia"/>
                <w:bCs/>
                <w:color w:val="FF0000"/>
                <w:sz w:val="21"/>
                <w:szCs w:val="21"/>
              </w:rPr>
              <w:t>满足</w:t>
            </w:r>
            <w:r>
              <w:rPr>
                <w:rFonts w:hint="eastAsia" w:asciiTheme="minorEastAsia" w:hAnsiTheme="minorEastAsia" w:eastAsiaTheme="minorEastAsia" w:cstheme="minorEastAsia"/>
                <w:bCs/>
                <w:color w:val="FF0000"/>
                <w:sz w:val="21"/>
                <w:szCs w:val="21"/>
                <w:lang w:val="en-US" w:eastAsia="zh-CN"/>
              </w:rPr>
              <w:t>一</w:t>
            </w:r>
            <w:r>
              <w:rPr>
                <w:rFonts w:hint="eastAsia" w:asciiTheme="minorEastAsia" w:hAnsiTheme="minorEastAsia" w:eastAsiaTheme="minorEastAsia" w:cstheme="minorEastAsia"/>
                <w:bCs/>
                <w:color w:val="FF0000"/>
                <w:sz w:val="21"/>
                <w:szCs w:val="21"/>
              </w:rPr>
              <w:t>点得</w:t>
            </w:r>
            <w:r>
              <w:rPr>
                <w:rFonts w:hint="eastAsia" w:asciiTheme="minorEastAsia" w:hAnsiTheme="minorEastAsia" w:eastAsiaTheme="minorEastAsia" w:cstheme="minorEastAsia"/>
                <w:bCs/>
                <w:color w:val="FF0000"/>
                <w:sz w:val="21"/>
                <w:szCs w:val="21"/>
                <w:lang w:val="en-US" w:eastAsia="zh-CN"/>
              </w:rPr>
              <w:t>1.5</w:t>
            </w:r>
            <w:r>
              <w:rPr>
                <w:rFonts w:hint="eastAsia" w:asciiTheme="minorEastAsia" w:hAnsiTheme="minorEastAsia" w:eastAsiaTheme="minorEastAsia" w:cstheme="minorEastAsia"/>
                <w:bCs/>
                <w:color w:val="FF0000"/>
                <w:sz w:val="21"/>
                <w:szCs w:val="21"/>
              </w:rPr>
              <w:t>分，</w:t>
            </w:r>
            <w:r>
              <w:rPr>
                <w:rFonts w:hint="eastAsia" w:asciiTheme="minorEastAsia" w:hAnsiTheme="minorEastAsia" w:eastAsiaTheme="minorEastAsia" w:cstheme="minorEastAsia"/>
                <w:bCs/>
                <w:color w:val="FF0000"/>
                <w:sz w:val="21"/>
                <w:szCs w:val="21"/>
                <w:lang w:val="en-US" w:eastAsia="zh-CN"/>
              </w:rPr>
              <w:t>最高</w:t>
            </w:r>
            <w:r>
              <w:rPr>
                <w:rFonts w:hint="eastAsia" w:asciiTheme="minorEastAsia" w:hAnsiTheme="minorEastAsia" w:eastAsiaTheme="minorEastAsia" w:cstheme="minorEastAsia"/>
                <w:bCs/>
                <w:color w:val="FF0000"/>
                <w:sz w:val="21"/>
                <w:szCs w:val="21"/>
              </w:rPr>
              <w:t>得</w:t>
            </w:r>
            <w:r>
              <w:rPr>
                <w:rFonts w:hint="eastAsia" w:asciiTheme="minorEastAsia" w:hAnsiTheme="minorEastAsia" w:eastAsiaTheme="minorEastAsia" w:cstheme="minorEastAsia"/>
                <w:bCs/>
                <w:color w:val="FF0000"/>
                <w:sz w:val="21"/>
                <w:szCs w:val="21"/>
                <w:lang w:val="en-US" w:eastAsia="zh-CN"/>
              </w:rPr>
              <w:t>9</w:t>
            </w:r>
            <w:r>
              <w:rPr>
                <w:rFonts w:hint="eastAsia" w:asciiTheme="minorEastAsia" w:hAnsiTheme="minorEastAsia" w:eastAsiaTheme="minorEastAsia" w:cstheme="minorEastAsia"/>
                <w:bCs/>
                <w:color w:val="FF0000"/>
                <w:sz w:val="21"/>
                <w:szCs w:val="21"/>
              </w:rPr>
              <w:t>分，在此基础上，根据供应商的具体响应内容按照量化的评审因素指标进一步评审：</w:t>
            </w:r>
          </w:p>
          <w:p w14:paraId="01791916">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1.方案整体科学合理、针对性强、可操作性强，评审为优的，加</w:t>
            </w:r>
            <w:r>
              <w:rPr>
                <w:rFonts w:hint="eastAsia" w:asciiTheme="minorEastAsia" w:hAnsiTheme="minorEastAsia" w:eastAsiaTheme="minorEastAsia" w:cstheme="minorEastAsia"/>
                <w:bCs/>
                <w:color w:val="FF0000"/>
                <w:sz w:val="21"/>
                <w:szCs w:val="21"/>
                <w:lang w:val="en-US" w:eastAsia="zh-CN"/>
              </w:rPr>
              <w:t>6</w:t>
            </w:r>
            <w:r>
              <w:rPr>
                <w:rFonts w:hint="eastAsia" w:asciiTheme="minorEastAsia" w:hAnsiTheme="minorEastAsia" w:eastAsiaTheme="minorEastAsia" w:cstheme="minorEastAsia"/>
                <w:bCs/>
                <w:color w:val="FF0000"/>
                <w:sz w:val="21"/>
                <w:szCs w:val="21"/>
              </w:rPr>
              <w:t>分；</w:t>
            </w:r>
          </w:p>
          <w:p w14:paraId="225FD0B1">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2.方案较合理、有一定针对性、一定可操作性，评审为良的，加</w:t>
            </w:r>
            <w:r>
              <w:rPr>
                <w:rFonts w:hint="eastAsia" w:asciiTheme="minorEastAsia" w:hAnsiTheme="minorEastAsia" w:eastAsiaTheme="minorEastAsia" w:cstheme="minorEastAsia"/>
                <w:bCs/>
                <w:color w:val="FF0000"/>
                <w:sz w:val="21"/>
                <w:szCs w:val="21"/>
                <w:lang w:val="en-US" w:eastAsia="zh-CN"/>
              </w:rPr>
              <w:t>3</w:t>
            </w:r>
            <w:r>
              <w:rPr>
                <w:rFonts w:hint="eastAsia" w:asciiTheme="minorEastAsia" w:hAnsiTheme="minorEastAsia" w:eastAsiaTheme="minorEastAsia" w:cstheme="minorEastAsia"/>
                <w:bCs/>
                <w:color w:val="FF0000"/>
                <w:sz w:val="21"/>
                <w:szCs w:val="21"/>
              </w:rPr>
              <w:t>分；</w:t>
            </w:r>
          </w:p>
          <w:p w14:paraId="0D13CA80">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3.方案不尽合理、针对性一般、可操作性一般，评审为中的，加</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分；</w:t>
            </w:r>
          </w:p>
          <w:p w14:paraId="09E3ECBB">
            <w:pPr>
              <w:textAlignment w:val="top"/>
              <w:rPr>
                <w:rFonts w:hint="eastAsia"/>
                <w:szCs w:val="21"/>
              </w:rPr>
            </w:pPr>
            <w:r>
              <w:rPr>
                <w:rFonts w:hint="eastAsia" w:asciiTheme="minorEastAsia" w:hAnsiTheme="minorEastAsia" w:eastAsiaTheme="minorEastAsia" w:cstheme="minorEastAsia"/>
                <w:bCs/>
                <w:color w:val="FF0000"/>
                <w:sz w:val="21"/>
                <w:szCs w:val="21"/>
              </w:rPr>
              <w:t>4.方案不合理、无针对性、无可操作性，评审为差的，加0分。</w:t>
            </w:r>
          </w:p>
        </w:tc>
      </w:tr>
    </w:tbl>
    <w:p w14:paraId="1F970573">
      <w:pPr>
        <w:spacing w:line="400" w:lineRule="exact"/>
        <w:ind w:firstLine="360"/>
        <w:rPr>
          <w:rFonts w:hint="eastAsia" w:ascii="微软雅黑" w:hAnsi="微软雅黑" w:eastAsia="微软雅黑" w:cs="微软雅黑"/>
          <w:b/>
          <w:szCs w:val="21"/>
        </w:rPr>
      </w:pPr>
    </w:p>
    <w:p w14:paraId="47F03B46">
      <w:pPr>
        <w:tabs>
          <w:tab w:val="left" w:pos="1429"/>
        </w:tabs>
        <w:spacing w:line="520" w:lineRule="exact"/>
        <w:ind w:firstLine="560" w:firstLineChars="200"/>
        <w:rPr>
          <w:rFonts w:hint="eastAsia" w:ascii="仿宋" w:hAnsi="仿宋" w:eastAsia="仿宋" w:cs="仿宋"/>
          <w:sz w:val="28"/>
          <w:szCs w:val="28"/>
        </w:rPr>
      </w:pPr>
    </w:p>
    <w:bookmarkEnd w:id="0"/>
    <w:p w14:paraId="40D6173F">
      <w:pPr>
        <w:pStyle w:val="21"/>
        <w:widowControl/>
        <w:numPr>
          <w:ilvl w:val="0"/>
          <w:numId w:val="0"/>
        </w:numPr>
        <w:ind w:leftChars="0"/>
        <w:jc w:val="left"/>
        <w:rPr>
          <w:rFonts w:hint="eastAsia" w:ascii="宋体" w:hAnsi="宋体" w:eastAsia="宋体"/>
          <w:b w:val="0"/>
          <w:bCs w:val="0"/>
          <w:szCs w:val="21"/>
          <w:lang w:val="en-US" w:eastAsia="zh-CN"/>
        </w:rPr>
      </w:pPr>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12"/>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18"/>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DBC13"/>
    <w:multiLevelType w:val="singleLevel"/>
    <w:tmpl w:val="8E9DBC13"/>
    <w:lvl w:ilvl="0" w:tentative="0">
      <w:start w:val="1"/>
      <w:numFmt w:val="decimal"/>
      <w:suff w:val="nothing"/>
      <w:lvlText w:val="%1、"/>
      <w:lvlJc w:val="left"/>
    </w:lvl>
  </w:abstractNum>
  <w:abstractNum w:abstractNumId="1">
    <w:nsid w:val="B2E87432"/>
    <w:multiLevelType w:val="singleLevel"/>
    <w:tmpl w:val="B2E87432"/>
    <w:lvl w:ilvl="0" w:tentative="0">
      <w:start w:val="1"/>
      <w:numFmt w:val="decimal"/>
      <w:lvlText w:val="(%1)"/>
      <w:lvlJc w:val="left"/>
      <w:pPr>
        <w:ind w:left="425" w:hanging="425"/>
      </w:pPr>
      <w:rPr>
        <w:rFonts w:hint="default"/>
      </w:rPr>
    </w:lvl>
  </w:abstractNum>
  <w:abstractNum w:abstractNumId="2">
    <w:nsid w:val="D7A3C96D"/>
    <w:multiLevelType w:val="singleLevel"/>
    <w:tmpl w:val="D7A3C96D"/>
    <w:lvl w:ilvl="0" w:tentative="0">
      <w:start w:val="1"/>
      <w:numFmt w:val="chineseCounting"/>
      <w:suff w:val="nothing"/>
      <w:lvlText w:val="%1、"/>
      <w:lvlJc w:val="left"/>
      <w:rPr>
        <w:rFonts w:hint="eastAsia"/>
      </w:rPr>
    </w:lvl>
  </w:abstractNum>
  <w:abstractNum w:abstractNumId="3">
    <w:nsid w:val="F85AD350"/>
    <w:multiLevelType w:val="singleLevel"/>
    <w:tmpl w:val="F85AD350"/>
    <w:lvl w:ilvl="0" w:tentative="0">
      <w:start w:val="1"/>
      <w:numFmt w:val="decimal"/>
      <w:lvlText w:val="%1."/>
      <w:lvlJc w:val="left"/>
      <w:pPr>
        <w:ind w:left="425" w:hanging="425"/>
      </w:pPr>
      <w:rPr>
        <w:rFonts w:hint="default"/>
      </w:rPr>
    </w:lvl>
  </w:abstractNum>
  <w:abstractNum w:abstractNumId="4">
    <w:nsid w:val="14AB26F4"/>
    <w:multiLevelType w:val="singleLevel"/>
    <w:tmpl w:val="14AB26F4"/>
    <w:lvl w:ilvl="0" w:tentative="0">
      <w:start w:val="1"/>
      <w:numFmt w:val="decimal"/>
      <w:suff w:val="nothing"/>
      <w:lvlText w:val="%1、"/>
      <w:lvlJc w:val="left"/>
    </w:lvl>
  </w:abstractNum>
  <w:abstractNum w:abstractNumId="5">
    <w:nsid w:val="16C87B61"/>
    <w:multiLevelType w:val="singleLevel"/>
    <w:tmpl w:val="16C87B61"/>
    <w:lvl w:ilvl="0" w:tentative="0">
      <w:start w:val="2"/>
      <w:numFmt w:val="chineseCounting"/>
      <w:suff w:val="nothing"/>
      <w:lvlText w:val="（%1）"/>
      <w:lvlJc w:val="left"/>
      <w:rPr>
        <w:rFonts w:hint="eastAsia"/>
      </w:rPr>
    </w:lvl>
  </w:abstractNum>
  <w:abstractNum w:abstractNumId="6">
    <w:nsid w:val="42946389"/>
    <w:multiLevelType w:val="multilevel"/>
    <w:tmpl w:val="42946389"/>
    <w:lvl w:ilvl="0" w:tentative="0">
      <w:start w:val="1"/>
      <w:numFmt w:val="chineseCountingThousand"/>
      <w:lvlText w:val="(%1)"/>
      <w:lvlJc w:val="left"/>
      <w:pPr>
        <w:ind w:left="420" w:hanging="420"/>
      </w:pPr>
      <w:rPr>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E7550F"/>
    <w:multiLevelType w:val="singleLevel"/>
    <w:tmpl w:val="51E7550F"/>
    <w:lvl w:ilvl="0" w:tentative="0">
      <w:start w:val="1"/>
      <w:numFmt w:val="decimal"/>
      <w:lvlText w:val="(%1)"/>
      <w:lvlJc w:val="left"/>
      <w:pPr>
        <w:ind w:left="425" w:hanging="425"/>
      </w:pPr>
      <w:rPr>
        <w:rFonts w:hint="default"/>
      </w:rPr>
    </w:lvl>
  </w:abstractNum>
  <w:abstractNum w:abstractNumId="8">
    <w:nsid w:val="5A617354"/>
    <w:multiLevelType w:val="singleLevel"/>
    <w:tmpl w:val="5A617354"/>
    <w:lvl w:ilvl="0" w:tentative="0">
      <w:start w:val="1"/>
      <w:numFmt w:val="decimal"/>
      <w:lvlText w:val="(%1)"/>
      <w:lvlJc w:val="left"/>
      <w:pPr>
        <w:ind w:left="425" w:hanging="425"/>
      </w:pPr>
      <w:rPr>
        <w:rFonts w:hint="default"/>
      </w:rPr>
    </w:lvl>
  </w:abstractNum>
  <w:abstractNum w:abstractNumId="9">
    <w:nsid w:val="716AD1F2"/>
    <w:multiLevelType w:val="singleLevel"/>
    <w:tmpl w:val="716AD1F2"/>
    <w:lvl w:ilvl="0" w:tentative="0">
      <w:start w:val="1"/>
      <w:numFmt w:val="decimal"/>
      <w:lvlText w:val="%1."/>
      <w:lvlJc w:val="left"/>
      <w:pPr>
        <w:ind w:left="425" w:hanging="425"/>
      </w:pPr>
      <w:rPr>
        <w:rFonts w:hint="default"/>
      </w:rPr>
    </w:lvl>
  </w:abstractNum>
  <w:abstractNum w:abstractNumId="10">
    <w:nsid w:val="73DE6D9D"/>
    <w:multiLevelType w:val="singleLevel"/>
    <w:tmpl w:val="73DE6D9D"/>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1"/>
  </w:num>
  <w:num w:numId="4">
    <w:abstractNumId w:val="8"/>
  </w:num>
  <w:num w:numId="5">
    <w:abstractNumId w:val="7"/>
  </w:num>
  <w:num w:numId="6">
    <w:abstractNumId w:val="10"/>
  </w:num>
  <w:num w:numId="7">
    <w:abstractNumId w:val="6"/>
  </w:num>
  <w:num w:numId="8">
    <w:abstractNumId w:val="5"/>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45"/>
    <w:rsid w:val="000028F4"/>
    <w:rsid w:val="000042AA"/>
    <w:rsid w:val="00005402"/>
    <w:rsid w:val="00016980"/>
    <w:rsid w:val="00024715"/>
    <w:rsid w:val="00030B9D"/>
    <w:rsid w:val="00040787"/>
    <w:rsid w:val="00062E78"/>
    <w:rsid w:val="00062EB3"/>
    <w:rsid w:val="00063F20"/>
    <w:rsid w:val="000700AB"/>
    <w:rsid w:val="00072352"/>
    <w:rsid w:val="0007283F"/>
    <w:rsid w:val="00074B7F"/>
    <w:rsid w:val="000758D3"/>
    <w:rsid w:val="0007713B"/>
    <w:rsid w:val="000844C3"/>
    <w:rsid w:val="0009436C"/>
    <w:rsid w:val="0009602A"/>
    <w:rsid w:val="000A1397"/>
    <w:rsid w:val="000A68D2"/>
    <w:rsid w:val="000C4E1B"/>
    <w:rsid w:val="000C52DF"/>
    <w:rsid w:val="000E7E1A"/>
    <w:rsid w:val="000F04B3"/>
    <w:rsid w:val="000F2F33"/>
    <w:rsid w:val="0010237A"/>
    <w:rsid w:val="00104408"/>
    <w:rsid w:val="00112C17"/>
    <w:rsid w:val="00114F27"/>
    <w:rsid w:val="00126B57"/>
    <w:rsid w:val="0013046C"/>
    <w:rsid w:val="0013467B"/>
    <w:rsid w:val="001406F5"/>
    <w:rsid w:val="00145BC7"/>
    <w:rsid w:val="001570A4"/>
    <w:rsid w:val="00172EAA"/>
    <w:rsid w:val="00173CCA"/>
    <w:rsid w:val="00184C67"/>
    <w:rsid w:val="001944AA"/>
    <w:rsid w:val="0019573B"/>
    <w:rsid w:val="00195BAC"/>
    <w:rsid w:val="001A47F1"/>
    <w:rsid w:val="001B5488"/>
    <w:rsid w:val="001B7B0A"/>
    <w:rsid w:val="001C0D6C"/>
    <w:rsid w:val="001C0FBC"/>
    <w:rsid w:val="001C19EE"/>
    <w:rsid w:val="001C4B82"/>
    <w:rsid w:val="001C5263"/>
    <w:rsid w:val="001C666E"/>
    <w:rsid w:val="001D6F07"/>
    <w:rsid w:val="001E054C"/>
    <w:rsid w:val="001E5A2C"/>
    <w:rsid w:val="001E7B34"/>
    <w:rsid w:val="001F1D23"/>
    <w:rsid w:val="001F240C"/>
    <w:rsid w:val="00214CC1"/>
    <w:rsid w:val="002301D5"/>
    <w:rsid w:val="00236A84"/>
    <w:rsid w:val="00246FDB"/>
    <w:rsid w:val="0024789C"/>
    <w:rsid w:val="002531BE"/>
    <w:rsid w:val="002575C2"/>
    <w:rsid w:val="002677AF"/>
    <w:rsid w:val="0027245F"/>
    <w:rsid w:val="00277131"/>
    <w:rsid w:val="00280E5D"/>
    <w:rsid w:val="00296612"/>
    <w:rsid w:val="002A4C71"/>
    <w:rsid w:val="002A6F74"/>
    <w:rsid w:val="002B350C"/>
    <w:rsid w:val="002B53BF"/>
    <w:rsid w:val="002B6DFF"/>
    <w:rsid w:val="002C0BD9"/>
    <w:rsid w:val="002C3125"/>
    <w:rsid w:val="002D2421"/>
    <w:rsid w:val="002D47F2"/>
    <w:rsid w:val="002D50CA"/>
    <w:rsid w:val="002E025A"/>
    <w:rsid w:val="002E12A2"/>
    <w:rsid w:val="002F044D"/>
    <w:rsid w:val="002F7557"/>
    <w:rsid w:val="003138C0"/>
    <w:rsid w:val="00322AA7"/>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B0C3F"/>
    <w:rsid w:val="003B4EBE"/>
    <w:rsid w:val="003C5CA3"/>
    <w:rsid w:val="003D4AF7"/>
    <w:rsid w:val="003E7D05"/>
    <w:rsid w:val="003F7BD5"/>
    <w:rsid w:val="004001D3"/>
    <w:rsid w:val="00413EB2"/>
    <w:rsid w:val="00416833"/>
    <w:rsid w:val="0043529C"/>
    <w:rsid w:val="00436830"/>
    <w:rsid w:val="004518CA"/>
    <w:rsid w:val="00453993"/>
    <w:rsid w:val="004751E7"/>
    <w:rsid w:val="00480984"/>
    <w:rsid w:val="004868A7"/>
    <w:rsid w:val="00486901"/>
    <w:rsid w:val="004874D5"/>
    <w:rsid w:val="0049040D"/>
    <w:rsid w:val="004911B3"/>
    <w:rsid w:val="004927AD"/>
    <w:rsid w:val="004976CF"/>
    <w:rsid w:val="004A09D4"/>
    <w:rsid w:val="004A2D12"/>
    <w:rsid w:val="004A7EBE"/>
    <w:rsid w:val="004B6764"/>
    <w:rsid w:val="004C278A"/>
    <w:rsid w:val="004C5C79"/>
    <w:rsid w:val="004D35C1"/>
    <w:rsid w:val="004D41B2"/>
    <w:rsid w:val="004E2CB6"/>
    <w:rsid w:val="004E4F17"/>
    <w:rsid w:val="004E64D1"/>
    <w:rsid w:val="004E65C5"/>
    <w:rsid w:val="004E7153"/>
    <w:rsid w:val="004E73C4"/>
    <w:rsid w:val="004F2A5D"/>
    <w:rsid w:val="004F46C3"/>
    <w:rsid w:val="004F75BC"/>
    <w:rsid w:val="005057DA"/>
    <w:rsid w:val="00507EEE"/>
    <w:rsid w:val="0053189A"/>
    <w:rsid w:val="0054027C"/>
    <w:rsid w:val="00543121"/>
    <w:rsid w:val="0055508E"/>
    <w:rsid w:val="005675F8"/>
    <w:rsid w:val="00580CA3"/>
    <w:rsid w:val="0058422D"/>
    <w:rsid w:val="0058758F"/>
    <w:rsid w:val="005A46D3"/>
    <w:rsid w:val="005A5D10"/>
    <w:rsid w:val="005B4D5D"/>
    <w:rsid w:val="005C0841"/>
    <w:rsid w:val="005C65D1"/>
    <w:rsid w:val="005D0201"/>
    <w:rsid w:val="005E2013"/>
    <w:rsid w:val="005E7317"/>
    <w:rsid w:val="005E758C"/>
    <w:rsid w:val="005F3B4D"/>
    <w:rsid w:val="005F4C66"/>
    <w:rsid w:val="005F54B9"/>
    <w:rsid w:val="00602EC6"/>
    <w:rsid w:val="0061122A"/>
    <w:rsid w:val="006142E5"/>
    <w:rsid w:val="0062067C"/>
    <w:rsid w:val="00623301"/>
    <w:rsid w:val="0063509C"/>
    <w:rsid w:val="00636F84"/>
    <w:rsid w:val="00665E33"/>
    <w:rsid w:val="006771D8"/>
    <w:rsid w:val="00690C3A"/>
    <w:rsid w:val="00692E7B"/>
    <w:rsid w:val="00695178"/>
    <w:rsid w:val="00695565"/>
    <w:rsid w:val="006A00C6"/>
    <w:rsid w:val="006B0D5E"/>
    <w:rsid w:val="006B2958"/>
    <w:rsid w:val="006B3BDF"/>
    <w:rsid w:val="006B5F33"/>
    <w:rsid w:val="006F4017"/>
    <w:rsid w:val="007114BB"/>
    <w:rsid w:val="00712055"/>
    <w:rsid w:val="00712A40"/>
    <w:rsid w:val="0072018D"/>
    <w:rsid w:val="00727FF5"/>
    <w:rsid w:val="00730B37"/>
    <w:rsid w:val="0073527F"/>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56FD"/>
    <w:rsid w:val="007A0871"/>
    <w:rsid w:val="007A18AD"/>
    <w:rsid w:val="007B0D29"/>
    <w:rsid w:val="007C3877"/>
    <w:rsid w:val="007C39C6"/>
    <w:rsid w:val="007C5CDE"/>
    <w:rsid w:val="007C5D1E"/>
    <w:rsid w:val="007D4AE6"/>
    <w:rsid w:val="007D55AC"/>
    <w:rsid w:val="007F5278"/>
    <w:rsid w:val="007F7EF6"/>
    <w:rsid w:val="00815FBB"/>
    <w:rsid w:val="0082149E"/>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E15F6"/>
    <w:rsid w:val="008E79B6"/>
    <w:rsid w:val="008F67AC"/>
    <w:rsid w:val="008F7133"/>
    <w:rsid w:val="00901024"/>
    <w:rsid w:val="009106B5"/>
    <w:rsid w:val="00916D31"/>
    <w:rsid w:val="00923B99"/>
    <w:rsid w:val="009259EC"/>
    <w:rsid w:val="00931422"/>
    <w:rsid w:val="00944495"/>
    <w:rsid w:val="00947DFC"/>
    <w:rsid w:val="009501F4"/>
    <w:rsid w:val="00952DEC"/>
    <w:rsid w:val="00956199"/>
    <w:rsid w:val="00961E75"/>
    <w:rsid w:val="00965A07"/>
    <w:rsid w:val="0097603C"/>
    <w:rsid w:val="009811CD"/>
    <w:rsid w:val="009902EB"/>
    <w:rsid w:val="00995737"/>
    <w:rsid w:val="009A74B7"/>
    <w:rsid w:val="009B176A"/>
    <w:rsid w:val="009B58B9"/>
    <w:rsid w:val="009C1097"/>
    <w:rsid w:val="009C767E"/>
    <w:rsid w:val="009E4A1F"/>
    <w:rsid w:val="009F702C"/>
    <w:rsid w:val="00A046A0"/>
    <w:rsid w:val="00A262BA"/>
    <w:rsid w:val="00A42857"/>
    <w:rsid w:val="00A4446F"/>
    <w:rsid w:val="00A44C62"/>
    <w:rsid w:val="00A45BF4"/>
    <w:rsid w:val="00A478A2"/>
    <w:rsid w:val="00A56D82"/>
    <w:rsid w:val="00A670E4"/>
    <w:rsid w:val="00A700D7"/>
    <w:rsid w:val="00A73311"/>
    <w:rsid w:val="00A911FD"/>
    <w:rsid w:val="00A91776"/>
    <w:rsid w:val="00A91DE5"/>
    <w:rsid w:val="00A94870"/>
    <w:rsid w:val="00AA02C2"/>
    <w:rsid w:val="00AA5FDA"/>
    <w:rsid w:val="00AB1337"/>
    <w:rsid w:val="00AB28EB"/>
    <w:rsid w:val="00AB300C"/>
    <w:rsid w:val="00AB3C59"/>
    <w:rsid w:val="00AC3634"/>
    <w:rsid w:val="00AD12A4"/>
    <w:rsid w:val="00AD24B7"/>
    <w:rsid w:val="00AE40D9"/>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75C5"/>
    <w:rsid w:val="00B87AA8"/>
    <w:rsid w:val="00B92A3F"/>
    <w:rsid w:val="00B978B4"/>
    <w:rsid w:val="00BB4B7F"/>
    <w:rsid w:val="00BB4FB2"/>
    <w:rsid w:val="00BC659C"/>
    <w:rsid w:val="00BD1835"/>
    <w:rsid w:val="00BD1A31"/>
    <w:rsid w:val="00BD7C0A"/>
    <w:rsid w:val="00BE11F0"/>
    <w:rsid w:val="00BE2155"/>
    <w:rsid w:val="00BE2C55"/>
    <w:rsid w:val="00BF3B4B"/>
    <w:rsid w:val="00BF7BBA"/>
    <w:rsid w:val="00C014FD"/>
    <w:rsid w:val="00C068FA"/>
    <w:rsid w:val="00C07F16"/>
    <w:rsid w:val="00C12B41"/>
    <w:rsid w:val="00C1376F"/>
    <w:rsid w:val="00C20535"/>
    <w:rsid w:val="00C217F5"/>
    <w:rsid w:val="00C23C00"/>
    <w:rsid w:val="00C262CA"/>
    <w:rsid w:val="00C505D0"/>
    <w:rsid w:val="00C52E1C"/>
    <w:rsid w:val="00C72E67"/>
    <w:rsid w:val="00C86271"/>
    <w:rsid w:val="00CA13ED"/>
    <w:rsid w:val="00CA1CDD"/>
    <w:rsid w:val="00CA6AB9"/>
    <w:rsid w:val="00CB0829"/>
    <w:rsid w:val="00CB6EBE"/>
    <w:rsid w:val="00CC2DCC"/>
    <w:rsid w:val="00CC50F1"/>
    <w:rsid w:val="00CE08F3"/>
    <w:rsid w:val="00CE11A3"/>
    <w:rsid w:val="00CE66D4"/>
    <w:rsid w:val="00D061F1"/>
    <w:rsid w:val="00D20361"/>
    <w:rsid w:val="00D332F9"/>
    <w:rsid w:val="00D37D39"/>
    <w:rsid w:val="00D44A76"/>
    <w:rsid w:val="00D453B6"/>
    <w:rsid w:val="00D5060F"/>
    <w:rsid w:val="00D5405E"/>
    <w:rsid w:val="00D54E89"/>
    <w:rsid w:val="00D642EB"/>
    <w:rsid w:val="00D67337"/>
    <w:rsid w:val="00D67A1D"/>
    <w:rsid w:val="00D755F6"/>
    <w:rsid w:val="00D86FD0"/>
    <w:rsid w:val="00D8784F"/>
    <w:rsid w:val="00D91449"/>
    <w:rsid w:val="00DD26D7"/>
    <w:rsid w:val="00DD78E7"/>
    <w:rsid w:val="00DE0037"/>
    <w:rsid w:val="00DE1260"/>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C06C6"/>
    <w:rsid w:val="00EC0889"/>
    <w:rsid w:val="00EC3321"/>
    <w:rsid w:val="00ED55F7"/>
    <w:rsid w:val="00ED68CC"/>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B39C8"/>
    <w:rsid w:val="00FC0694"/>
    <w:rsid w:val="00FC1691"/>
    <w:rsid w:val="00FC753D"/>
    <w:rsid w:val="00FD6BAB"/>
    <w:rsid w:val="00FD730A"/>
    <w:rsid w:val="00FF33F4"/>
    <w:rsid w:val="00FF56BA"/>
    <w:rsid w:val="00FF6634"/>
    <w:rsid w:val="0159726C"/>
    <w:rsid w:val="02FA082F"/>
    <w:rsid w:val="036443B3"/>
    <w:rsid w:val="049251C3"/>
    <w:rsid w:val="05793607"/>
    <w:rsid w:val="06A4180F"/>
    <w:rsid w:val="07666909"/>
    <w:rsid w:val="08070A00"/>
    <w:rsid w:val="08A8713D"/>
    <w:rsid w:val="08CA54C0"/>
    <w:rsid w:val="0983157E"/>
    <w:rsid w:val="09954E0D"/>
    <w:rsid w:val="09A6526C"/>
    <w:rsid w:val="0A273EFA"/>
    <w:rsid w:val="0B354AFA"/>
    <w:rsid w:val="0C711B61"/>
    <w:rsid w:val="0FA67D74"/>
    <w:rsid w:val="10702130"/>
    <w:rsid w:val="10A36062"/>
    <w:rsid w:val="119500A0"/>
    <w:rsid w:val="13767A5D"/>
    <w:rsid w:val="14074B59"/>
    <w:rsid w:val="1537321C"/>
    <w:rsid w:val="153D4CD7"/>
    <w:rsid w:val="15A72150"/>
    <w:rsid w:val="16D276A1"/>
    <w:rsid w:val="180B10BC"/>
    <w:rsid w:val="18445475"/>
    <w:rsid w:val="18845183"/>
    <w:rsid w:val="18BF3C55"/>
    <w:rsid w:val="19940409"/>
    <w:rsid w:val="1A5E5154"/>
    <w:rsid w:val="1B2B55D1"/>
    <w:rsid w:val="1B7E7DF7"/>
    <w:rsid w:val="1EC71AB5"/>
    <w:rsid w:val="1F8310C6"/>
    <w:rsid w:val="1FA94D17"/>
    <w:rsid w:val="24BF3B68"/>
    <w:rsid w:val="251D3512"/>
    <w:rsid w:val="25AE12D9"/>
    <w:rsid w:val="27E5759F"/>
    <w:rsid w:val="280451E0"/>
    <w:rsid w:val="28093C65"/>
    <w:rsid w:val="2A273408"/>
    <w:rsid w:val="2BC5737C"/>
    <w:rsid w:val="2C7C5EDD"/>
    <w:rsid w:val="2D3B5B48"/>
    <w:rsid w:val="2E1F6B96"/>
    <w:rsid w:val="2E8E45A1"/>
    <w:rsid w:val="2F2E7A55"/>
    <w:rsid w:val="3049232A"/>
    <w:rsid w:val="319F53A2"/>
    <w:rsid w:val="31BC6B2B"/>
    <w:rsid w:val="33721193"/>
    <w:rsid w:val="337E678E"/>
    <w:rsid w:val="340500A3"/>
    <w:rsid w:val="35F745D6"/>
    <w:rsid w:val="36016B7B"/>
    <w:rsid w:val="37686C17"/>
    <w:rsid w:val="37D06A81"/>
    <w:rsid w:val="37F012DD"/>
    <w:rsid w:val="38301DBE"/>
    <w:rsid w:val="38641C50"/>
    <w:rsid w:val="38AF73EA"/>
    <w:rsid w:val="38F372D7"/>
    <w:rsid w:val="39F350B4"/>
    <w:rsid w:val="3AAB598F"/>
    <w:rsid w:val="3B1F2605"/>
    <w:rsid w:val="3BBA232E"/>
    <w:rsid w:val="3CF4186F"/>
    <w:rsid w:val="3D644C0E"/>
    <w:rsid w:val="3F782328"/>
    <w:rsid w:val="405451D7"/>
    <w:rsid w:val="40642868"/>
    <w:rsid w:val="40776A3F"/>
    <w:rsid w:val="41CC2DBB"/>
    <w:rsid w:val="43140575"/>
    <w:rsid w:val="437764B0"/>
    <w:rsid w:val="438E7C66"/>
    <w:rsid w:val="44421112"/>
    <w:rsid w:val="44464016"/>
    <w:rsid w:val="4465410B"/>
    <w:rsid w:val="448243AB"/>
    <w:rsid w:val="44F90A89"/>
    <w:rsid w:val="4521777E"/>
    <w:rsid w:val="45317BCE"/>
    <w:rsid w:val="45C25741"/>
    <w:rsid w:val="46724F2F"/>
    <w:rsid w:val="46737CA9"/>
    <w:rsid w:val="471952E9"/>
    <w:rsid w:val="47F03878"/>
    <w:rsid w:val="49425710"/>
    <w:rsid w:val="4B5F673A"/>
    <w:rsid w:val="4B8D6B91"/>
    <w:rsid w:val="4BAB48A6"/>
    <w:rsid w:val="4C255EE1"/>
    <w:rsid w:val="4D19766B"/>
    <w:rsid w:val="4DAE7818"/>
    <w:rsid w:val="50860E67"/>
    <w:rsid w:val="511264FA"/>
    <w:rsid w:val="51200A2D"/>
    <w:rsid w:val="513D513B"/>
    <w:rsid w:val="51F83758"/>
    <w:rsid w:val="52516C94"/>
    <w:rsid w:val="52D60D2E"/>
    <w:rsid w:val="531A3C68"/>
    <w:rsid w:val="541A5CB0"/>
    <w:rsid w:val="5571253B"/>
    <w:rsid w:val="56701B0F"/>
    <w:rsid w:val="56813D1C"/>
    <w:rsid w:val="57C3726B"/>
    <w:rsid w:val="58404F46"/>
    <w:rsid w:val="588E4FEE"/>
    <w:rsid w:val="598C3104"/>
    <w:rsid w:val="5A68536B"/>
    <w:rsid w:val="5B055AC7"/>
    <w:rsid w:val="5BAE65A3"/>
    <w:rsid w:val="5BF62AB6"/>
    <w:rsid w:val="5D1A4582"/>
    <w:rsid w:val="5D5C4B9B"/>
    <w:rsid w:val="5D63417B"/>
    <w:rsid w:val="5E6615F0"/>
    <w:rsid w:val="5EB91099"/>
    <w:rsid w:val="61244ACF"/>
    <w:rsid w:val="63032F4E"/>
    <w:rsid w:val="630F26B0"/>
    <w:rsid w:val="65506306"/>
    <w:rsid w:val="65657A8A"/>
    <w:rsid w:val="65B01354"/>
    <w:rsid w:val="661A1A97"/>
    <w:rsid w:val="676A158C"/>
    <w:rsid w:val="68943F59"/>
    <w:rsid w:val="68C73DE6"/>
    <w:rsid w:val="69DB27B6"/>
    <w:rsid w:val="6ADC731B"/>
    <w:rsid w:val="6ADF6E0B"/>
    <w:rsid w:val="6B3410B7"/>
    <w:rsid w:val="6B5B2936"/>
    <w:rsid w:val="6BF40694"/>
    <w:rsid w:val="6C5F1FB2"/>
    <w:rsid w:val="6D757091"/>
    <w:rsid w:val="6E3A0F28"/>
    <w:rsid w:val="6ED547AD"/>
    <w:rsid w:val="6EEF1D13"/>
    <w:rsid w:val="6F173018"/>
    <w:rsid w:val="6F2D45E9"/>
    <w:rsid w:val="6F5E0C47"/>
    <w:rsid w:val="6FE74798"/>
    <w:rsid w:val="6FED3D79"/>
    <w:rsid w:val="70F42B51"/>
    <w:rsid w:val="716871DC"/>
    <w:rsid w:val="717402AD"/>
    <w:rsid w:val="71B608C6"/>
    <w:rsid w:val="727F33AE"/>
    <w:rsid w:val="73971ED2"/>
    <w:rsid w:val="74212243"/>
    <w:rsid w:val="76AA29C3"/>
    <w:rsid w:val="76B03803"/>
    <w:rsid w:val="77C836CF"/>
    <w:rsid w:val="781C24E2"/>
    <w:rsid w:val="7855353D"/>
    <w:rsid w:val="789E522D"/>
    <w:rsid w:val="79A87D37"/>
    <w:rsid w:val="79EB757B"/>
    <w:rsid w:val="7B0F7299"/>
    <w:rsid w:val="7B7F61CD"/>
    <w:rsid w:val="7BA23C69"/>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9"/>
    <w:pPr>
      <w:keepNext/>
      <w:keepLines/>
      <w:spacing w:line="360" w:lineRule="auto"/>
      <w:outlineLvl w:val="0"/>
    </w:pPr>
    <w:rPr>
      <w:b/>
      <w:kern w:val="44"/>
      <w:sz w:val="32"/>
    </w:rPr>
  </w:style>
  <w:style w:type="paragraph" w:styleId="4">
    <w:name w:val="heading 2"/>
    <w:basedOn w:val="5"/>
    <w:next w:val="6"/>
    <w:link w:val="27"/>
    <w:unhideWhenUsed/>
    <w:qFormat/>
    <w:uiPriority w:val="0"/>
    <w:pPr>
      <w:keepNext/>
      <w:keepLines/>
      <w:spacing w:before="260" w:after="260" w:line="416" w:lineRule="auto"/>
      <w:outlineLvl w:val="1"/>
    </w:pPr>
    <w:rPr>
      <w:rFonts w:ascii="Cambria" w:hAnsi="Cambria"/>
      <w:sz w:val="32"/>
      <w:szCs w:val="32"/>
    </w:rPr>
  </w:style>
  <w:style w:type="paragraph" w:styleId="5">
    <w:name w:val="heading 3"/>
    <w:basedOn w:val="6"/>
    <w:next w:val="1"/>
    <w:link w:val="30"/>
    <w:unhideWhenUsed/>
    <w:qFormat/>
    <w:uiPriority w:val="9"/>
    <w:pPr>
      <w:keepNext/>
      <w:keepLines/>
      <w:spacing w:before="260" w:after="260" w:line="416" w:lineRule="auto"/>
      <w:outlineLvl w:val="2"/>
    </w:pPr>
    <w:rPr>
      <w:sz w:val="32"/>
      <w:szCs w:val="32"/>
    </w:rPr>
  </w:style>
  <w:style w:type="paragraph" w:styleId="6">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semiHidden/>
    <w:unhideWhenUsed/>
    <w:qFormat/>
    <w:uiPriority w:val="99"/>
    <w:pPr>
      <w:spacing w:after="120"/>
    </w:pPr>
    <w:rPr>
      <w:rFonts w:asciiTheme="minorHAnsi" w:hAnsiTheme="minorHAnsi" w:eastAsiaTheme="minorEastAsia" w:cstheme="minorBidi"/>
      <w:szCs w:val="24"/>
    </w:r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25"/>
    <w:unhideWhenUsed/>
    <w:qFormat/>
    <w:uiPriority w:val="99"/>
    <w:pPr>
      <w:jc w:val="left"/>
    </w:pPr>
  </w:style>
  <w:style w:type="paragraph" w:styleId="9">
    <w:name w:val="Body Text Indent"/>
    <w:basedOn w:val="1"/>
    <w:qFormat/>
    <w:uiPriority w:val="0"/>
    <w:pPr>
      <w:spacing w:line="360" w:lineRule="auto"/>
      <w:ind w:firstLine="420" w:firstLineChars="200"/>
    </w:pPr>
  </w:style>
  <w:style w:type="paragraph" w:styleId="10">
    <w:name w:val="index 4"/>
    <w:basedOn w:val="1"/>
    <w:next w:val="1"/>
    <w:semiHidden/>
    <w:qFormat/>
    <w:uiPriority w:val="0"/>
    <w:pPr>
      <w:ind w:left="1260"/>
    </w:pPr>
  </w:style>
  <w:style w:type="paragraph" w:styleId="11">
    <w:name w:val="Balloon Text"/>
    <w:basedOn w:val="1"/>
    <w:link w:val="26"/>
    <w:semiHidden/>
    <w:unhideWhenUsed/>
    <w:qFormat/>
    <w:uiPriority w:val="99"/>
    <w:rPr>
      <w:sz w:val="18"/>
      <w:szCs w:val="18"/>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line="360" w:lineRule="auto"/>
    </w:pPr>
    <w:rPr>
      <w:sz w:val="24"/>
    </w:rPr>
  </w:style>
  <w:style w:type="paragraph" w:styleId="15">
    <w:name w:val="Body Text First Indent 2"/>
    <w:basedOn w:val="9"/>
    <w:qFormat/>
    <w:uiPriority w:val="0"/>
    <w:rPr>
      <w:rFonts w:ascii="Calibri" w:hAnsi="Calibri"/>
    </w:rPr>
  </w:style>
  <w:style w:type="character" w:styleId="18">
    <w:name w:val="page number"/>
    <w:basedOn w:val="17"/>
    <w:unhideWhenUsed/>
    <w:qFormat/>
    <w:uiPriority w:val="99"/>
  </w:style>
  <w:style w:type="character" w:styleId="19">
    <w:name w:val="annotation reference"/>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List Paragraph"/>
    <w:basedOn w:val="1"/>
    <w:link w:val="29"/>
    <w:qFormat/>
    <w:uiPriority w:val="34"/>
    <w:pPr>
      <w:ind w:firstLine="420" w:firstLineChars="200"/>
    </w:pPr>
  </w:style>
  <w:style w:type="character" w:customStyle="1" w:styleId="22">
    <w:name w:val="页眉 字符"/>
    <w:basedOn w:val="17"/>
    <w:link w:val="13"/>
    <w:qFormat/>
    <w:uiPriority w:val="99"/>
    <w:rPr>
      <w:sz w:val="18"/>
      <w:szCs w:val="18"/>
    </w:rPr>
  </w:style>
  <w:style w:type="character" w:customStyle="1" w:styleId="23">
    <w:name w:val="页脚 字符"/>
    <w:basedOn w:val="17"/>
    <w:link w:val="12"/>
    <w:qFormat/>
    <w:uiPriority w:val="99"/>
    <w:rPr>
      <w:sz w:val="18"/>
      <w:szCs w:val="18"/>
    </w:rPr>
  </w:style>
  <w:style w:type="character" w:customStyle="1" w:styleId="24">
    <w:name w:val="标题 1 字符"/>
    <w:basedOn w:val="17"/>
    <w:link w:val="3"/>
    <w:qFormat/>
    <w:uiPriority w:val="9"/>
    <w:rPr>
      <w:rFonts w:ascii="Times New Roman" w:hAnsi="Times New Roman" w:eastAsia="宋体" w:cs="Times New Roman"/>
      <w:b/>
      <w:kern w:val="44"/>
      <w:sz w:val="32"/>
      <w:szCs w:val="20"/>
    </w:rPr>
  </w:style>
  <w:style w:type="character" w:customStyle="1" w:styleId="25">
    <w:name w:val="批注文字 字符"/>
    <w:basedOn w:val="17"/>
    <w:link w:val="8"/>
    <w:qFormat/>
    <w:uiPriority w:val="99"/>
    <w:rPr>
      <w:rFonts w:ascii="Times New Roman" w:hAnsi="Times New Roman" w:eastAsia="宋体" w:cs="Times New Roman"/>
      <w:szCs w:val="20"/>
    </w:rPr>
  </w:style>
  <w:style w:type="character" w:customStyle="1" w:styleId="26">
    <w:name w:val="批注框文本 字符"/>
    <w:basedOn w:val="17"/>
    <w:link w:val="11"/>
    <w:semiHidden/>
    <w:qFormat/>
    <w:uiPriority w:val="99"/>
    <w:rPr>
      <w:rFonts w:ascii="Times New Roman" w:hAnsi="Times New Roman" w:eastAsia="宋体" w:cs="Times New Roman"/>
      <w:sz w:val="18"/>
      <w:szCs w:val="18"/>
    </w:rPr>
  </w:style>
  <w:style w:type="character" w:customStyle="1" w:styleId="27">
    <w:name w:val="标题 2 字符"/>
    <w:basedOn w:val="17"/>
    <w:link w:val="4"/>
    <w:qFormat/>
    <w:uiPriority w:val="0"/>
    <w:rPr>
      <w:rFonts w:ascii="Cambria" w:hAnsi="Cambria" w:eastAsia="宋体" w:cs="Times New Roman"/>
      <w:b/>
      <w:bCs/>
      <w:sz w:val="32"/>
      <w:szCs w:val="32"/>
    </w:rPr>
  </w:style>
  <w:style w:type="paragraph" w:customStyle="1" w:styleId="28">
    <w:name w:val="列出段落1"/>
    <w:basedOn w:val="1"/>
    <w:qFormat/>
    <w:uiPriority w:val="34"/>
    <w:pPr>
      <w:ind w:firstLine="420" w:firstLineChars="200"/>
    </w:pPr>
    <w:rPr>
      <w:sz w:val="24"/>
      <w:szCs w:val="24"/>
    </w:rPr>
  </w:style>
  <w:style w:type="character" w:customStyle="1" w:styleId="29">
    <w:name w:val="列表段落 字符"/>
    <w:link w:val="21"/>
    <w:qFormat/>
    <w:uiPriority w:val="34"/>
    <w:rPr>
      <w:rFonts w:ascii="Times New Roman" w:hAnsi="Times New Roman" w:eastAsia="宋体" w:cs="Times New Roman"/>
      <w:szCs w:val="20"/>
    </w:rPr>
  </w:style>
  <w:style w:type="character" w:customStyle="1" w:styleId="30">
    <w:name w:val="标题 3 字符"/>
    <w:basedOn w:val="17"/>
    <w:link w:val="5"/>
    <w:qFormat/>
    <w:uiPriority w:val="9"/>
    <w:rPr>
      <w:rFonts w:ascii="Times New Roman" w:hAnsi="Times New Roman" w:eastAsia="宋体" w:cs="Times New Roman"/>
      <w:b/>
      <w:bCs/>
      <w:sz w:val="32"/>
      <w:szCs w:val="32"/>
    </w:rPr>
  </w:style>
  <w:style w:type="character" w:customStyle="1" w:styleId="31">
    <w:name w:val="标题 4 字符"/>
    <w:basedOn w:val="17"/>
    <w:link w:val="6"/>
    <w:semiHidden/>
    <w:qFormat/>
    <w:uiPriority w:val="9"/>
    <w:rPr>
      <w:rFonts w:asciiTheme="majorHAnsi" w:hAnsiTheme="majorHAnsi" w:eastAsiaTheme="majorEastAsia" w:cstheme="majorBidi"/>
      <w:b/>
      <w:bCs/>
      <w:kern w:val="2"/>
      <w:sz w:val="28"/>
      <w:szCs w:val="28"/>
    </w:rPr>
  </w:style>
  <w:style w:type="character" w:customStyle="1" w:styleId="32">
    <w:name w:val="正文文本 字符"/>
    <w:basedOn w:val="17"/>
    <w:link w:val="2"/>
    <w:semiHidden/>
    <w:qFormat/>
    <w:uiPriority w:val="99"/>
    <w:rPr>
      <w:rFonts w:asciiTheme="minorHAnsi" w:hAnsiTheme="minorHAnsi" w:eastAsiaTheme="minorEastAsia" w:cstheme="minorBidi"/>
      <w:kern w:val="2"/>
      <w:sz w:val="21"/>
      <w:szCs w:val="24"/>
    </w:rPr>
  </w:style>
  <w:style w:type="paragraph" w:customStyle="1" w:styleId="33">
    <w:name w:val="标题1"/>
    <w:basedOn w:val="1"/>
    <w:qFormat/>
    <w:uiPriority w:val="0"/>
    <w:pPr>
      <w:widowControl/>
      <w:spacing w:line="360" w:lineRule="auto"/>
      <w:jc w:val="center"/>
    </w:pPr>
    <w:rPr>
      <w:rFonts w:ascii="黑体" w:eastAsia="黑体"/>
      <w:b/>
      <w:kern w:val="0"/>
      <w:sz w:val="44"/>
      <w:szCs w:val="20"/>
    </w:rPr>
  </w:style>
  <w:style w:type="paragraph" w:customStyle="1" w:styleId="34">
    <w:name w:val="列出段落2"/>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HaoXiTong.Com</Company>
  <Pages>11</Pages>
  <Words>7952</Words>
  <Characters>8148</Characters>
  <Lines>31</Lines>
  <Paragraphs>8</Paragraphs>
  <TotalTime>12</TotalTime>
  <ScaleCrop>false</ScaleCrop>
  <LinksUpToDate>false</LinksUpToDate>
  <CharactersWithSpaces>8153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2019-04-08T03:41:00Z</dcterms:created>
  <dc:creator>PC</dc:creator>
  <cp:lastModifiedBy>idy</cp:lastModifiedBy>
  <dcterms:modified xsi:type="dcterms:W3CDTF">2026-04-02T08:05:47Z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eyJoZGlkIjoiMzg5NWMzYTViN2RiMjhmMDY5MDlkZTM2YzZiZjliM2MiLCJ1c2VySWQiOiI3MzYzODY5MzMifQ==</vt:lpwstr>
  </property>
  <property fmtid="{D5CDD505-2E9C-101B-9397-08002B2CF9AE}" pid="4" name="ICV">
    <vt:lpwstr>C2FA1A106D564E48B0F4B731B94860B0_13</vt:lpwstr>
  </property>
</Properties>
</file>