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28A7">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66ED136E">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14:paraId="479AF342">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龙岗区教育局第二期干部人才储备评审</w:t>
      </w:r>
    </w:p>
    <w:p w14:paraId="45DB42DA">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考务服务项目采购需求书</w:t>
      </w:r>
    </w:p>
    <w:p w14:paraId="50FE2739">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14:paraId="00F45E2F">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项目概况</w:t>
      </w:r>
    </w:p>
    <w:p w14:paraId="200787F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拓宽选人视野，龙岗区教育局计划开展第二期干部人才储备评审工作，为确保本次人才储备评审工作顺利开展，现拟通过“自行采购-公开征集”方式选取一家有经验、有实力的服务商提供本次人才储备评审笔试及面试综合考务服务。</w:t>
      </w:r>
    </w:p>
    <w:p w14:paraId="7DF0827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预算控制金额</w:t>
      </w:r>
    </w:p>
    <w:p w14:paraId="70948EE9">
      <w:pPr>
        <w:pStyle w:val="2"/>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本项目预算金额为人民币252000.00元，具体以实际产生为准支付，若超出预算控制价甲方不再支付额外费用，由中标人自行承担。</w:t>
      </w:r>
    </w:p>
    <w:p w14:paraId="05703E6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采购方式</w:t>
      </w:r>
    </w:p>
    <w:p w14:paraId="31DFA05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自行采购-公开征集。</w:t>
      </w:r>
    </w:p>
    <w:p w14:paraId="0A27C72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评标方法</w:t>
      </w:r>
    </w:p>
    <w:p w14:paraId="19F59D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综合评分法。</w:t>
      </w:r>
      <w:r>
        <w:rPr>
          <w:rFonts w:hint="eastAsia" w:ascii="仿宋_GB2312" w:hAnsi="仿宋_GB2312" w:eastAsia="仿宋_GB2312" w:cs="仿宋_GB2312"/>
          <w:b w:val="0"/>
          <w:bCs w:val="0"/>
          <w:color w:val="auto"/>
          <w:sz w:val="32"/>
          <w:szCs w:val="32"/>
          <w:lang w:val="en-US" w:eastAsia="zh-CN"/>
        </w:rPr>
        <w:t>综合评分标准详见附件1-1，报价单详见附件1-2。</w:t>
      </w:r>
    </w:p>
    <w:p w14:paraId="05C8CD6F">
      <w:pPr>
        <w:keepNext w:val="0"/>
        <w:keepLines w:val="0"/>
        <w:pageBreakBefore w:val="0"/>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五、项目技术要求</w:t>
      </w:r>
    </w:p>
    <w:p w14:paraId="070E1FA7">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（一）项目目标</w:t>
      </w:r>
    </w:p>
    <w:p w14:paraId="70C2DD27">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中标人能完全保障</w:t>
      </w:r>
      <w:r>
        <w:rPr>
          <w:rFonts w:hint="eastAsia" w:ascii="仿宋_GB2312" w:hAnsi="仿宋_GB2312" w:eastAsia="仿宋_GB2312" w:cs="仿宋_GB2312"/>
          <w:b w:val="0"/>
          <w:bCs/>
          <w:sz w:val="32"/>
          <w:szCs w:val="32"/>
          <w:lang w:eastAsia="zh-CN"/>
        </w:rPr>
        <w:t>龙岗区教育局第二期干部人才储备评审考务服务工作</w:t>
      </w:r>
      <w:r>
        <w:rPr>
          <w:rFonts w:hint="eastAsia" w:ascii="仿宋_GB2312" w:hAnsi="仿宋_GB2312" w:eastAsia="仿宋_GB2312" w:cs="仿宋_GB2312"/>
          <w:b w:val="0"/>
          <w:bCs/>
          <w:sz w:val="32"/>
          <w:szCs w:val="32"/>
        </w:rPr>
        <w:t>顺利开展，通过中标人专业化考务服务，能大力提升本次</w:t>
      </w:r>
      <w:r>
        <w:rPr>
          <w:rFonts w:hint="eastAsia" w:ascii="仿宋_GB2312" w:hAnsi="仿宋_GB2312" w:eastAsia="仿宋_GB2312" w:cs="仿宋_GB2312"/>
          <w:b w:val="0"/>
          <w:bCs/>
          <w:sz w:val="32"/>
          <w:szCs w:val="32"/>
          <w:lang w:val="en-US" w:eastAsia="zh-CN"/>
        </w:rPr>
        <w:t>人才储备评审的</w:t>
      </w:r>
      <w:r>
        <w:rPr>
          <w:rFonts w:hint="eastAsia" w:ascii="仿宋_GB2312" w:hAnsi="仿宋_GB2312" w:eastAsia="仿宋_GB2312" w:cs="仿宋_GB2312"/>
          <w:b w:val="0"/>
          <w:bCs/>
          <w:sz w:val="32"/>
          <w:szCs w:val="32"/>
        </w:rPr>
        <w:t>效率和质量。</w:t>
      </w:r>
    </w:p>
    <w:p w14:paraId="164EB659">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（二）采购内容</w:t>
      </w:r>
      <w:r>
        <w:rPr>
          <w:rFonts w:hint="eastAsia" w:ascii="楷体_GB2312" w:hAnsi="楷体_GB2312" w:eastAsia="楷体_GB2312" w:cs="楷体_GB2312"/>
          <w:b w:val="0"/>
          <w:bCs/>
          <w:sz w:val="32"/>
          <w:szCs w:val="32"/>
          <w:lang w:val="en-US" w:eastAsia="zh-CN"/>
        </w:rPr>
        <w:t>及要求</w:t>
      </w:r>
      <w:r>
        <w:rPr>
          <w:rFonts w:hint="eastAsia" w:ascii="楷体_GB2312" w:hAnsi="楷体_GB2312" w:eastAsia="楷体_GB2312" w:cs="楷体_GB2312"/>
          <w:b w:val="0"/>
          <w:bCs/>
          <w:sz w:val="32"/>
          <w:szCs w:val="32"/>
        </w:rPr>
        <w:t>（服务类）</w:t>
      </w:r>
    </w:p>
    <w:p w14:paraId="41EAE1F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本次</w:t>
      </w:r>
      <w:r>
        <w:rPr>
          <w:rFonts w:hint="eastAsia" w:ascii="仿宋_GB2312" w:hAnsi="仿宋_GB2312" w:eastAsia="仿宋_GB2312" w:cs="仿宋_GB2312"/>
          <w:b w:val="0"/>
          <w:bCs/>
          <w:sz w:val="32"/>
          <w:szCs w:val="32"/>
          <w:lang w:val="en-US" w:eastAsia="zh-CN"/>
        </w:rPr>
        <w:t>人才储备评审笔试采取上机考形式进行，人数按照540人测算，笔试总间数按18间测算，考试科目为1科，要求半天完成笔试工作；面试间数按照9间测算，要求1天完成面试工作。</w:t>
      </w:r>
      <w:r>
        <w:rPr>
          <w:rFonts w:hint="eastAsia" w:ascii="仿宋_GB2312" w:hAnsi="仿宋_GB2312" w:eastAsia="仿宋_GB2312" w:cs="仿宋_GB2312"/>
          <w:b w:val="0"/>
          <w:bCs/>
          <w:sz w:val="32"/>
          <w:szCs w:val="32"/>
        </w:rPr>
        <w:t>具体以实际</w:t>
      </w:r>
      <w:r>
        <w:rPr>
          <w:rFonts w:hint="eastAsia" w:ascii="仿宋_GB2312" w:hAnsi="仿宋_GB2312" w:eastAsia="仿宋_GB2312" w:cs="仿宋_GB2312"/>
          <w:b w:val="0"/>
          <w:bCs/>
          <w:sz w:val="32"/>
          <w:szCs w:val="32"/>
          <w:lang w:val="en-US" w:eastAsia="zh-CN"/>
        </w:rPr>
        <w:t>产生据实结算</w:t>
      </w:r>
      <w:r>
        <w:rPr>
          <w:rFonts w:hint="eastAsia" w:ascii="仿宋_GB2312" w:hAnsi="仿宋_GB2312" w:eastAsia="仿宋_GB2312" w:cs="仿宋_GB2312"/>
          <w:b w:val="0"/>
          <w:bCs/>
          <w:sz w:val="32"/>
          <w:szCs w:val="32"/>
        </w:rPr>
        <w:t>，采购需求如下：</w:t>
      </w:r>
    </w:p>
    <w:p w14:paraId="0D1DF73B">
      <w:pPr>
        <w:keepNext w:val="0"/>
        <w:keepLines w:val="0"/>
        <w:pageBreakBefore w:val="0"/>
        <w:kinsoku/>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1、人员要求</w:t>
      </w:r>
    </w:p>
    <w:p w14:paraId="3D26BFE5">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安排一名具有</w:t>
      </w:r>
      <w:r>
        <w:rPr>
          <w:rFonts w:hint="eastAsia" w:ascii="仿宋_GB2312" w:hAnsi="仿宋_GB2312" w:eastAsia="仿宋_GB2312" w:cs="仿宋_GB2312"/>
          <w:b w:val="0"/>
          <w:bCs/>
          <w:sz w:val="32"/>
          <w:szCs w:val="32"/>
          <w:lang w:val="en-US" w:eastAsia="zh-CN"/>
        </w:rPr>
        <w:t>人才储备评审或</w:t>
      </w:r>
      <w:r>
        <w:rPr>
          <w:rFonts w:hint="eastAsia" w:ascii="仿宋_GB2312" w:hAnsi="仿宋_GB2312" w:eastAsia="仿宋_GB2312" w:cs="仿宋_GB2312"/>
          <w:b w:val="0"/>
          <w:bCs/>
          <w:sz w:val="32"/>
          <w:szCs w:val="32"/>
        </w:rPr>
        <w:t>招聘考务组织经验丰富的自有员工担任本次</w:t>
      </w:r>
      <w:r>
        <w:rPr>
          <w:rFonts w:hint="eastAsia" w:ascii="仿宋_GB2312" w:hAnsi="仿宋_GB2312" w:eastAsia="仿宋_GB2312" w:cs="仿宋_GB2312"/>
          <w:b w:val="0"/>
          <w:bCs/>
          <w:sz w:val="32"/>
          <w:szCs w:val="32"/>
          <w:lang w:val="en-US" w:eastAsia="zh-CN"/>
        </w:rPr>
        <w:t>人才储备评审</w:t>
      </w:r>
      <w:r>
        <w:rPr>
          <w:rFonts w:hint="eastAsia" w:ascii="仿宋_GB2312" w:hAnsi="仿宋_GB2312" w:eastAsia="仿宋_GB2312" w:cs="仿宋_GB2312"/>
          <w:b w:val="0"/>
          <w:bCs/>
          <w:sz w:val="32"/>
          <w:szCs w:val="32"/>
        </w:rPr>
        <w:t>项目团队总负责人，统筹协调各项考务工作；安排足够具备考务组织经验的员工组成本次</w:t>
      </w:r>
      <w:r>
        <w:rPr>
          <w:rFonts w:hint="eastAsia" w:ascii="仿宋_GB2312" w:hAnsi="仿宋_GB2312" w:eastAsia="仿宋_GB2312" w:cs="仿宋_GB2312"/>
          <w:b w:val="0"/>
          <w:bCs/>
          <w:sz w:val="32"/>
          <w:szCs w:val="32"/>
          <w:lang w:val="en-US" w:eastAsia="zh-CN"/>
        </w:rPr>
        <w:t>人才储备评审</w:t>
      </w:r>
      <w:r>
        <w:rPr>
          <w:rFonts w:hint="eastAsia" w:ascii="仿宋_GB2312" w:hAnsi="仿宋_GB2312" w:eastAsia="仿宋_GB2312" w:cs="仿宋_GB2312"/>
          <w:b w:val="0"/>
          <w:bCs/>
          <w:sz w:val="32"/>
          <w:szCs w:val="32"/>
        </w:rPr>
        <w:t>考务服务团队，要求提前做好人员岗位分工并报甲方备案</w:t>
      </w:r>
      <w:r>
        <w:rPr>
          <w:rFonts w:hint="eastAsia" w:ascii="仿宋_GB2312" w:hAnsi="仿宋_GB2312" w:eastAsia="仿宋_GB2312" w:cs="仿宋_GB2312"/>
          <w:b w:val="0"/>
          <w:bCs/>
          <w:sz w:val="32"/>
          <w:szCs w:val="32"/>
          <w:lang w:val="en-US" w:eastAsia="zh-CN"/>
        </w:rPr>
        <w:t>确认</w:t>
      </w:r>
      <w:r>
        <w:rPr>
          <w:rFonts w:hint="eastAsia" w:ascii="仿宋_GB2312" w:hAnsi="仿宋_GB2312" w:eastAsia="仿宋_GB2312" w:cs="仿宋_GB2312"/>
          <w:b w:val="0"/>
          <w:bCs/>
          <w:sz w:val="32"/>
          <w:szCs w:val="32"/>
        </w:rPr>
        <w:t>。</w:t>
      </w:r>
    </w:p>
    <w:p w14:paraId="456A993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采购人</w:t>
      </w:r>
      <w:r>
        <w:rPr>
          <w:rFonts w:hint="eastAsia" w:ascii="仿宋_GB2312" w:hAnsi="仿宋_GB2312" w:eastAsia="仿宋_GB2312" w:cs="仿宋_GB2312"/>
          <w:b w:val="0"/>
          <w:bCs/>
          <w:sz w:val="32"/>
          <w:szCs w:val="32"/>
        </w:rPr>
        <w:t>负责确定</w:t>
      </w:r>
      <w:r>
        <w:rPr>
          <w:rFonts w:hint="eastAsia" w:ascii="仿宋_GB2312" w:hAnsi="仿宋_GB2312" w:eastAsia="仿宋_GB2312" w:cs="仿宋_GB2312"/>
          <w:b w:val="0"/>
          <w:bCs/>
          <w:sz w:val="32"/>
          <w:szCs w:val="32"/>
          <w:lang w:val="en-US" w:eastAsia="zh-CN"/>
        </w:rPr>
        <w:t>笔试及面试</w:t>
      </w:r>
      <w:r>
        <w:rPr>
          <w:rFonts w:hint="eastAsia" w:ascii="仿宋_GB2312" w:hAnsi="仿宋_GB2312" w:eastAsia="仿宋_GB2312" w:cs="仿宋_GB2312"/>
          <w:b w:val="0"/>
          <w:bCs/>
          <w:sz w:val="32"/>
          <w:szCs w:val="32"/>
        </w:rPr>
        <w:t>当天各个环节工作人员的资格条件并通知中标人，</w:t>
      </w:r>
      <w:r>
        <w:rPr>
          <w:rFonts w:hint="eastAsia" w:ascii="仿宋_GB2312" w:hAnsi="仿宋_GB2312" w:eastAsia="仿宋_GB2312" w:cs="仿宋_GB2312"/>
          <w:b w:val="0"/>
          <w:bCs/>
          <w:sz w:val="32"/>
          <w:szCs w:val="32"/>
          <w:lang w:val="en-US" w:eastAsia="zh-CN"/>
        </w:rPr>
        <w:t>中标人接到甲方通知后5个工作日内提供人员名单信息报甲方审核备案，乙方应当主动与甲方取得联系确认各个环节工作及要求。</w:t>
      </w:r>
    </w:p>
    <w:p w14:paraId="7B9CDEE1">
      <w:pPr>
        <w:keepNext w:val="0"/>
        <w:keepLines w:val="0"/>
        <w:pageBreakBefore w:val="0"/>
        <w:kinsoku/>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2、笔试考务组织要求</w:t>
      </w:r>
    </w:p>
    <w:p w14:paraId="68DDD6FD">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Cs/>
          <w:kern w:val="2"/>
          <w:sz w:val="32"/>
          <w:szCs w:val="32"/>
          <w:highlight w:val="none"/>
          <w:lang w:val="en-US" w:eastAsia="zh-CN"/>
        </w:rPr>
        <w:t>★</w:t>
      </w:r>
      <w:r>
        <w:rPr>
          <w:rFonts w:hint="eastAsia" w:ascii="仿宋_GB2312" w:hAnsi="仿宋_GB2312" w:eastAsia="仿宋_GB2312" w:cs="仿宋_GB2312"/>
          <w:b w:val="0"/>
          <w:bCs/>
          <w:sz w:val="32"/>
          <w:szCs w:val="32"/>
          <w:lang w:val="en-US" w:eastAsia="zh-CN"/>
        </w:rPr>
        <w:t>（1）本次笔试采用上机考模式进行，要求每考生配备1台运行稳定且不卡顿的台式电脑，同时配备不低于考生人数5%的备用机，中标人负责机考设备系统的布置（含网线等），考试设备要求限定为局域网，不得外接互联网。中标人应提前一天完成考场布置，笔试场地位置要求位于深圳市龙岗区内。</w:t>
      </w:r>
    </w:p>
    <w:p w14:paraId="1DD90703">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（2）笔试考务组织服务由中标人负责，中标人提供本次笔试期间考生签到系统服务，同时负责考生账号的安排、考生准考证的制作、监控布置、考场安全管理等。</w:t>
      </w:r>
    </w:p>
    <w:p w14:paraId="5058525F">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笔试考场必须严格按照国家大型考试标准与规范进行布置，考场应环境整洁、光线充足、通风良好，考位间距符合防作弊要求（通常不低于80厘米），考场应设置醒目的指引标识、考场分布图、考试时间公告及违纪处理规定等。</w:t>
      </w:r>
    </w:p>
    <w:p w14:paraId="092C031B">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（4）考场内、试卷收发区、考试通道、考务办公室及试卷保密室等关键区域，必须实现高清、无死角视频监控全覆盖。监控系统应确保画面清晰、录音可辨、时间准确，并具备不间断电源保障。</w:t>
      </w:r>
    </w:p>
    <w:p w14:paraId="3E9B3B5D">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所有监控视频数据应妥善保存，乙方须在笔试结束之日起1个工作日内，将完整、未经篡改的考场监控视频数据移交给甲方指定负责人。用于存储视频的全新、空白移动硬盘或专用存储设备由乙方提供，且存储容量须满足全部视频文件存储需求。</w:t>
      </w:r>
    </w:p>
    <w:p w14:paraId="3E24DC01">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（6）所有笔试监考员（含主监考、副监考）必须具备正规大型考试（如公务员招录、事业单位招聘、国家教育考试等）的监考工作经验，不得选取未毕业的兼职大学生担任监考员。</w:t>
      </w:r>
    </w:p>
    <w:p w14:paraId="3DFA2E37">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（7）中标人须在考试前对所有监考员及考务人员进行集中、统一的专项培训，内容包括但不限于：考试规程、岗位职责、作弊识别与处置、突发事件应对、保密纪律等。</w:t>
      </w:r>
    </w:p>
    <w:p w14:paraId="7CCD903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（8）中标人需配置足够的现场引导员、秩序维护员及系统技术支持人员。工作人员须熟悉自身岗位职责，要求着装统一，做到热情服务考生。</w:t>
      </w:r>
    </w:p>
    <w:p w14:paraId="71536B75">
      <w:pPr>
        <w:keepNext w:val="0"/>
        <w:keepLines w:val="0"/>
        <w:pageBreakBefore w:val="0"/>
        <w:kinsoku/>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3、面试考务组织要求</w:t>
      </w:r>
    </w:p>
    <w:p w14:paraId="6022E41C">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Cs/>
          <w:kern w:val="2"/>
          <w:sz w:val="32"/>
          <w:szCs w:val="32"/>
          <w:highlight w:val="none"/>
          <w:lang w:val="en-US" w:eastAsia="zh-CN"/>
        </w:rPr>
        <w:t>★</w:t>
      </w:r>
      <w:r>
        <w:rPr>
          <w:rFonts w:hint="eastAsia" w:ascii="仿宋_GB2312" w:hAnsi="仿宋_GB2312" w:eastAsia="仿宋_GB2312" w:cs="仿宋_GB2312"/>
          <w:b w:val="0"/>
          <w:bCs/>
          <w:sz w:val="32"/>
          <w:szCs w:val="32"/>
          <w:lang w:val="en-US" w:eastAsia="zh-CN"/>
        </w:rPr>
        <w:t>（1）面试组织服务由中标人负责，中标人应提前一天完成面试场地布置，场地的位置</w:t>
      </w:r>
      <w:r>
        <w:rPr>
          <w:rFonts w:hint="eastAsia" w:ascii="仿宋_GB2312" w:hAnsi="仿宋_GB2312" w:eastAsia="仿宋_GB2312" w:cs="仿宋_GB2312"/>
          <w:b w:val="0"/>
          <w:bCs/>
          <w:sz w:val="32"/>
          <w:szCs w:val="32"/>
        </w:rPr>
        <w:t>由甲方与中标人协商确定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要求位于深圳市龙岗区内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中标人提供本次面试期间的考生签到系统服务。</w:t>
      </w:r>
    </w:p>
    <w:p w14:paraId="0453194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2）面试场地各等关键区域，必须实现高清、无死角视频监控全覆盖。监控系统应确保画面清晰、录音可辨、时间准确，并具备不间断电源保障，监控视频应在面试结束后1个工作日内移交甲方指定负责人。</w:t>
      </w:r>
    </w:p>
    <w:p w14:paraId="3033CEB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（3）中标人提供短信提醒服务，要求至少提前一天通知参加面试考生参与面试工作。</w:t>
      </w:r>
    </w:p>
    <w:p w14:paraId="630BF81B">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（4）中标人需配置足够的现场引导员、秩序维护员及系统技术支持人员。工作人员须熟悉自身岗位职责，要求着装统一，做到热情服务考生。</w:t>
      </w:r>
    </w:p>
    <w:p w14:paraId="6ED22ABC">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（5）中标人提供专业稳定的</w:t>
      </w:r>
      <w:r>
        <w:rPr>
          <w:rFonts w:hint="eastAsia" w:ascii="仿宋_GB2312" w:hAnsi="仿宋_GB2312" w:eastAsia="仿宋_GB2312" w:cs="仿宋_GB2312"/>
          <w:b w:val="0"/>
          <w:bCs/>
          <w:sz w:val="32"/>
          <w:szCs w:val="32"/>
        </w:rPr>
        <w:t>考官抽签系统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考生抽签系统及面试分数登记设备（使用笔记本电脑人工登记分数）并配备足够数量的备用设备，各系统准确无误的运行由中标人完全负责。</w:t>
      </w:r>
    </w:p>
    <w:p w14:paraId="5F2A9832">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上述笔试及面试期间所有物料文具耗材，如签字笔、凤尾夹、纸巾、尺子、订书机、订书针、倒计时器、倒计时提示牌、档案袋、手提袋、纸箱、排插、打印碳粉盒、A4纸、A3纸及餐饮茶歇等均由中标人负责提供。</w:t>
      </w:r>
    </w:p>
    <w:p w14:paraId="29056535">
      <w:pPr>
        <w:pStyle w:val="13"/>
        <w:keepNext w:val="0"/>
        <w:keepLines w:val="0"/>
        <w:pageBreakBefore w:val="0"/>
        <w:numPr>
          <w:ilvl w:val="0"/>
          <w:numId w:val="0"/>
        </w:numPr>
        <w:shd w:val="clear" w:color="auto" w:fill="FFFFFF"/>
        <w:kinsoku/>
        <w:overflowPunct/>
        <w:topLinePunct w:val="0"/>
        <w:autoSpaceDE/>
        <w:autoSpaceDN/>
        <w:bidi w:val="0"/>
        <w:spacing w:before="0" w:after="0" w:line="560" w:lineRule="exact"/>
        <w:ind w:leftChars="0"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六、项目商务要求</w:t>
      </w:r>
    </w:p>
    <w:p w14:paraId="30E4C46B">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（一）服务期限</w:t>
      </w:r>
    </w:p>
    <w:p w14:paraId="650DE2DF">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本项目服务期限自合同签订之日起至本次人才储备评审笔试及面试完全结束，预计结束时间为2026年6月30日前。具体服务时间以实际考务工作进度为准，中标人能随时根据具体笔试及面试时间安排响应甲方要求。</w:t>
      </w:r>
    </w:p>
    <w:p w14:paraId="3AAA5802">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（二）付款方式</w:t>
      </w:r>
    </w:p>
    <w:p w14:paraId="63F6A7D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★完成项目约定服务且履约验收合格后，中标人开具正式票据，甲方收到中标人票据后按深圳市龙岗区财政局有关规定向中标人一次性支付服务费。</w:t>
      </w:r>
    </w:p>
    <w:p w14:paraId="7441BA73">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（三）其他要求</w:t>
      </w:r>
    </w:p>
    <w:p w14:paraId="3A5BCEF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1.鉴于人才储备评审考试的严谨性以及可能引发的舆情风险，中标人务必于笔试及面试前做好整体考务组织规划，包括考务人员岗位培训、场地布置、后勤物资保障、相关设备系统调试等前期准备工作。</w:t>
      </w:r>
    </w:p>
    <w:p w14:paraId="795F514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2.中标人应按照保密要求做好考生信息、试题信息、项目合作等相关事项的保密工作。</w:t>
      </w:r>
    </w:p>
    <w:p w14:paraId="53D246A4">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3.中标人需配合处理好笔试、面试过程中可能产生的咨询及投诉问题，对于因中标人考务组织及后勤保障不力出现的重大问题，甲方有权要求中标人做出相应赔偿。</w:t>
      </w:r>
    </w:p>
    <w:p w14:paraId="569BE9BD">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4.中标人报价必须唯一，不得提供选择性报价，不得低于成本价。</w:t>
      </w:r>
    </w:p>
    <w:p w14:paraId="323D5A43">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5.中标人在履约过程中可能产生的差旅费、住宿费等均由中标人自行承担。</w:t>
      </w:r>
    </w:p>
    <w:p w14:paraId="002AF629">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投标人资质要求</w:t>
      </w:r>
    </w:p>
    <w:p w14:paraId="4A0984C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1.满足《中华人民共和国政府采购法》第二十二条规定（投标人在投标文件中签署《政府采购投标及履约承诺函》即可）;</w:t>
      </w:r>
    </w:p>
    <w:p w14:paraId="3E5891D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2.投标人必须具有独立承担民事责任的能力，不接受分公司或者分支机构参与投标；</w:t>
      </w:r>
    </w:p>
    <w:p w14:paraId="71D7D3D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3.参与本项目投标前三年内，在经营活动中没有重大违法记录（由投标人在《政府采购投标及履约承诺函》中作出承诺）； </w:t>
      </w:r>
    </w:p>
    <w:p w14:paraId="6D408BB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4.参与本项目政府采购活动时不存在被有关部门禁止参与政府采购活动且在有效期内的情况（由投标人在《政府采购投标及履约承诺函》中作出承诺）；</w:t>
      </w:r>
    </w:p>
    <w:p w14:paraId="06034BA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与本项目政府采购活动时未被列入失信被执行人、重大税收违法案件当事人名单、政府采购严重违法失信行为记录名单（由投标人在《政府采购投标及履约承诺函》中作出声明）；注：“信用中国”、“中国政府采购网”、“深圳信用网”以及“深圳市政府采购监管网”为投标人信用信息的查询渠道。</w:t>
      </w:r>
    </w:p>
    <w:p w14:paraId="5CBF353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6.本项目不接受联合体投标，不允许</w:t>
      </w:r>
      <w:r>
        <w:rPr>
          <w:rFonts w:hint="eastAsia" w:ascii="仿宋_GB2312" w:hAnsi="仿宋_GB2312" w:eastAsia="仿宋_GB2312" w:cs="仿宋_GB2312"/>
          <w:color w:val="auto"/>
          <w:sz w:val="32"/>
          <w:szCs w:val="32"/>
          <w:lang w:val="en-US" w:eastAsia="zh-CN"/>
        </w:rPr>
        <w:t>中标人</w:t>
      </w:r>
      <w:r>
        <w:rPr>
          <w:rFonts w:hint="eastAsia" w:ascii="仿宋_GB2312" w:hAnsi="仿宋_GB2312" w:eastAsia="仿宋_GB2312" w:cs="仿宋_GB2312"/>
          <w:color w:val="auto"/>
          <w:sz w:val="32"/>
          <w:szCs w:val="32"/>
        </w:rPr>
        <w:t>转包、分包。</w:t>
      </w:r>
    </w:p>
    <w:p w14:paraId="691875B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7.投标人应具备人力资源服务、人才测评或人才评价相关营业内容。</w:t>
      </w:r>
    </w:p>
    <w:p w14:paraId="60B8A12E">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接收投标文件地点和投标截止时间等</w:t>
      </w:r>
    </w:p>
    <w:p w14:paraId="1F0496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1.接收投标文件地点：深圳市龙岗区清林中路213号教育综合大厦608办公室；</w:t>
      </w:r>
    </w:p>
    <w:p w14:paraId="4ACBD2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黑体" w:hAnsi="黑体" w:eastAsia="黑体" w:cs="黑体"/>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2.投标截止时间：2026年4</w:t>
      </w:r>
      <w:bookmarkStart w:id="0" w:name="_GoBack"/>
      <w:bookmarkEnd w:id="0"/>
      <w:r>
        <w:rPr>
          <w:rFonts w:hint="eastAsia" w:ascii="仿宋_GB2312" w:hAnsi="仿宋_GB2312" w:eastAsia="仿宋_GB2312" w:cs="仿宋_GB2312"/>
          <w:bCs/>
          <w:color w:val="auto"/>
          <w:kern w:val="0"/>
          <w:sz w:val="32"/>
          <w:szCs w:val="32"/>
          <w:lang w:val="en-US" w:eastAsia="zh-CN"/>
        </w:rPr>
        <w:t>月3日18:00。</w:t>
      </w:r>
    </w:p>
    <w:p w14:paraId="74B8AD4C">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业务咨询</w:t>
      </w:r>
    </w:p>
    <w:p w14:paraId="11B26ABC">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联系人：曹老师，联系电话：0755-89551913</w:t>
      </w:r>
    </w:p>
    <w:p w14:paraId="37D58ED5">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地址：</w:t>
      </w:r>
      <w:r>
        <w:rPr>
          <w:rFonts w:hint="eastAsia" w:ascii="仿宋_GB2312" w:hAnsi="仿宋_GB2312" w:eastAsia="仿宋_GB2312" w:cs="仿宋_GB2312"/>
          <w:bCs/>
          <w:color w:val="auto"/>
          <w:kern w:val="0"/>
          <w:sz w:val="32"/>
          <w:szCs w:val="32"/>
        </w:rPr>
        <w:t>龙岗区中心城清林中路213号教育综合大厦</w:t>
      </w:r>
    </w:p>
    <w:p w14:paraId="31F2F3D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p>
    <w:p w14:paraId="3BE06F27">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附件：1-1.综合评分标准</w:t>
      </w:r>
    </w:p>
    <w:p w14:paraId="017F5CAD">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      1-2.报价单</w:t>
      </w:r>
    </w:p>
    <w:p w14:paraId="74943B31">
      <w:pPr>
        <w:keepNext w:val="0"/>
        <w:keepLines w:val="0"/>
        <w:pageBreakBefore w:val="0"/>
        <w:kinsoku/>
        <w:overflowPunct/>
        <w:topLinePunct w:val="0"/>
        <w:bidi w:val="0"/>
        <w:spacing w:line="560" w:lineRule="exact"/>
        <w:rPr>
          <w:rFonts w:hint="eastAsia"/>
          <w:lang w:val="en-US" w:eastAsia="zh-CN"/>
        </w:rPr>
      </w:pPr>
    </w:p>
    <w:p w14:paraId="6131FC98">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60" w:lineRule="exact"/>
        <w:ind w:right="0" w:rightChars="0" w:firstLine="640" w:firstLineChars="200"/>
        <w:jc w:val="right"/>
        <w:textAlignment w:val="auto"/>
        <w:outlineLvl w:val="9"/>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深圳市龙岗区教育局    </w:t>
      </w:r>
    </w:p>
    <w:p w14:paraId="0147541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                               2026年3月31日   </w:t>
      </w:r>
    </w:p>
    <w:p w14:paraId="5C376D44">
      <w:pPr>
        <w:pStyle w:val="2"/>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03C879E5">
      <w:pPr>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41747AE9">
      <w:pPr>
        <w:pStyle w:val="2"/>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60A8FFBB">
      <w:pPr>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31B9FAA7">
      <w:pPr>
        <w:pStyle w:val="2"/>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2C18C643">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64853490">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01CDFB9D">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166C97A4">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22361B06">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附件1-1：综合评分标准</w:t>
      </w:r>
    </w:p>
    <w:p w14:paraId="0D79D34C">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评标委员会按照以下量化评审因素，对各投标文件进行分析和比较。</w:t>
      </w:r>
    </w:p>
    <w:p w14:paraId="3D79A6AC">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价格分计算方法：采用低价优先法计算，即满足招标文件要求且投标价格最低的投标报价为</w:t>
      </w:r>
    </w:p>
    <w:p w14:paraId="2672ABFB">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 xml:space="preserve">评标基准价，其价格分为满分。其他投标人的价格分统一按照下列公式计算： </w:t>
      </w:r>
    </w:p>
    <w:p w14:paraId="03A6BB01">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投标报价得分=(评标基准价／投标报价)*权重</w:t>
      </w:r>
    </w:p>
    <w:p w14:paraId="082E0F72">
      <w:pPr>
        <w:pStyle w:val="2"/>
        <w:keepNext w:val="0"/>
        <w:keepLines w:val="0"/>
        <w:pageBreakBefore w:val="0"/>
        <w:kinsoku/>
        <w:overflowPunct/>
        <w:topLinePunct w:val="0"/>
        <w:bidi w:val="0"/>
        <w:spacing w:line="240" w:lineRule="auto"/>
        <w:rPr>
          <w:rFonts w:hint="default"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评标过程中，不得去掉报价中的最高报价和最低报价。</w:t>
      </w:r>
    </w:p>
    <w:tbl>
      <w:tblPr>
        <w:tblStyle w:val="10"/>
        <w:tblW w:w="90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175"/>
        <w:gridCol w:w="813"/>
        <w:gridCol w:w="5721"/>
      </w:tblGrid>
      <w:tr w14:paraId="50F88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43D61E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6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37ED5B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评分项</w:t>
            </w:r>
          </w:p>
        </w:tc>
        <w:tc>
          <w:tcPr>
            <w:tcW w:w="5721"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00D487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权重</w:t>
            </w:r>
          </w:p>
        </w:tc>
      </w:tr>
      <w:tr w14:paraId="1A2DE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noWrap w:val="0"/>
            <w:vAlign w:val="top"/>
          </w:tcPr>
          <w:p w14:paraId="11BBBDE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1</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5C2A28B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价格</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08DFB2B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rPr>
            </w:pPr>
            <w:r>
              <w:rPr>
                <w:rFonts w:hint="eastAsia" w:ascii="宋体" w:hAnsi="宋体" w:eastAsia="宋体" w:cs="宋体"/>
                <w:b/>
                <w:bCs/>
                <w:color w:val="0000FF"/>
                <w:sz w:val="24"/>
                <w:szCs w:val="24"/>
                <w:lang w:val="en-US" w:eastAsia="zh-CN"/>
              </w:rPr>
              <w:t>10</w:t>
            </w:r>
          </w:p>
        </w:tc>
      </w:tr>
      <w:tr w14:paraId="768DC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noWrap w:val="0"/>
            <w:vAlign w:val="top"/>
          </w:tcPr>
          <w:p w14:paraId="0793CE0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2</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26086C8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技术部分</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4900BD3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65</w:t>
            </w:r>
          </w:p>
        </w:tc>
      </w:tr>
      <w:tr w14:paraId="493B0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noWrap w:val="0"/>
            <w:vAlign w:val="center"/>
          </w:tcPr>
          <w:p w14:paraId="6B8EB34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C524A5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8F8F6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72EEFA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权重</w:t>
            </w:r>
          </w:p>
        </w:tc>
        <w:tc>
          <w:tcPr>
            <w:tcW w:w="572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BEDDC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评分准则</w:t>
            </w:r>
          </w:p>
        </w:tc>
      </w:tr>
      <w:tr w14:paraId="250E4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4317E2D4">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37D1D8BD">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7518C21B">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项目整体实施方案</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4F2FE32E">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15</w:t>
            </w:r>
          </w:p>
        </w:tc>
        <w:tc>
          <w:tcPr>
            <w:tcW w:w="5721" w:type="dxa"/>
            <w:tcBorders>
              <w:top w:val="single" w:color="000000" w:sz="8" w:space="0"/>
              <w:left w:val="single" w:color="000000" w:sz="8" w:space="0"/>
              <w:right w:val="single" w:color="000000" w:sz="8" w:space="0"/>
            </w:tcBorders>
            <w:noWrap w:val="0"/>
            <w:vAlign w:val="center"/>
          </w:tcPr>
          <w:p w14:paraId="7529BE41">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0AF8E3CB">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结合采购要求，对项目中要求的笔试及面试等各项内容进行整体梳理规划,包括但不限于以下内容：</w:t>
            </w:r>
          </w:p>
          <w:p w14:paraId="1618BB64">
            <w:pPr>
              <w:keepNext w:val="0"/>
              <w:keepLines w:val="0"/>
              <w:pageBreakBefore w:val="0"/>
              <w:widowControl w:val="0"/>
              <w:numPr>
                <w:ilvl w:val="0"/>
                <w:numId w:val="0"/>
              </w:numPr>
              <w:suppressLineNumbers w:val="0"/>
              <w:kinsoku/>
              <w:overflowPunct/>
              <w:topLinePunct w:val="0"/>
              <w:autoSpaceDE w:val="0"/>
              <w:autoSpaceDN w:val="0"/>
              <w:bidi w:val="0"/>
              <w:adjustRightInd w:val="0"/>
              <w:spacing w:before="0" w:beforeAutospacing="0" w:after="0" w:afterAutospacing="0" w:line="240" w:lineRule="auto"/>
              <w:ind w:left="0" w:leftChars="0" w:right="0" w:right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1、笔试组织实施方案；</w:t>
            </w:r>
          </w:p>
          <w:p w14:paraId="33716D7C">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2、面试组织实施方案；</w:t>
            </w:r>
          </w:p>
          <w:p w14:paraId="585AF1C1">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3、项目实施保密方案。</w:t>
            </w:r>
          </w:p>
          <w:p w14:paraId="0CA58B7F">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60D42760">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1、每提供上述任意一项内容得3分，本小项累计最高得9分；</w:t>
            </w:r>
          </w:p>
          <w:p w14:paraId="74796AAF">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2、在此基础上，评审专家根据各供应商的具体响应内容按照量化的评审因素指标进一步评审：</w:t>
            </w:r>
          </w:p>
          <w:p w14:paraId="663CF252">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（1）方案整体科学合理、针对性强、可操作性强，评审为优的，加6分；</w:t>
            </w:r>
          </w:p>
          <w:p w14:paraId="00BC0F03">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（2）方案较合理、有一定针对性、一定可操作性，评审为良的，加4分；</w:t>
            </w:r>
          </w:p>
          <w:p w14:paraId="5BFD9862">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（3）方案不尽合理、针对性一般、可操作性一般，评审为中的，加2分；</w:t>
            </w:r>
          </w:p>
          <w:p w14:paraId="1407CC6B">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righ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（4）方案不合理、无针对性、无可操作性，评审为差的，加0分。</w:t>
            </w:r>
          </w:p>
        </w:tc>
      </w:tr>
      <w:tr w14:paraId="43D07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11519EB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8B95D9E">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2</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611DCF00">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项目重难点分析</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0018B3F">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15</w:t>
            </w:r>
          </w:p>
        </w:tc>
        <w:tc>
          <w:tcPr>
            <w:tcW w:w="5721" w:type="dxa"/>
            <w:tcBorders>
              <w:left w:val="single" w:color="000000" w:sz="8" w:space="0"/>
              <w:bottom w:val="single" w:color="000000" w:sz="8" w:space="0"/>
              <w:right w:val="single" w:color="000000" w:sz="8" w:space="0"/>
            </w:tcBorders>
            <w:noWrap w:val="0"/>
            <w:vAlign w:val="center"/>
          </w:tcPr>
          <w:p w14:paraId="0F2B588B">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6F615E82">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查看投标人提供的该项目</w:t>
            </w:r>
            <w:r>
              <w:rPr>
                <w:rFonts w:hint="eastAsia" w:ascii="宋体" w:hAnsi="宋体" w:eastAsia="宋体" w:cs="宋体"/>
                <w:kern w:val="2"/>
                <w:sz w:val="24"/>
                <w:szCs w:val="24"/>
                <w:lang w:val="en-US" w:eastAsia="zh-CN" w:bidi="ar"/>
              </w:rPr>
              <w:t>方案及防范措施</w:t>
            </w:r>
            <w:r>
              <w:rPr>
                <w:rFonts w:hint="eastAsia" w:ascii="宋体" w:hAnsi="宋体" w:eastAsia="宋体" w:cs="宋体"/>
                <w:kern w:val="0"/>
                <w:sz w:val="24"/>
                <w:szCs w:val="24"/>
                <w:lang w:val="en-US" w:eastAsia="zh-CN" w:bidi="ar"/>
              </w:rPr>
              <w:t>，包含以下内容：</w:t>
            </w:r>
          </w:p>
          <w:p w14:paraId="3454A245">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1、项目重点分析；</w:t>
            </w:r>
          </w:p>
          <w:p w14:paraId="286422A4">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2、项目难点分析；</w:t>
            </w:r>
          </w:p>
          <w:p w14:paraId="46FA9668">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3、项目重点、难点应对措施。</w:t>
            </w:r>
          </w:p>
          <w:p w14:paraId="11DCED7A">
            <w:pPr>
              <w:keepNext w:val="0"/>
              <w:keepLines w:val="0"/>
              <w:pageBreakBefore w:val="0"/>
              <w:widowControl/>
              <w:suppressLineNumbers w:val="0"/>
              <w:kinsoku/>
              <w:overflowPunct/>
              <w:topLinePunct w:val="0"/>
              <w:bidi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382F2091">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1、每提供上述任意一项内容得3分，本小项累计最高得9分；</w:t>
            </w:r>
          </w:p>
          <w:p w14:paraId="770B9E5A">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2、在此基础上，专家根据各供应商的具体响应内容按照量化的评审因素指标进一步评审：</w:t>
            </w:r>
          </w:p>
          <w:p w14:paraId="10575642">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（1）方案整体科学合理、针对性强、可操作性强，评审为优的，加6分；</w:t>
            </w:r>
          </w:p>
          <w:p w14:paraId="080A4DF4">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（2）方案较合理、有一定针对性、一定可操作性，评审为良的，加4分；</w:t>
            </w:r>
          </w:p>
          <w:p w14:paraId="0C441BB0">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（3）方案不尽合理、针对性一般、可操作性一般，评审为中的，加2分；</w:t>
            </w:r>
          </w:p>
          <w:p w14:paraId="16AB3C13">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（4）方案不合理、无针对性、无可操作性，评审为差的，加0分。</w:t>
            </w:r>
          </w:p>
        </w:tc>
      </w:tr>
      <w:tr w14:paraId="2D0E1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6267A2B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2EACBBA7">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3</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7EFA5B1E">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项目应急服务方案</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391A33AF">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10</w:t>
            </w:r>
          </w:p>
        </w:tc>
        <w:tc>
          <w:tcPr>
            <w:tcW w:w="5721" w:type="dxa"/>
            <w:tcBorders>
              <w:left w:val="single" w:color="000000" w:sz="8" w:space="0"/>
              <w:bottom w:val="single" w:color="000000" w:sz="8" w:space="0"/>
              <w:right w:val="single" w:color="000000" w:sz="8" w:space="0"/>
            </w:tcBorders>
            <w:noWrap w:val="0"/>
            <w:vAlign w:val="center"/>
          </w:tcPr>
          <w:p w14:paraId="634ACB52">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01716DCC">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查看投标人提供的</w:t>
            </w:r>
            <w:r>
              <w:rPr>
                <w:rFonts w:hint="eastAsia" w:ascii="宋体" w:hAnsi="宋体" w:eastAsia="宋体" w:cs="宋体"/>
                <w:kern w:val="2"/>
                <w:sz w:val="24"/>
                <w:szCs w:val="24"/>
                <w:lang w:val="en-US" w:eastAsia="zh-CN" w:bidi="ar"/>
              </w:rPr>
              <w:t>非正常情况或突发情况下的应急处理方案及防范措施</w:t>
            </w:r>
            <w:r>
              <w:rPr>
                <w:rFonts w:hint="eastAsia" w:ascii="宋体" w:hAnsi="宋体" w:eastAsia="宋体" w:cs="宋体"/>
                <w:kern w:val="0"/>
                <w:sz w:val="24"/>
                <w:szCs w:val="24"/>
                <w:lang w:val="en-US" w:eastAsia="zh-CN" w:bidi="ar"/>
              </w:rPr>
              <w:t>，包含以下内容：</w:t>
            </w:r>
          </w:p>
          <w:p w14:paraId="47E034C5">
            <w:pPr>
              <w:keepNext w:val="0"/>
              <w:keepLines w:val="0"/>
              <w:pageBreakBefore w:val="0"/>
              <w:widowControl w:val="0"/>
              <w:numPr>
                <w:ilvl w:val="0"/>
                <w:numId w:val="3"/>
              </w:numPr>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梳理项目实施过程中可能出现的突发情况；</w:t>
            </w:r>
          </w:p>
          <w:p w14:paraId="5F496EF1">
            <w:pPr>
              <w:keepNext w:val="0"/>
              <w:keepLines w:val="0"/>
              <w:pageBreakBefore w:val="0"/>
              <w:widowControl w:val="0"/>
              <w:numPr>
                <w:ilvl w:val="0"/>
                <w:numId w:val="3"/>
              </w:numPr>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针对突发意外情况的应急解决保障方案；</w:t>
            </w:r>
          </w:p>
          <w:p w14:paraId="76F0861A">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3、针对突发意外情况需涉及的应急设备及应急服务人员介绍；</w:t>
            </w:r>
          </w:p>
          <w:p w14:paraId="2BAD7BB0">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4、针对突发意外情况的应急响应时间。</w:t>
            </w:r>
          </w:p>
          <w:p w14:paraId="426562CF">
            <w:pPr>
              <w:keepNext w:val="0"/>
              <w:keepLines w:val="0"/>
              <w:pageBreakBefore w:val="0"/>
              <w:widowControl/>
              <w:suppressLineNumbers w:val="0"/>
              <w:kinsoku/>
              <w:overflowPunct/>
              <w:topLinePunct w:val="0"/>
              <w:bidi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77975F94">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1、每提供上述任意一项内容得1.5分，本小项累计最高得6分；</w:t>
            </w:r>
          </w:p>
          <w:p w14:paraId="163859A0">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2、在此基础上，专家根据各供应商的具体响应内容按照量化的评审因素指标进一步评审：</w:t>
            </w:r>
          </w:p>
          <w:p w14:paraId="638171C7">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（1）方案整体科学合理、针对性强、可操作性强，评审为优的，加4分；</w:t>
            </w:r>
          </w:p>
          <w:p w14:paraId="7B23CB04">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（2）方案较合理、有一定针对性、一定可操作性，评审为良的，加2分；</w:t>
            </w:r>
          </w:p>
          <w:p w14:paraId="74639C59">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（3）方案不尽合理、针对性一般、可操作性一般，评审为中的，加1分；</w:t>
            </w:r>
          </w:p>
          <w:p w14:paraId="411C84CA">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（4）方案不合理、无针对性、无可操作性，评审为差的，加0分。</w:t>
            </w:r>
          </w:p>
        </w:tc>
      </w:tr>
      <w:tr w14:paraId="76390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5A9EF727">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266E51DB">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578AC55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项目负责人（仅一名）</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DC8471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11</w:t>
            </w:r>
          </w:p>
        </w:tc>
        <w:tc>
          <w:tcPr>
            <w:tcW w:w="5721" w:type="dxa"/>
            <w:tcBorders>
              <w:left w:val="single" w:color="000000" w:sz="8" w:space="0"/>
              <w:bottom w:val="single" w:color="000000" w:sz="8" w:space="0"/>
              <w:right w:val="single" w:color="000000" w:sz="8" w:space="0"/>
            </w:tcBorders>
            <w:noWrap w:val="0"/>
            <w:vAlign w:val="center"/>
          </w:tcPr>
          <w:p w14:paraId="468F46CD">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79501E9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拟安排的项目负责人（仅一名）为投标人自有员工，在此基础上进行评审，</w:t>
            </w:r>
            <w:r>
              <w:rPr>
                <w:rFonts w:hint="eastAsia" w:ascii="宋体" w:hAnsi="宋体" w:eastAsia="宋体" w:cs="宋体"/>
                <w:kern w:val="0"/>
                <w:sz w:val="24"/>
                <w:szCs w:val="24"/>
                <w:lang w:val="en-US" w:eastAsia="zh-CN" w:bidi="ar"/>
              </w:rPr>
              <w:t>否则不得分</w:t>
            </w:r>
            <w:r>
              <w:rPr>
                <w:rFonts w:hint="eastAsia" w:ascii="宋体" w:hAnsi="宋体" w:eastAsia="宋体" w:cs="宋体"/>
                <w:kern w:val="2"/>
                <w:sz w:val="24"/>
                <w:szCs w:val="24"/>
                <w:lang w:val="en-US" w:eastAsia="zh-CN" w:bidi="ar"/>
              </w:rPr>
              <w:t>：</w:t>
            </w:r>
          </w:p>
          <w:p w14:paraId="0354A3F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1、具有本科（或以上）学历的，得3分；</w:t>
            </w:r>
          </w:p>
          <w:p w14:paraId="01CBFC0C">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2、具有政府机关或事业单位委托的人才储备评审类、人事招聘考试类项目经验的，每提供一项得2分，最高得8分，</w:t>
            </w:r>
            <w:r>
              <w:rPr>
                <w:rFonts w:hint="eastAsia" w:ascii="宋体" w:hAnsi="宋体" w:eastAsia="宋体" w:cs="宋体"/>
                <w:b w:val="0"/>
                <w:bCs/>
                <w:kern w:val="2"/>
                <w:sz w:val="24"/>
                <w:szCs w:val="24"/>
                <w:lang w:val="en-US" w:eastAsia="zh-CN" w:bidi="ar"/>
              </w:rPr>
              <w:t>长期续签合同只计算一个项目经验。</w:t>
            </w:r>
          </w:p>
          <w:p w14:paraId="770CCBE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上述两项累计最高得11分。</w:t>
            </w:r>
          </w:p>
          <w:p w14:paraId="33C9BEFA">
            <w:pPr>
              <w:keepNext w:val="0"/>
              <w:keepLines w:val="0"/>
              <w:pageBreakBefore w:val="0"/>
              <w:widowControl/>
              <w:suppressLineNumbers w:val="0"/>
              <w:kinsoku/>
              <w:overflowPunct/>
              <w:topLinePunct w:val="0"/>
              <w:bidi w:val="0"/>
              <w:snapToGrid w:val="0"/>
              <w:spacing w:before="0" w:beforeAutospacing="0" w:after="0" w:afterAutospacing="0" w:line="240" w:lineRule="auto"/>
              <w:ind w:left="0" w:right="0"/>
              <w:jc w:val="left"/>
              <w:rPr>
                <w:rFonts w:hint="eastAsia" w:ascii="宋体" w:hAnsi="宋体" w:eastAsia="宋体" w:cs="宋体"/>
                <w:b w:val="0"/>
                <w:bCs w:val="0"/>
                <w:kern w:val="2"/>
                <w:sz w:val="24"/>
                <w:szCs w:val="24"/>
              </w:rPr>
            </w:pPr>
            <w:r>
              <w:rPr>
                <w:rFonts w:hint="eastAsia" w:ascii="宋体" w:hAnsi="宋体" w:eastAsia="宋体" w:cs="宋体"/>
                <w:b/>
                <w:bCs w:val="0"/>
                <w:kern w:val="0"/>
                <w:sz w:val="24"/>
                <w:szCs w:val="24"/>
                <w:lang w:val="en-US" w:eastAsia="zh-CN" w:bidi="ar"/>
              </w:rPr>
              <w:t>（二）评分依据：</w:t>
            </w:r>
          </w:p>
          <w:p w14:paraId="005C1B9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1、自有员工证明：</w:t>
            </w:r>
            <w:r>
              <w:rPr>
                <w:rFonts w:hint="eastAsia" w:ascii="宋体" w:hAnsi="宋体" w:eastAsia="宋体" w:cs="宋体"/>
                <w:kern w:val="2"/>
                <w:sz w:val="24"/>
                <w:szCs w:val="24"/>
                <w:lang w:val="en-US" w:eastAsia="zh-CN" w:bidi="ar"/>
              </w:rPr>
              <w:t>提供社保部门出具的投标人为其缴纳的近1个月社保证明文件，由于社保部门原因（提供社保局无法出具的证明文件）最近1个月的社保证明无法提供的，则可以往前顺延一个月；如投标人注册成立时间不足1个月的，可提供承诺函（格式自拟）；未按要求提供的，投入的该人员作不得分处理。</w:t>
            </w:r>
          </w:p>
          <w:p w14:paraId="4CE581C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2、学历证明：</w:t>
            </w:r>
            <w:r>
              <w:rPr>
                <w:rFonts w:hint="eastAsia" w:ascii="宋体" w:hAnsi="宋体" w:eastAsia="宋体" w:cs="宋体"/>
                <w:kern w:val="2"/>
                <w:sz w:val="24"/>
                <w:szCs w:val="24"/>
                <w:lang w:val="en-US" w:eastAsia="zh-CN" w:bidi="ar"/>
              </w:rPr>
              <w:t>提供学历证书以及学信网（https://www.chsi.com.cn/）验证结果网页截图；对于较早颁发的学历证书，学信网无法查询的，可提供其他佐证材料（如毕业院校、人社部门等颁发机构或监管机构等单位出具的证明）扫描件；若提供的是国（境）外学历证书扫描件（以及中文翻译件），提供教育部留学服务中心出具的国外学历学位认证书；</w:t>
            </w:r>
          </w:p>
          <w:p w14:paraId="236A8A9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3、项目经验证明：</w:t>
            </w:r>
            <w:r>
              <w:rPr>
                <w:rFonts w:hint="eastAsia" w:ascii="宋体" w:hAnsi="宋体" w:eastAsia="宋体" w:cs="宋体"/>
                <w:kern w:val="2"/>
                <w:sz w:val="24"/>
                <w:szCs w:val="24"/>
                <w:lang w:val="en-US" w:eastAsia="zh-CN" w:bidi="ar"/>
              </w:rPr>
              <w:t>要求提供项目合同关键信息、项目支付发票作为评分依据(关键信息包括但不限于项目名称、服务内容、</w:t>
            </w:r>
            <w:r>
              <w:rPr>
                <w:rFonts w:hint="eastAsia" w:ascii="宋体" w:hAnsi="宋体" w:eastAsia="宋体" w:cs="宋体"/>
                <w:b w:val="0"/>
                <w:bCs w:val="0"/>
                <w:kern w:val="2"/>
                <w:sz w:val="24"/>
                <w:szCs w:val="24"/>
                <w:lang w:val="en-US" w:eastAsia="zh-CN" w:bidi="ar"/>
              </w:rPr>
              <w:t>项目负责人姓名、盖章页、合同签订日期等)，若所提供的合</w:t>
            </w:r>
            <w:r>
              <w:rPr>
                <w:rFonts w:hint="eastAsia" w:ascii="宋体" w:hAnsi="宋体" w:eastAsia="宋体" w:cs="宋体"/>
                <w:kern w:val="2"/>
                <w:sz w:val="24"/>
                <w:szCs w:val="24"/>
                <w:lang w:val="en-US" w:eastAsia="zh-CN" w:bidi="ar"/>
              </w:rPr>
              <w:t>同无法体现人员姓名，还需同时提供采购单位或被服务单位出具的加盖公章或业务章的证明文件。</w:t>
            </w:r>
          </w:p>
          <w:p w14:paraId="0105550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p>
        </w:tc>
      </w:tr>
      <w:tr w14:paraId="40922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noWrap w:val="0"/>
            <w:vAlign w:val="center"/>
          </w:tcPr>
          <w:p w14:paraId="4B25D15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A832402">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5</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664DBD8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项目团队成员（项目负责人除外）</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5FD83EF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14</w:t>
            </w:r>
          </w:p>
        </w:tc>
        <w:tc>
          <w:tcPr>
            <w:tcW w:w="5721" w:type="dxa"/>
            <w:tcBorders>
              <w:left w:val="single" w:color="000000" w:sz="8" w:space="0"/>
              <w:bottom w:val="single" w:color="000000" w:sz="8" w:space="0"/>
              <w:right w:val="single" w:color="000000" w:sz="8" w:space="0"/>
            </w:tcBorders>
            <w:noWrap w:val="0"/>
            <w:vAlign w:val="center"/>
          </w:tcPr>
          <w:p w14:paraId="3A48CDFC">
            <w:pPr>
              <w:pStyle w:val="9"/>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27317868">
            <w:pPr>
              <w:pStyle w:val="9"/>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拟投入项目的项目团队成员（项目负责人除外）为投标单位自有员工，在此基础上进行评审，否则不得分：</w:t>
            </w:r>
          </w:p>
          <w:p w14:paraId="3B895C3C">
            <w:pPr>
              <w:pStyle w:val="9"/>
              <w:keepNext w:val="0"/>
              <w:keepLines w:val="0"/>
              <w:pageBreakBefore w:val="0"/>
              <w:widowControl w:val="0"/>
              <w:numPr>
                <w:ilvl w:val="0"/>
                <w:numId w:val="0"/>
              </w:numPr>
              <w:suppressLineNumbers w:val="0"/>
              <w:kinsoku/>
              <w:overflowPunct/>
              <w:topLinePunct w:val="0"/>
              <w:autoSpaceDE w:val="0"/>
              <w:autoSpaceDN w:val="0"/>
              <w:bidi w:val="0"/>
              <w:adjustRightInd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r>
              <w:rPr>
                <w:rFonts w:hint="eastAsia" w:ascii="宋体" w:hAnsi="宋体" w:eastAsia="宋体" w:cs="宋体"/>
                <w:color w:val="000000"/>
                <w:kern w:val="0"/>
                <w:sz w:val="24"/>
                <w:szCs w:val="24"/>
                <w:lang w:val="en-US" w:eastAsia="zh-CN" w:bidi="ar"/>
              </w:rPr>
              <w:t>每提供一名具有初级（或以上）人力资源管理师职称，或初级（或以上）经济师（人力资源管理方向）证书，或具有三级（或以上）企业人力资源管理师职业资格证书或职业技能等级证书的</w:t>
            </w:r>
            <w:r>
              <w:rPr>
                <w:rFonts w:hint="eastAsia" w:ascii="宋体" w:hAnsi="宋体" w:eastAsia="宋体" w:cs="宋体"/>
                <w:kern w:val="0"/>
                <w:sz w:val="24"/>
                <w:szCs w:val="24"/>
                <w:lang w:val="en-US" w:eastAsia="zh-CN" w:bidi="ar"/>
              </w:rPr>
              <w:t>得1分，</w:t>
            </w:r>
            <w:r>
              <w:rPr>
                <w:rFonts w:hint="eastAsia" w:ascii="宋体" w:hAnsi="宋体" w:eastAsia="宋体" w:cs="宋体"/>
                <w:color w:val="000000"/>
                <w:kern w:val="0"/>
                <w:sz w:val="24"/>
                <w:szCs w:val="24"/>
                <w:lang w:val="en-US" w:eastAsia="zh-CN" w:bidi="ar"/>
              </w:rPr>
              <w:t>若同一人具备两种证书则仅算一次分值，</w:t>
            </w:r>
            <w:r>
              <w:rPr>
                <w:rFonts w:hint="eastAsia" w:ascii="宋体" w:hAnsi="宋体" w:eastAsia="宋体" w:cs="宋体"/>
                <w:kern w:val="0"/>
                <w:sz w:val="24"/>
                <w:szCs w:val="24"/>
                <w:lang w:val="en-US" w:eastAsia="zh-CN" w:bidi="ar"/>
              </w:rPr>
              <w:t>本小项最高得7分。</w:t>
            </w:r>
          </w:p>
          <w:p w14:paraId="2CF6EAA7">
            <w:pPr>
              <w:pStyle w:val="9"/>
              <w:keepNext w:val="0"/>
              <w:keepLines w:val="0"/>
              <w:pageBreakBefore w:val="0"/>
              <w:widowControl w:val="0"/>
              <w:numPr>
                <w:ilvl w:val="0"/>
                <w:numId w:val="0"/>
              </w:numPr>
              <w:suppressLineNumbers w:val="0"/>
              <w:kinsoku/>
              <w:overflowPunct/>
              <w:topLinePunct w:val="0"/>
              <w:autoSpaceDE w:val="0"/>
              <w:autoSpaceDN w:val="0"/>
              <w:bidi w:val="0"/>
              <w:adjustRightInd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zh-CN" w:bidi="ar"/>
              </w:rPr>
              <w:t>每</w:t>
            </w:r>
            <w:r>
              <w:rPr>
                <w:rFonts w:hint="eastAsia" w:ascii="宋体" w:hAnsi="宋体" w:eastAsia="宋体" w:cs="宋体"/>
                <w:b/>
                <w:bCs/>
                <w:kern w:val="0"/>
                <w:sz w:val="24"/>
                <w:szCs w:val="24"/>
                <w:lang w:val="en-US" w:eastAsia="zh-CN" w:bidi="ar"/>
              </w:rPr>
              <w:t>具有</w:t>
            </w:r>
            <w:r>
              <w:rPr>
                <w:rFonts w:hint="eastAsia" w:ascii="宋体" w:hAnsi="宋体" w:eastAsia="宋体" w:cs="宋体"/>
                <w:kern w:val="0"/>
                <w:sz w:val="24"/>
                <w:szCs w:val="24"/>
                <w:lang w:val="en-US" w:eastAsia="zh-CN" w:bidi="ar"/>
              </w:rPr>
              <w:t>一名本科（或以上）学历的得1分，本小项最高得7分。</w:t>
            </w:r>
          </w:p>
          <w:p w14:paraId="74F0950D">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bidi="ar"/>
              </w:rPr>
              <w:t>上述两项累计最高得14分。</w:t>
            </w:r>
          </w:p>
          <w:p w14:paraId="71DA3CE7">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05716C7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1、自有员工证明：</w:t>
            </w:r>
            <w:r>
              <w:rPr>
                <w:rFonts w:hint="eastAsia" w:ascii="宋体" w:hAnsi="宋体" w:eastAsia="宋体" w:cs="宋体"/>
                <w:kern w:val="2"/>
                <w:sz w:val="24"/>
                <w:szCs w:val="24"/>
                <w:lang w:val="en-US" w:eastAsia="zh-CN" w:bidi="ar"/>
              </w:rPr>
              <w:t>提供社保部门出具的投标人为其缴纳的近1个月社保证明文件，由于社保部门原因（提供社保局无法出具的证明文件）最近1个月的社保证明无法提供的，则可以往前顺延一个月；如投标人注册成立时间不足1个月的，可提供承诺函（格式自拟）；未按要求提供的，投入的该人员作不得分处理。</w:t>
            </w:r>
          </w:p>
          <w:p w14:paraId="690400B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2、学历证明：</w:t>
            </w:r>
            <w:r>
              <w:rPr>
                <w:rFonts w:hint="eastAsia" w:ascii="宋体" w:hAnsi="宋体" w:eastAsia="宋体" w:cs="宋体"/>
                <w:kern w:val="2"/>
                <w:sz w:val="24"/>
                <w:szCs w:val="24"/>
                <w:lang w:val="en-US" w:eastAsia="zh-CN" w:bidi="ar"/>
              </w:rPr>
              <w:t>提供学历证书以及学信网（https://www.chsi.com.cn/）验证结果网页截图；对于较早颁发的学历证书，学信网无法查询的，可提供其他佐证材料（如毕业院校、人社部门等颁发机构或监管机构等单位出具的证明）扫描件；若提供的是国（境）外学历证书扫描件（以及中文翻译件），提供教育部留学服务中心出具的国外学历学位认证书；</w:t>
            </w:r>
          </w:p>
          <w:p w14:paraId="7A72B8E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3、证书证明：</w:t>
            </w:r>
            <w:r>
              <w:rPr>
                <w:rFonts w:hint="eastAsia" w:ascii="宋体" w:hAnsi="宋体" w:eastAsia="宋体" w:cs="宋体"/>
                <w:kern w:val="2"/>
                <w:sz w:val="24"/>
                <w:szCs w:val="24"/>
                <w:lang w:val="en-US" w:eastAsia="zh-CN" w:bidi="ar"/>
              </w:rPr>
              <w:t>提供证书材料；</w:t>
            </w:r>
          </w:p>
          <w:p w14:paraId="37B6DA0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p>
        </w:tc>
      </w:tr>
      <w:tr w14:paraId="60D29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6332407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3</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51972C1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综合实力</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4D14F99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20</w:t>
            </w:r>
          </w:p>
        </w:tc>
      </w:tr>
      <w:tr w14:paraId="7FE41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97BEA4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8D0129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0F5631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0EC179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权重</w:t>
            </w:r>
          </w:p>
        </w:tc>
        <w:tc>
          <w:tcPr>
            <w:tcW w:w="572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77E7C5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评分准则</w:t>
            </w:r>
          </w:p>
        </w:tc>
      </w:tr>
      <w:tr w14:paraId="5C6C9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2DBE8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B93F836">
            <w:pPr>
              <w:keepNext w:val="0"/>
              <w:keepLines w:val="0"/>
              <w:pageBreakBefore w:val="0"/>
              <w:suppressLineNumbers w:val="0"/>
              <w:kinsoku/>
              <w:wordWrap w:val="0"/>
              <w:overflowPunct/>
              <w:topLinePunct w:val="0"/>
              <w:bidi w:val="0"/>
              <w:spacing w:before="0" w:beforeAutospacing="0" w:after="0" w:afterAutospacing="0" w:line="24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07906A2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认证情况</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132CDEE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721" w:type="dxa"/>
            <w:tcBorders>
              <w:top w:val="single" w:color="000000" w:sz="8" w:space="0"/>
              <w:left w:val="single" w:color="000000" w:sz="8" w:space="0"/>
              <w:bottom w:val="single" w:color="000000" w:sz="8" w:space="0"/>
              <w:right w:val="single" w:color="000000" w:sz="8" w:space="0"/>
            </w:tcBorders>
            <w:noWrap w:val="0"/>
            <w:vAlign w:val="center"/>
          </w:tcPr>
          <w:p w14:paraId="51FC5B8F">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（一）评分内容：</w:t>
            </w:r>
          </w:p>
          <w:p w14:paraId="0699B9D6">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投标人具有下列证书：</w:t>
            </w:r>
          </w:p>
          <w:p w14:paraId="6AC0C1D2">
            <w:pPr>
              <w:pStyle w:val="5"/>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1、质量管理体系认证证书，得2.5分；</w:t>
            </w:r>
          </w:p>
          <w:p w14:paraId="5E6E5CED">
            <w:pPr>
              <w:pStyle w:val="5"/>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2、信息安全管理体系认证证书，得2.5分；</w:t>
            </w:r>
          </w:p>
          <w:p w14:paraId="57EC04F6">
            <w:pPr>
              <w:pStyle w:val="5"/>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3、环境管理体系认证证书，得2.5分；</w:t>
            </w:r>
          </w:p>
          <w:p w14:paraId="117E0C71">
            <w:pPr>
              <w:pStyle w:val="6"/>
              <w:keepNext w:val="0"/>
              <w:keepLines w:val="0"/>
              <w:pageBreakBefore w:val="0"/>
              <w:suppressLineNumbers w:val="0"/>
              <w:kinsoku/>
              <w:overflowPunct/>
              <w:topLinePunct w:val="0"/>
              <w:bidi w:val="0"/>
              <w:spacing w:before="0" w:beforeAutospacing="0" w:after="0" w:afterAutospacing="0" w:line="240" w:lineRule="auto"/>
              <w:ind w:left="0" w:leftChars="0" w:right="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sz w:val="24"/>
                <w:szCs w:val="24"/>
                <w:lang w:val="en-US" w:eastAsia="zh-CN"/>
              </w:rPr>
              <w:t>服务认证</w:t>
            </w:r>
            <w:r>
              <w:rPr>
                <w:rFonts w:hint="eastAsia" w:ascii="宋体" w:hAnsi="宋体" w:eastAsia="宋体" w:cs="宋体"/>
                <w:color w:val="auto"/>
                <w:kern w:val="0"/>
                <w:sz w:val="24"/>
                <w:szCs w:val="24"/>
                <w:lang w:val="en-US" w:eastAsia="zh-CN"/>
              </w:rPr>
              <w:t>证书</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rPr>
              <w:t>得2.5分。</w:t>
            </w:r>
          </w:p>
          <w:p w14:paraId="528007B2">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每一项认证的范围均需包含以下类别之一：人力资源服务、人才测评、人才评价、考务服务、招聘流程外包服务、教育考试服务、人才选拔与测评服务、人才服务</w:t>
            </w:r>
            <w:r>
              <w:rPr>
                <w:rFonts w:hint="eastAsia" w:ascii="宋体" w:hAnsi="宋体" w:eastAsia="宋体" w:cs="宋体"/>
                <w:color w:val="auto"/>
                <w:kern w:val="0"/>
                <w:sz w:val="24"/>
                <w:szCs w:val="24"/>
                <w:lang w:val="en-US" w:eastAsia="zh-CN"/>
              </w:rPr>
              <w:t>）。</w:t>
            </w:r>
          </w:p>
          <w:p w14:paraId="320F640A">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以上得分累计，最高10分。</w:t>
            </w:r>
          </w:p>
          <w:p w14:paraId="12836910">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（二）评分依据：</w:t>
            </w:r>
          </w:p>
          <w:p w14:paraId="22234762">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同时提供</w:t>
            </w:r>
          </w:p>
          <w:p w14:paraId="20BB565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提供有效认证证书（如认证证书注明年审要求的，</w:t>
            </w:r>
            <w:r>
              <w:rPr>
                <w:rFonts w:hint="eastAsia" w:ascii="宋体" w:hAnsi="宋体" w:eastAsia="宋体" w:cs="宋体"/>
                <w:color w:val="auto"/>
                <w:kern w:val="0"/>
                <w:sz w:val="24"/>
                <w:szCs w:val="24"/>
                <w:lang w:val="en-US" w:eastAsia="zh-CN"/>
              </w:rPr>
              <w:t>需</w:t>
            </w:r>
            <w:r>
              <w:rPr>
                <w:rFonts w:hint="eastAsia" w:ascii="宋体" w:hAnsi="宋体" w:eastAsia="宋体" w:cs="宋体"/>
                <w:color w:val="auto"/>
                <w:kern w:val="0"/>
                <w:sz w:val="24"/>
                <w:szCs w:val="24"/>
              </w:rPr>
              <w:t>按规定年审且证书在有效期内的方为有效；如未注明年审要求的，证书必须在有效期内的方为有效）；</w:t>
            </w:r>
          </w:p>
          <w:p w14:paraId="39D5214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提供证书官网或权威机构【如：全国认证认可信息公共服务平台（cx.cnca.cn）】认证信息查询截图（截图需显示证书状态为有效）。</w:t>
            </w:r>
          </w:p>
          <w:p w14:paraId="746D00D0">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r>
              <w:rPr>
                <w:rFonts w:hint="eastAsia" w:ascii="宋体" w:hAnsi="宋体" w:eastAsia="宋体" w:cs="宋体"/>
                <w:color w:val="auto"/>
                <w:sz w:val="24"/>
                <w:szCs w:val="24"/>
                <w:lang w:val="en-US" w:eastAsia="zh-CN"/>
              </w:rPr>
              <w:t>如供应商距本项目开标之日的注册成立时间不足3个月，且未取得以上认证证书的，提供认证机构出具的关于“正在办理”的书面证明材料（需包含评审因素涉及的认证证书，且加盖认证机构公章），可视为已获得相应的认证证书。</w:t>
            </w:r>
          </w:p>
        </w:tc>
      </w:tr>
      <w:tr w14:paraId="4BD90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DF7D1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5A084169">
            <w:pPr>
              <w:keepNext w:val="0"/>
              <w:keepLines w:val="0"/>
              <w:pageBreakBefore w:val="0"/>
              <w:suppressLineNumbers w:val="0"/>
              <w:kinsoku/>
              <w:wordWrap w:val="0"/>
              <w:overflowPunct/>
              <w:topLinePunct w:val="0"/>
              <w:bidi w:val="0"/>
              <w:spacing w:before="0" w:beforeAutospacing="0" w:after="0" w:afterAutospacing="0" w:line="24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7C84EA6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项目经验</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A431E4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721" w:type="dxa"/>
            <w:tcBorders>
              <w:top w:val="single" w:color="000000" w:sz="8" w:space="0"/>
              <w:left w:val="single" w:color="000000" w:sz="8" w:space="0"/>
              <w:bottom w:val="single" w:color="000000" w:sz="8" w:space="0"/>
              <w:right w:val="single" w:color="000000" w:sz="8" w:space="0"/>
            </w:tcBorders>
            <w:noWrap w:val="0"/>
            <w:vAlign w:val="center"/>
          </w:tcPr>
          <w:p w14:paraId="2C6C758C">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right="0"/>
              <w:jc w:val="left"/>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（一）评分内容：</w:t>
            </w:r>
          </w:p>
          <w:p w14:paraId="405DE6AC">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投标供应商</w:t>
            </w:r>
            <w:r>
              <w:rPr>
                <w:rFonts w:hint="eastAsia" w:ascii="宋体" w:hAnsi="宋体" w:eastAsia="宋体" w:cs="宋体"/>
                <w:color w:val="auto"/>
                <w:sz w:val="24"/>
                <w:szCs w:val="24"/>
                <w:lang w:val="en-US" w:eastAsia="zh-CN"/>
              </w:rPr>
              <w:t>自</w:t>
            </w:r>
            <w:r>
              <w:rPr>
                <w:rFonts w:hint="eastAsia" w:ascii="宋体" w:hAnsi="宋体" w:eastAsia="宋体" w:cs="宋体"/>
                <w:b w:val="0"/>
                <w:bCs/>
                <w:color w:val="auto"/>
                <w:sz w:val="24"/>
                <w:szCs w:val="24"/>
                <w:highlight w:val="none"/>
              </w:rPr>
              <w:t>202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月1日</w:t>
            </w:r>
            <w:r>
              <w:rPr>
                <w:rFonts w:hint="eastAsia" w:ascii="宋体" w:hAnsi="宋体" w:eastAsia="宋体" w:cs="宋体"/>
                <w:b w:val="0"/>
                <w:bCs/>
                <w:color w:val="auto"/>
                <w:sz w:val="24"/>
                <w:szCs w:val="24"/>
                <w:highlight w:val="none"/>
                <w:lang w:val="en-US" w:eastAsia="zh-CN"/>
              </w:rPr>
              <w:t>至投标截止日（以合同签订时间为准）</w:t>
            </w:r>
            <w:r>
              <w:rPr>
                <w:rFonts w:hint="eastAsia" w:ascii="宋体" w:hAnsi="宋体" w:eastAsia="宋体" w:cs="宋体"/>
                <w:b w:val="0"/>
                <w:bCs/>
                <w:color w:val="auto"/>
                <w:sz w:val="24"/>
                <w:szCs w:val="24"/>
                <w:highlight w:val="none"/>
              </w:rPr>
              <w:t>完成</w:t>
            </w:r>
            <w:r>
              <w:rPr>
                <w:rFonts w:hint="eastAsia" w:ascii="宋体" w:hAnsi="宋体" w:eastAsia="宋体" w:cs="宋体"/>
                <w:b w:val="0"/>
                <w:bCs/>
                <w:color w:val="auto"/>
                <w:sz w:val="24"/>
                <w:szCs w:val="24"/>
                <w:highlight w:val="none"/>
                <w:lang w:val="en-US" w:eastAsia="zh-CN"/>
              </w:rPr>
              <w:t>政府机关或事业单位委托</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人才储备评审类、人事招聘类</w:t>
            </w:r>
            <w:r>
              <w:rPr>
                <w:rFonts w:hint="eastAsia" w:ascii="宋体" w:hAnsi="宋体" w:eastAsia="宋体" w:cs="宋体"/>
                <w:b w:val="0"/>
                <w:bCs/>
                <w:color w:val="auto"/>
                <w:sz w:val="24"/>
                <w:szCs w:val="24"/>
                <w:highlight w:val="none"/>
              </w:rPr>
              <w:t>项目业绩</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，每提供1个得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累计</w:t>
            </w:r>
            <w:r>
              <w:rPr>
                <w:rFonts w:hint="eastAsia" w:ascii="宋体" w:hAnsi="宋体" w:eastAsia="宋体" w:cs="宋体"/>
                <w:b w:val="0"/>
                <w:bCs/>
                <w:color w:val="auto"/>
                <w:sz w:val="24"/>
                <w:szCs w:val="24"/>
                <w:highlight w:val="none"/>
              </w:rPr>
              <w:t>最高得</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分。长期续签合同只计算一个业绩</w:t>
            </w:r>
            <w:r>
              <w:rPr>
                <w:rFonts w:hint="eastAsia" w:ascii="宋体" w:hAnsi="宋体" w:eastAsia="宋体" w:cs="宋体"/>
                <w:b w:val="0"/>
                <w:bCs/>
                <w:color w:val="auto"/>
                <w:sz w:val="24"/>
                <w:szCs w:val="24"/>
                <w:highlight w:val="none"/>
                <w:lang w:eastAsia="zh-CN"/>
              </w:rPr>
              <w:t>。</w:t>
            </w:r>
          </w:p>
          <w:p w14:paraId="63427861">
            <w:pPr>
              <w:pStyle w:val="14"/>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（二）评分依据：</w:t>
            </w:r>
          </w:p>
          <w:p w14:paraId="4217847E">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1.同时提供：</w:t>
            </w:r>
          </w:p>
          <w:p w14:paraId="6499CAD0">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合同关键页（关键信息包括但不限于合同的项目名称、服务内容、合同服务的起止时间、签订日期、合同双方盖章页等）</w:t>
            </w:r>
            <w:r>
              <w:rPr>
                <w:rFonts w:hint="eastAsia" w:ascii="宋体" w:hAnsi="宋体" w:eastAsia="宋体" w:cs="宋体"/>
                <w:color w:val="auto"/>
                <w:sz w:val="24"/>
                <w:szCs w:val="24"/>
                <w:lang w:eastAsia="zh-CN"/>
              </w:rPr>
              <w:t>；</w:t>
            </w:r>
          </w:p>
          <w:p w14:paraId="16FD833C">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（2）支付发票</w:t>
            </w:r>
            <w:r>
              <w:rPr>
                <w:rFonts w:hint="eastAsia" w:ascii="宋体" w:hAnsi="宋体" w:eastAsia="宋体" w:cs="宋体"/>
                <w:color w:val="auto"/>
                <w:sz w:val="24"/>
                <w:szCs w:val="24"/>
              </w:rPr>
              <w:t>；</w:t>
            </w:r>
          </w:p>
          <w:p w14:paraId="722E55B4">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kern w:val="2"/>
                <w:sz w:val="24"/>
                <w:szCs w:val="24"/>
                <w:lang w:val="en-US" w:eastAsia="zh-CN" w:bidi="ar"/>
              </w:rPr>
              <w:t>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p>
        </w:tc>
      </w:tr>
      <w:tr w14:paraId="7D65FF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7DAAC00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4</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4FD9F2A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诚信情况</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46DE477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5</w:t>
            </w:r>
          </w:p>
        </w:tc>
      </w:tr>
      <w:tr w14:paraId="67213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18BF6B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CE5DF9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08FC6A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818521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权重</w:t>
            </w:r>
          </w:p>
        </w:tc>
        <w:tc>
          <w:tcPr>
            <w:tcW w:w="572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21FCA5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评分准则</w:t>
            </w:r>
          </w:p>
        </w:tc>
      </w:tr>
      <w:tr w14:paraId="2A448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9AC27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5F6963F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60A9299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诚信</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464D0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top"/>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787C860F">
            <w:pPr>
              <w:pStyle w:val="2"/>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分。投标人无需提供任何证明材料，评标过程中由工作人员向评审委员会提供</w:t>
            </w:r>
            <w:r>
              <w:rPr>
                <w:rFonts w:hint="eastAsia" w:ascii="宋体" w:hAnsi="宋体" w:eastAsia="宋体" w:cs="宋体"/>
                <w:b w:val="0"/>
                <w:bCs w:val="0"/>
                <w:sz w:val="24"/>
                <w:szCs w:val="24"/>
                <w:lang w:val="en-US" w:eastAsia="zh-CN"/>
              </w:rPr>
              <w:t>有关</w:t>
            </w:r>
            <w:r>
              <w:rPr>
                <w:rFonts w:hint="eastAsia" w:ascii="宋体" w:hAnsi="宋体" w:eastAsia="宋体" w:cs="宋体"/>
                <w:b w:val="0"/>
                <w:bCs w:val="0"/>
                <w:sz w:val="24"/>
                <w:szCs w:val="24"/>
              </w:rPr>
              <w:t>供应商诚信查询结果。</w:t>
            </w:r>
          </w:p>
          <w:p w14:paraId="6B550D52">
            <w:pPr>
              <w:pStyle w:val="2"/>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7B1C36BC">
      <w:pPr>
        <w:keepNext w:val="0"/>
        <w:keepLines w:val="0"/>
        <w:pageBreakBefore w:val="0"/>
        <w:kinsoku/>
        <w:overflowPunct/>
        <w:topLinePunct w:val="0"/>
        <w:autoSpaceDE/>
        <w:autoSpaceDN/>
        <w:bidi w:val="0"/>
        <w:spacing w:line="560" w:lineRule="exact"/>
        <w:jc w:val="left"/>
        <w:textAlignment w:val="auto"/>
        <w:rPr>
          <w:rFonts w:ascii="宋体" w:hAnsi="宋体"/>
          <w:szCs w:val="21"/>
        </w:rPr>
      </w:pPr>
    </w:p>
    <w:p w14:paraId="114B5CCA">
      <w:pPr>
        <w:keepNext w:val="0"/>
        <w:keepLines w:val="0"/>
        <w:pageBreakBefore w:val="0"/>
        <w:kinsoku/>
        <w:overflowPunct/>
        <w:topLinePunct w:val="0"/>
        <w:bidi w:val="0"/>
        <w:spacing w:line="560" w:lineRule="exact"/>
        <w:rPr>
          <w:rFonts w:hint="default"/>
          <w:lang w:val="en-US" w:eastAsia="zh-CN"/>
        </w:rPr>
      </w:pPr>
      <w:r>
        <w:rPr>
          <w:rFonts w:hint="default"/>
          <w:lang w:val="en-US" w:eastAsia="zh-CN"/>
        </w:rPr>
        <w:br w:type="page"/>
      </w:r>
    </w:p>
    <w:p w14:paraId="7808FC2E">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附件1-2：报价单</w:t>
      </w:r>
    </w:p>
    <w:tbl>
      <w:tblPr>
        <w:tblStyle w:val="10"/>
        <w:tblW w:w="5218" w:type="pct"/>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741"/>
        <w:gridCol w:w="828"/>
        <w:gridCol w:w="2713"/>
        <w:gridCol w:w="765"/>
        <w:gridCol w:w="586"/>
        <w:gridCol w:w="936"/>
        <w:gridCol w:w="824"/>
        <w:gridCol w:w="976"/>
        <w:gridCol w:w="658"/>
      </w:tblGrid>
      <w:tr w14:paraId="020B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2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46DD4">
            <w:pPr>
              <w:keepNext w:val="0"/>
              <w:keepLines w:val="0"/>
              <w:pageBreakBefore w:val="0"/>
              <w:widowControl/>
              <w:suppressLineNumbers w:val="0"/>
              <w:kinsoku/>
              <w:overflowPunct/>
              <w:topLinePunct w:val="0"/>
              <w:bidi w:val="0"/>
              <w:spacing w:line="240" w:lineRule="auto"/>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2C04B">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服务</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内容</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63363">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分项</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4F5AB">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部分说明及要求</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B39A9">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测算</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数量</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94ACA">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A67C8">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报价</w:t>
            </w:r>
          </w:p>
          <w:p w14:paraId="468A0393">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单价</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（元）</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72474">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报价</w:t>
            </w:r>
          </w:p>
          <w:p w14:paraId="673F800A">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单位</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DF3D2">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小计（元）</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396EA">
            <w:pPr>
              <w:keepNext w:val="0"/>
              <w:keepLines w:val="0"/>
              <w:pageBreakBefore w:val="0"/>
              <w:widowControl/>
              <w:suppressLineNumbers w:val="0"/>
              <w:kinsoku/>
              <w:overflowPunct/>
              <w:topLinePunct w:val="0"/>
              <w:bidi w:val="0"/>
              <w:spacing w:line="240" w:lineRule="auto"/>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14:paraId="77E4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7" w:type="pct"/>
            <w:tcBorders>
              <w:top w:val="single" w:color="000000" w:sz="4" w:space="0"/>
              <w:left w:val="single" w:color="000000" w:sz="4" w:space="0"/>
              <w:bottom w:val="nil"/>
              <w:right w:val="single" w:color="000000" w:sz="4" w:space="0"/>
            </w:tcBorders>
            <w:shd w:val="clear" w:color="auto" w:fill="FFFFFF"/>
            <w:noWrap/>
            <w:vAlign w:val="center"/>
          </w:tcPr>
          <w:p w14:paraId="712BEB4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91" w:type="pct"/>
            <w:tcBorders>
              <w:top w:val="single" w:color="000000" w:sz="4" w:space="0"/>
              <w:left w:val="single" w:color="000000" w:sz="4" w:space="0"/>
              <w:bottom w:val="nil"/>
              <w:right w:val="single" w:color="000000" w:sz="4" w:space="0"/>
            </w:tcBorders>
            <w:shd w:val="clear" w:color="auto" w:fill="FFFFFF"/>
            <w:noWrap w:val="0"/>
            <w:vAlign w:val="center"/>
          </w:tcPr>
          <w:p w14:paraId="670F80CE">
            <w:pPr>
              <w:keepNext w:val="0"/>
              <w:keepLines w:val="0"/>
              <w:pageBreakBefore w:val="0"/>
              <w:widowControl/>
              <w:suppressLineNumbers w:val="0"/>
              <w:kinsoku/>
              <w:overflowPunct/>
              <w:topLinePunct w:val="0"/>
              <w:bidi w:val="0"/>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机考笔试考务组织</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4E568">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考务组织服务费</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00111">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1.提供笔试场地的租赁布置及考务组织服务，要求场地位于龙岗区内；</w:t>
            </w:r>
          </w:p>
          <w:p w14:paraId="49CE9447">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2.笔试形式为上机考形式，每人一台电脑；</w:t>
            </w:r>
          </w:p>
          <w:p w14:paraId="651F7FFB">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3.最终根据实际应考人数据实结算。</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E7B8B">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D2238">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65866">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63B2B">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元/人</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B93E8">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nil"/>
              <w:right w:val="single" w:color="000000" w:sz="4" w:space="0"/>
            </w:tcBorders>
            <w:noWrap w:val="0"/>
            <w:vAlign w:val="center"/>
          </w:tcPr>
          <w:p w14:paraId="238D2912">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按540考生测算</w:t>
            </w:r>
          </w:p>
        </w:tc>
      </w:tr>
      <w:tr w14:paraId="3DF1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7" w:type="pct"/>
            <w:vMerge w:val="restart"/>
            <w:tcBorders>
              <w:top w:val="single" w:color="000000" w:sz="4" w:space="0"/>
              <w:left w:val="single" w:color="000000" w:sz="4" w:space="0"/>
              <w:right w:val="single" w:color="000000" w:sz="4" w:space="0"/>
            </w:tcBorders>
            <w:shd w:val="clear" w:color="auto" w:fill="FFFFFF"/>
            <w:noWrap w:val="0"/>
            <w:vAlign w:val="center"/>
          </w:tcPr>
          <w:p w14:paraId="581140E4">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 w:type="pct"/>
            <w:vMerge w:val="restart"/>
            <w:tcBorders>
              <w:top w:val="single" w:color="000000" w:sz="4" w:space="0"/>
              <w:left w:val="single" w:color="000000" w:sz="4" w:space="0"/>
              <w:right w:val="single" w:color="000000" w:sz="4" w:space="0"/>
            </w:tcBorders>
            <w:shd w:val="clear" w:color="auto" w:fill="FFFFFF"/>
            <w:noWrap w:val="0"/>
            <w:vAlign w:val="center"/>
          </w:tcPr>
          <w:p w14:paraId="57CCBC16">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面试考务组织</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0F94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面试场地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布置</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4C3D7">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此项含监控布置、文具耗材、登记分数使用的笔试本电脑（每间一台）等的布置。</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5BC74">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13DF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136A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D0C7B">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元/场</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7C351">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5A77B">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面试间数按照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9间测算</w:t>
            </w:r>
          </w:p>
        </w:tc>
      </w:tr>
      <w:tr w14:paraId="5B19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27" w:type="pct"/>
            <w:vMerge w:val="continue"/>
            <w:tcBorders>
              <w:left w:val="single" w:color="000000" w:sz="4" w:space="0"/>
              <w:right w:val="single" w:color="000000" w:sz="4" w:space="0"/>
            </w:tcBorders>
            <w:shd w:val="clear" w:color="auto" w:fill="FFFFFF"/>
            <w:noWrap w:val="0"/>
            <w:vAlign w:val="center"/>
          </w:tcPr>
          <w:p w14:paraId="25B326B8">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91" w:type="pct"/>
            <w:vMerge w:val="continue"/>
            <w:tcBorders>
              <w:left w:val="single" w:color="000000" w:sz="4" w:space="0"/>
              <w:right w:val="single" w:color="000000" w:sz="4" w:space="0"/>
            </w:tcBorders>
            <w:shd w:val="clear" w:color="auto" w:fill="FFFFFF"/>
            <w:noWrap w:val="0"/>
            <w:vAlign w:val="center"/>
          </w:tcPr>
          <w:p w14:paraId="4E36E1A0">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2BEC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饮水茶歇</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19EB8">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此项报价不得超过500元。</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3513F">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37028">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4F02A">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9900F">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元/场</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FCDC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43878">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39FE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7" w:type="pct"/>
            <w:vMerge w:val="continue"/>
            <w:tcBorders>
              <w:left w:val="single" w:color="000000" w:sz="4" w:space="0"/>
              <w:right w:val="single" w:color="000000" w:sz="4" w:space="0"/>
            </w:tcBorders>
            <w:shd w:val="clear" w:color="auto" w:fill="FFFFFF"/>
            <w:noWrap w:val="0"/>
            <w:vAlign w:val="center"/>
          </w:tcPr>
          <w:p w14:paraId="39C1F4F3">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91" w:type="pct"/>
            <w:vMerge w:val="continue"/>
            <w:tcBorders>
              <w:left w:val="single" w:color="000000" w:sz="4" w:space="0"/>
              <w:right w:val="single" w:color="000000" w:sz="4" w:space="0"/>
            </w:tcBorders>
            <w:shd w:val="clear" w:color="auto" w:fill="FFFFFF"/>
            <w:noWrap w:val="0"/>
            <w:vAlign w:val="center"/>
          </w:tcPr>
          <w:p w14:paraId="4FD1E7CD">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C17E8">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面试室内考官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劳务费</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87698">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报价不得超1300元/人/天，中标人应充分保障考官劳务费。</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C024">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AA6D4">
            <w:pPr>
              <w:keepNext w:val="0"/>
              <w:keepLines w:val="0"/>
              <w:pageBreakBefore w:val="0"/>
              <w:widowControl/>
              <w:suppressLineNumbers w:val="0"/>
              <w:kinsoku/>
              <w:overflowPunct/>
              <w:topLinePunct w:val="0"/>
              <w:bidi w:val="0"/>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人/天</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6A53B">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6C92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元/人/天</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98356">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4724B">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3953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27" w:type="pct"/>
            <w:vMerge w:val="continue"/>
            <w:tcBorders>
              <w:left w:val="single" w:color="000000" w:sz="4" w:space="0"/>
              <w:right w:val="single" w:color="000000" w:sz="4" w:space="0"/>
            </w:tcBorders>
            <w:shd w:val="clear" w:color="auto" w:fill="FFFFFF"/>
            <w:noWrap w:val="0"/>
            <w:vAlign w:val="center"/>
          </w:tcPr>
          <w:p w14:paraId="5B1C6305">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91" w:type="pct"/>
            <w:vMerge w:val="continue"/>
            <w:tcBorders>
              <w:left w:val="single" w:color="000000" w:sz="4" w:space="0"/>
              <w:bottom w:val="single" w:color="auto" w:sz="4" w:space="0"/>
              <w:right w:val="single" w:color="000000" w:sz="4" w:space="0"/>
            </w:tcBorders>
            <w:shd w:val="clear" w:color="auto" w:fill="FFFFFF"/>
            <w:noWrap w:val="0"/>
            <w:vAlign w:val="center"/>
          </w:tcPr>
          <w:p w14:paraId="0F0FD3E8">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EE22A">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面试室内其他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人员劳务费</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B502C">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面试室内监督员、记分员劳务费。报价不得超800元/人/天，最终根据岗位不同按报价单价上下浮动结算，但不超总测算值。</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144DA">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8617C">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A9BE2">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2DDF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元/人/天</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C1D8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D49EB">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6281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9" w:hRule="atLeast"/>
        </w:trPr>
        <w:tc>
          <w:tcPr>
            <w:tcW w:w="227" w:type="pct"/>
            <w:vMerge w:val="continue"/>
            <w:tcBorders>
              <w:left w:val="single" w:color="000000" w:sz="4" w:space="0"/>
              <w:right w:val="single" w:color="000000" w:sz="4" w:space="0"/>
            </w:tcBorders>
            <w:shd w:val="clear" w:color="auto" w:fill="FFFFFF"/>
            <w:noWrap w:val="0"/>
            <w:vAlign w:val="center"/>
          </w:tcPr>
          <w:p w14:paraId="0EC79757">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91"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3E8DC6">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3BABCF">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面试室外工作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人员劳务费</w:t>
            </w:r>
          </w:p>
        </w:tc>
        <w:tc>
          <w:tcPr>
            <w:tcW w:w="14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CA498">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此项为面试室外轮空考官、引导员、场地方后勤保障人员、医疗、公安、交警等面试室外全体人员劳务费。报价不得超600元/人，最终根据岗位不同上下浮动进行支付，但不得超总测算价。</w:t>
            </w: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34A83">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E0862">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7D3E4">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4C2F1">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元/人</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B5719">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92BCD">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2D4F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27" w:type="pct"/>
            <w:vMerge w:val="continue"/>
            <w:tcBorders>
              <w:left w:val="single" w:color="000000" w:sz="4" w:space="0"/>
              <w:bottom w:val="single" w:color="auto" w:sz="4" w:space="0"/>
              <w:right w:val="single" w:color="000000" w:sz="4" w:space="0"/>
            </w:tcBorders>
            <w:shd w:val="clear" w:color="auto" w:fill="FFFFFF"/>
            <w:noWrap w:val="0"/>
            <w:vAlign w:val="center"/>
          </w:tcPr>
          <w:p w14:paraId="0049CC01">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91"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32746">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EB9150">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用餐</w:t>
            </w:r>
          </w:p>
        </w:tc>
        <w:tc>
          <w:tcPr>
            <w:tcW w:w="1434"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A83675B">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1.提供全体工作人员营养健康早餐、午餐。早餐标准不超25元/人，午餐标准不超50元/人，全体工作人员数量按照135人测算。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2.提供面试当天下午场封闭考生午餐，午餐标准不超50元/人，考生人数按照100人测算；</w:t>
            </w:r>
          </w:p>
        </w:tc>
        <w:tc>
          <w:tcPr>
            <w:tcW w:w="404"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8621BC2">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9D62DD7">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494"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2FC2125">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FF0000"/>
                <w:sz w:val="24"/>
                <w:szCs w:val="24"/>
                <w:u w:val="none"/>
              </w:rPr>
            </w:pPr>
          </w:p>
        </w:tc>
        <w:tc>
          <w:tcPr>
            <w:tcW w:w="435"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A897DC8">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元/场</w:t>
            </w:r>
          </w:p>
        </w:tc>
        <w:tc>
          <w:tcPr>
            <w:tcW w:w="516"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AE1D93D">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322C4">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0A8B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71D81D">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5D3AF">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面试组织管理费</w:t>
            </w:r>
          </w:p>
        </w:tc>
        <w:tc>
          <w:tcPr>
            <w:tcW w:w="437" w:type="pct"/>
            <w:vMerge w:val="restart"/>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39341F2D">
            <w:pPr>
              <w:keepNext w:val="0"/>
              <w:keepLines w:val="0"/>
              <w:pageBreakBefore w:val="0"/>
              <w:widowControl/>
              <w:suppressLineNumbers w:val="0"/>
              <w:kinsoku/>
              <w:overflowPunct/>
              <w:topLinePunct w:val="0"/>
              <w:bidi w:val="0"/>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面试组织管理费</w:t>
            </w:r>
          </w:p>
        </w:tc>
        <w:tc>
          <w:tcPr>
            <w:tcW w:w="1434" w:type="pct"/>
            <w:vMerge w:val="restart"/>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FD1334D">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中标人在第2项报价总额基础上*报价比例确定费用金额，管理费报价比例由中标人自行确定，最终结算时按照第2项结算价*报价比例确定此项费用。</w:t>
            </w:r>
          </w:p>
        </w:tc>
        <w:tc>
          <w:tcPr>
            <w:tcW w:w="1644" w:type="pct"/>
            <w:gridSpan w:val="4"/>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03D2240">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报价比例</w:t>
            </w:r>
          </w:p>
        </w:tc>
        <w:tc>
          <w:tcPr>
            <w:tcW w:w="516" w:type="pct"/>
            <w:vMerge w:val="restart"/>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7D548054">
            <w:pPr>
              <w:keepNext w:val="0"/>
              <w:keepLines w:val="0"/>
              <w:pageBreakBefore w:val="0"/>
              <w:widowControl/>
              <w:suppressLineNumbers w:val="0"/>
              <w:kinsoku/>
              <w:overflowPunct/>
              <w:topLinePunct w:val="0"/>
              <w:bidi w:val="0"/>
              <w:spacing w:line="240" w:lineRule="auto"/>
              <w:jc w:val="center"/>
              <w:textAlignment w:val="center"/>
              <w:rPr>
                <w:rFonts w:hint="default" w:ascii="宋体" w:hAnsi="宋体" w:eastAsia="宋体" w:cs="宋体"/>
                <w:i w:val="0"/>
                <w:iCs w:val="0"/>
                <w:color w:val="000000"/>
                <w:sz w:val="24"/>
                <w:szCs w:val="24"/>
                <w:u w:val="none"/>
                <w:lang w:val="en-US"/>
              </w:rPr>
            </w:pPr>
          </w:p>
        </w:tc>
        <w:tc>
          <w:tcPr>
            <w:tcW w:w="347" w:type="pct"/>
            <w:vMerge w:val="restart"/>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CD1E78A">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1F16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2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05C7D">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91"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91F409">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437" w:type="pct"/>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7ADE15B4">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1434" w:type="pct"/>
            <w:vMerge w:val="continue"/>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267E6063">
            <w:pPr>
              <w:keepNext w:val="0"/>
              <w:keepLines w:val="0"/>
              <w:pageBreakBefore w:val="0"/>
              <w:kinsoku/>
              <w:overflowPunct/>
              <w:topLinePunct w:val="0"/>
              <w:bidi w:val="0"/>
              <w:spacing w:line="240" w:lineRule="auto"/>
              <w:jc w:val="left"/>
              <w:rPr>
                <w:rFonts w:hint="eastAsia" w:ascii="宋体" w:hAnsi="宋体" w:eastAsia="宋体" w:cs="宋体"/>
                <w:i w:val="0"/>
                <w:iCs w:val="0"/>
                <w:color w:val="000000"/>
                <w:sz w:val="24"/>
                <w:szCs w:val="24"/>
                <w:u w:val="none"/>
              </w:rPr>
            </w:pPr>
          </w:p>
        </w:tc>
        <w:tc>
          <w:tcPr>
            <w:tcW w:w="1644" w:type="pct"/>
            <w:gridSpan w:val="4"/>
            <w:tcBorders>
              <w:top w:val="single" w:color="auto" w:sz="4" w:space="0"/>
              <w:left w:val="single" w:color="000000" w:sz="4" w:space="0"/>
              <w:bottom w:val="single" w:color="000000" w:sz="4" w:space="0"/>
              <w:right w:val="single" w:color="000000" w:sz="4" w:space="0"/>
            </w:tcBorders>
            <w:shd w:val="clear" w:color="auto" w:fill="FFFFFF"/>
            <w:noWrap/>
            <w:vAlign w:val="center"/>
          </w:tcPr>
          <w:p w14:paraId="54B416CB">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i w:val="0"/>
                <w:iCs w:val="0"/>
                <w:color w:val="000000"/>
                <w:sz w:val="24"/>
                <w:szCs w:val="24"/>
                <w:u w:val="none"/>
              </w:rPr>
            </w:pPr>
          </w:p>
        </w:tc>
        <w:tc>
          <w:tcPr>
            <w:tcW w:w="516" w:type="pct"/>
            <w:vMerge w:val="continue"/>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30707C12">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F18C735">
            <w:pPr>
              <w:keepNext w:val="0"/>
              <w:keepLines w:val="0"/>
              <w:pageBreakBefore w:val="0"/>
              <w:kinsoku/>
              <w:overflowPunct/>
              <w:topLinePunct w:val="0"/>
              <w:bidi w:val="0"/>
              <w:spacing w:line="240" w:lineRule="auto"/>
              <w:jc w:val="center"/>
              <w:rPr>
                <w:rFonts w:hint="eastAsia" w:ascii="宋体" w:hAnsi="宋体" w:eastAsia="宋体" w:cs="宋体"/>
                <w:i w:val="0"/>
                <w:iCs w:val="0"/>
                <w:color w:val="000000"/>
                <w:sz w:val="24"/>
                <w:szCs w:val="24"/>
                <w:u w:val="none"/>
              </w:rPr>
            </w:pPr>
          </w:p>
        </w:tc>
      </w:tr>
      <w:tr w14:paraId="02F7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2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7F2D2FC">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263"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83446">
            <w:pPr>
              <w:keepNext w:val="0"/>
              <w:keepLines w:val="0"/>
              <w:pageBreakBefore w:val="0"/>
              <w:widowControl/>
              <w:suppressLineNumbers w:val="0"/>
              <w:kinsoku/>
              <w:overflowPunct/>
              <w:topLinePunct w:val="0"/>
              <w:bidi w:val="0"/>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合计（=1+2+3）</w:t>
            </w:r>
          </w:p>
        </w:tc>
        <w:tc>
          <w:tcPr>
            <w:tcW w:w="2508" w:type="pct"/>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3BB7892">
            <w:pPr>
              <w:keepNext w:val="0"/>
              <w:keepLines w:val="0"/>
              <w:pageBreakBefore w:val="0"/>
              <w:widowControl/>
              <w:suppressLineNumbers w:val="0"/>
              <w:kinsoku/>
              <w:overflowPunct/>
              <w:topLinePunct w:val="0"/>
              <w:bidi w:val="0"/>
              <w:spacing w:line="240" w:lineRule="auto"/>
              <w:jc w:val="center"/>
              <w:textAlignment w:val="center"/>
              <w:rPr>
                <w:rFonts w:hint="default" w:ascii="宋体" w:hAnsi="宋体" w:eastAsia="宋体" w:cs="宋体"/>
                <w:b/>
                <w:bCs/>
                <w:i w:val="0"/>
                <w:iCs w:val="0"/>
                <w:color w:val="000000"/>
                <w:sz w:val="24"/>
                <w:szCs w:val="24"/>
                <w:highlight w:val="none"/>
                <w:u w:val="none"/>
                <w:lang w:val="en-US"/>
              </w:rPr>
            </w:pPr>
          </w:p>
        </w:tc>
      </w:tr>
      <w:tr w14:paraId="0B5B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4812ACBE">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p w14:paraId="1EEB0EDE">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1.投标人报价需在市场合理范围，若某项未产生则不支出；</w:t>
            </w:r>
          </w:p>
          <w:p w14:paraId="34A6500B">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2.各项价格最终按不超测算值据实结算，分项结算价不得超分项总报价；</w:t>
            </w:r>
          </w:p>
          <w:p w14:paraId="118B8FAE">
            <w:pPr>
              <w:keepNext w:val="0"/>
              <w:keepLines w:val="0"/>
              <w:pageBreakBefore w:val="0"/>
              <w:widowControl/>
              <w:suppressLineNumbers w:val="0"/>
              <w:kinsoku/>
              <w:overflowPunct/>
              <w:topLinePunct w:val="0"/>
              <w:bidi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3.说明及要求列已明确要求不得超上限价格的，投标人应严格遵守；</w:t>
            </w:r>
          </w:p>
          <w:p w14:paraId="7601C155">
            <w:pPr>
              <w:keepNext w:val="0"/>
              <w:keepLines w:val="0"/>
              <w:pageBreakBefore w:val="0"/>
              <w:widowControl/>
              <w:suppressLineNumbers w:val="0"/>
              <w:kinsoku/>
              <w:overflowPunct/>
              <w:topLinePunct w:val="0"/>
              <w:bidi w:val="0"/>
              <w:spacing w:line="240" w:lineRule="auto"/>
              <w:jc w:val="left"/>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4.投标总价（元）=测算数量*投标单价（元/单位）</w:t>
            </w:r>
          </w:p>
        </w:tc>
      </w:tr>
    </w:tbl>
    <w:p w14:paraId="7B6E4447">
      <w:pPr>
        <w:pStyle w:val="2"/>
        <w:keepNext w:val="0"/>
        <w:keepLines w:val="0"/>
        <w:pageBreakBefore w:val="0"/>
        <w:kinsoku/>
        <w:overflowPunct/>
        <w:topLinePunct w:val="0"/>
        <w:bidi w:val="0"/>
        <w:spacing w:line="560" w:lineRule="exact"/>
        <w:rPr>
          <w:rFonts w:hint="default"/>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8A8691-713F-4AE0-BB1A-DBCC0E9999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D6B480-F836-457F-93C7-1EB735026844}"/>
  </w:font>
  <w:font w:name="Calibri Light">
    <w:panose1 w:val="020F0302020204030204"/>
    <w:charset w:val="00"/>
    <w:family w:val="auto"/>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94AD30C8-1685-4492-8557-9EEE5C49626B}"/>
  </w:font>
  <w:font w:name="仿宋_GB2312">
    <w:panose1 w:val="02010609030101010101"/>
    <w:charset w:val="86"/>
    <w:family w:val="auto"/>
    <w:pitch w:val="default"/>
    <w:sig w:usb0="00000001" w:usb1="080E0000" w:usb2="00000000" w:usb3="00000000" w:csb0="00040000" w:csb1="00000000"/>
    <w:embedRegular r:id="rId4" w:fontKey="{71D07F92-1383-4C85-96E9-7BDD26C4EAD6}"/>
  </w:font>
  <w:font w:name="楷体_GB2312">
    <w:panose1 w:val="02010609030101010101"/>
    <w:charset w:val="86"/>
    <w:family w:val="auto"/>
    <w:pitch w:val="default"/>
    <w:sig w:usb0="00000001" w:usb1="080E0000" w:usb2="00000000" w:usb3="00000000" w:csb0="00040000" w:csb1="00000000"/>
    <w:embedRegular r:id="rId5" w:fontKey="{3D1485A8-EAA8-481A-BE29-573EACEC22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ED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CA20"/>
    <w:multiLevelType w:val="singleLevel"/>
    <w:tmpl w:val="A43DCA20"/>
    <w:lvl w:ilvl="0" w:tentative="0">
      <w:start w:val="1"/>
      <w:numFmt w:val="chineseCounting"/>
      <w:suff w:val="nothing"/>
      <w:lvlText w:val="%1、"/>
      <w:lvlJc w:val="left"/>
      <w:rPr>
        <w:rFonts w:hint="eastAsia"/>
        <w:sz w:val="32"/>
        <w:szCs w:val="32"/>
      </w:rPr>
    </w:lvl>
  </w:abstractNum>
  <w:abstractNum w:abstractNumId="1">
    <w:nsid w:val="406508BD"/>
    <w:multiLevelType w:val="multilevel"/>
    <w:tmpl w:val="406508B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6C71F1"/>
    <w:multiLevelType w:val="multilevel"/>
    <w:tmpl w:val="726C71F1"/>
    <w:lvl w:ilvl="0" w:tentative="0">
      <w:start w:val="1"/>
      <w:numFmt w:val="chineseCountingThousand"/>
      <w:pStyle w:val="13"/>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E05"/>
    <w:rsid w:val="01922277"/>
    <w:rsid w:val="024969D8"/>
    <w:rsid w:val="02C66D61"/>
    <w:rsid w:val="02D72D01"/>
    <w:rsid w:val="036D1000"/>
    <w:rsid w:val="042C28C0"/>
    <w:rsid w:val="052C48C4"/>
    <w:rsid w:val="065B5A88"/>
    <w:rsid w:val="06F23CF7"/>
    <w:rsid w:val="08050524"/>
    <w:rsid w:val="08AD513C"/>
    <w:rsid w:val="0CB462EB"/>
    <w:rsid w:val="0F3D1663"/>
    <w:rsid w:val="10636C3B"/>
    <w:rsid w:val="11955A3F"/>
    <w:rsid w:val="13600912"/>
    <w:rsid w:val="15815AD7"/>
    <w:rsid w:val="163C4F8E"/>
    <w:rsid w:val="16ED6288"/>
    <w:rsid w:val="1A427337"/>
    <w:rsid w:val="1A4D304A"/>
    <w:rsid w:val="1B71796D"/>
    <w:rsid w:val="1C41419F"/>
    <w:rsid w:val="1E820E05"/>
    <w:rsid w:val="202E76E5"/>
    <w:rsid w:val="284F1C6E"/>
    <w:rsid w:val="2AE1684B"/>
    <w:rsid w:val="2BE47E69"/>
    <w:rsid w:val="2C9D3A89"/>
    <w:rsid w:val="2D453739"/>
    <w:rsid w:val="2DC75B04"/>
    <w:rsid w:val="2E6C7C0B"/>
    <w:rsid w:val="30B71ED4"/>
    <w:rsid w:val="311B27B2"/>
    <w:rsid w:val="34877E03"/>
    <w:rsid w:val="35D24DFD"/>
    <w:rsid w:val="3604028D"/>
    <w:rsid w:val="39C34D75"/>
    <w:rsid w:val="3AC557D1"/>
    <w:rsid w:val="3CE84C78"/>
    <w:rsid w:val="3D182F82"/>
    <w:rsid w:val="3E9E4502"/>
    <w:rsid w:val="3EEC4865"/>
    <w:rsid w:val="3F6C2DF4"/>
    <w:rsid w:val="3F9E48B5"/>
    <w:rsid w:val="424714E0"/>
    <w:rsid w:val="441910DB"/>
    <w:rsid w:val="444D17C3"/>
    <w:rsid w:val="45C81AEB"/>
    <w:rsid w:val="46DE34D4"/>
    <w:rsid w:val="471374A2"/>
    <w:rsid w:val="47AC3472"/>
    <w:rsid w:val="491D214E"/>
    <w:rsid w:val="4A27193A"/>
    <w:rsid w:val="4A2B5B43"/>
    <w:rsid w:val="4BE6200A"/>
    <w:rsid w:val="4E3B7C91"/>
    <w:rsid w:val="4E8972EB"/>
    <w:rsid w:val="51215764"/>
    <w:rsid w:val="5154562A"/>
    <w:rsid w:val="51FD2B1C"/>
    <w:rsid w:val="5268443A"/>
    <w:rsid w:val="52AD576E"/>
    <w:rsid w:val="53C910FB"/>
    <w:rsid w:val="545A0359"/>
    <w:rsid w:val="57C268C3"/>
    <w:rsid w:val="5809221B"/>
    <w:rsid w:val="59575E47"/>
    <w:rsid w:val="59BD6FD0"/>
    <w:rsid w:val="5A041D8D"/>
    <w:rsid w:val="5AC97A40"/>
    <w:rsid w:val="5B9E2C7A"/>
    <w:rsid w:val="5DD22C3B"/>
    <w:rsid w:val="5F5076E6"/>
    <w:rsid w:val="61823F79"/>
    <w:rsid w:val="61F432D4"/>
    <w:rsid w:val="62E24294"/>
    <w:rsid w:val="63172842"/>
    <w:rsid w:val="63EF5599"/>
    <w:rsid w:val="64B30C27"/>
    <w:rsid w:val="655125D3"/>
    <w:rsid w:val="65536795"/>
    <w:rsid w:val="656B0071"/>
    <w:rsid w:val="6A776A1B"/>
    <w:rsid w:val="6AC737B4"/>
    <w:rsid w:val="6D537B3F"/>
    <w:rsid w:val="6F2B2E7D"/>
    <w:rsid w:val="71264BC1"/>
    <w:rsid w:val="72321F03"/>
    <w:rsid w:val="72820B90"/>
    <w:rsid w:val="73D95F4D"/>
    <w:rsid w:val="747861FC"/>
    <w:rsid w:val="74BA1537"/>
    <w:rsid w:val="76DB7075"/>
    <w:rsid w:val="7EF7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unhideWhenUsed/>
    <w:qFormat/>
    <w:uiPriority w:val="0"/>
    <w:pPr>
      <w:spacing w:before="260" w:after="260" w:line="240" w:lineRule="auto"/>
      <w:outlineLvl w:val="2"/>
    </w:pPr>
    <w:rPr>
      <w:rFonts w:ascii="宋体" w:hAnsi="宋体" w:eastAsia="宋体" w:cs="Times New Roman"/>
      <w:szCs w:val="32"/>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5">
    <w:name w:val="annotation text"/>
    <w:basedOn w:val="1"/>
    <w:next w:val="6"/>
    <w:qFormat/>
    <w:uiPriority w:val="0"/>
    <w:pPr>
      <w:jc w:val="left"/>
    </w:pPr>
  </w:style>
  <w:style w:type="paragraph" w:styleId="6">
    <w:name w:val="toc 5"/>
    <w:basedOn w:val="1"/>
    <w:next w:val="1"/>
    <w:qFormat/>
    <w:uiPriority w:val="39"/>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1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3">
    <w:name w:val="Z3级左对齐标题"/>
    <w:basedOn w:val="1"/>
    <w:qFormat/>
    <w:uiPriority w:val="0"/>
    <w:pPr>
      <w:numPr>
        <w:ilvl w:val="0"/>
        <w:numId w:val="1"/>
      </w:numPr>
      <w:tabs>
        <w:tab w:val="left" w:pos="426"/>
      </w:tabs>
      <w:spacing w:before="280" w:after="290" w:line="377" w:lineRule="auto"/>
      <w:outlineLvl w:val="2"/>
    </w:pPr>
    <w:rPr>
      <w:b/>
      <w:sz w:val="24"/>
    </w:rPr>
  </w:style>
  <w:style w:type="paragraph" w:customStyle="1" w:styleId="14">
    <w:name w:val="列出段落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6171</Words>
  <Characters>6389</Characters>
  <Lines>0</Lines>
  <Paragraphs>0</Paragraphs>
  <TotalTime>56</TotalTime>
  <ScaleCrop>false</ScaleCrop>
  <LinksUpToDate>false</LinksUpToDate>
  <CharactersWithSpaces>6435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2022-02-09T01:37:00Z</dcterms:created>
  <dc:creator>admin</dc:creator>
  <cp:lastModifiedBy>苏国华</cp:lastModifiedBy>
  <cp:lastPrinted>2026-03-31T04:59:00Z</cp:lastPrinted>
  <dcterms:modified xsi:type="dcterms:W3CDTF">2026-03-31T10:27:30Z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921B880A3E3D421BB064DDBAE6855C9D</vt:lpwstr>
  </property>
  <property fmtid="{D5CDD505-2E9C-101B-9397-08002B2CF9AE}" pid="4" name="KSOTemplateDocerSaveRecord">
    <vt:lpwstr>eyJoZGlkIjoiZGU1NWIxNjRhYzA4ODE5ZmRiY2M4YzM4ODc0Nzk5NDciLCJ1c2VySWQiOiIzMTg4MTc5MjAifQ==</vt:lpwstr>
  </property>
</Properties>
</file>