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cs="仿宋"/>
          <w:sz w:val="28"/>
          <w:szCs w:val="28"/>
          <w:highlight w:val="none"/>
        </w:rPr>
      </w:pPr>
      <w:bookmarkStart w:id="0" w:name="_GoBack"/>
      <w:bookmarkEnd w:id="0"/>
      <w:r>
        <w:rPr>
          <w:rFonts w:hint="eastAsia" w:ascii="仿宋" w:hAnsi="仿宋" w:eastAsia="仿宋" w:cs="仿宋"/>
          <w:sz w:val="32"/>
          <w:szCs w:val="32"/>
          <w:highlight w:val="none"/>
        </w:rPr>
        <w:t>附件：</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报名资料格式</w:t>
      </w:r>
    </w:p>
    <w:p>
      <w:pPr>
        <w:jc w:val="center"/>
        <w:rPr>
          <w:rFonts w:ascii="仿宋" w:hAnsi="仿宋" w:eastAsia="仿宋" w:cs="仿宋"/>
          <w:sz w:val="28"/>
          <w:szCs w:val="28"/>
          <w:highlight w:val="none"/>
        </w:rPr>
      </w:pPr>
    </w:p>
    <w:p>
      <w:pPr>
        <w:pStyle w:val="2"/>
        <w:rPr>
          <w:rFonts w:ascii="仿宋" w:hAnsi="仿宋" w:eastAsia="仿宋" w:cs="仿宋"/>
          <w:sz w:val="28"/>
          <w:szCs w:val="28"/>
          <w:highlight w:val="none"/>
        </w:rPr>
      </w:pPr>
    </w:p>
    <w:p>
      <w:pPr>
        <w:pStyle w:val="3"/>
        <w:ind w:left="2940"/>
        <w:rPr>
          <w:highlight w:val="none"/>
        </w:rPr>
      </w:pPr>
    </w:p>
    <w:p>
      <w:pPr>
        <w:spacing w:line="560" w:lineRule="exact"/>
        <w:jc w:val="center"/>
        <w:rPr>
          <w:rFonts w:ascii="仿宋" w:hAnsi="仿宋" w:eastAsia="仿宋" w:cs="仿宋"/>
          <w:sz w:val="44"/>
          <w:szCs w:val="44"/>
          <w:highlight w:val="none"/>
        </w:rPr>
      </w:pPr>
      <w:r>
        <w:rPr>
          <w:rFonts w:hint="eastAsia" w:ascii="仿宋" w:hAnsi="仿宋" w:eastAsia="仿宋" w:cs="仿宋"/>
          <w:sz w:val="44"/>
          <w:szCs w:val="44"/>
          <w:highlight w:val="none"/>
          <w:lang w:eastAsia="zh-CN"/>
        </w:rPr>
        <w:t>梧桐山河上游西坑社区段河道整治工程</w:t>
      </w:r>
      <w:r>
        <w:rPr>
          <w:rFonts w:hint="eastAsia" w:ascii="仿宋" w:hAnsi="仿宋" w:eastAsia="仿宋" w:cs="仿宋"/>
          <w:sz w:val="44"/>
          <w:szCs w:val="44"/>
          <w:highlight w:val="none"/>
        </w:rPr>
        <w:t>涉水库安全评估</w:t>
      </w:r>
    </w:p>
    <w:p>
      <w:pPr>
        <w:pStyle w:val="2"/>
        <w:rPr>
          <w:rFonts w:ascii="仿宋" w:hAnsi="仿宋" w:eastAsia="仿宋" w:cs="仿宋"/>
          <w:highlight w:val="none"/>
        </w:rPr>
      </w:pPr>
    </w:p>
    <w:p>
      <w:pPr>
        <w:ind w:firstLine="1760" w:firstLineChars="400"/>
        <w:jc w:val="center"/>
        <w:rPr>
          <w:rFonts w:ascii="仿宋" w:hAnsi="仿宋" w:eastAsia="仿宋" w:cs="仿宋"/>
          <w:sz w:val="44"/>
          <w:szCs w:val="44"/>
          <w:highlight w:val="none"/>
        </w:rPr>
      </w:pPr>
    </w:p>
    <w:p>
      <w:pPr>
        <w:ind w:firstLine="3300" w:firstLineChars="750"/>
        <w:rPr>
          <w:rFonts w:ascii="仿宋" w:hAnsi="仿宋" w:eastAsia="仿宋" w:cs="仿宋"/>
          <w:sz w:val="44"/>
          <w:szCs w:val="44"/>
          <w:highlight w:val="none"/>
        </w:rPr>
      </w:pPr>
      <w:r>
        <w:rPr>
          <w:rFonts w:hint="eastAsia" w:ascii="仿宋" w:hAnsi="仿宋" w:eastAsia="仿宋" w:cs="仿宋"/>
          <w:sz w:val="44"/>
          <w:szCs w:val="44"/>
          <w:highlight w:val="none"/>
        </w:rPr>
        <w:t>报名资料</w:t>
      </w: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r>
        <w:rPr>
          <w:rFonts w:hint="eastAsia" w:ascii="仿宋" w:hAnsi="仿宋" w:eastAsia="仿宋" w:cs="仿宋"/>
          <w:sz w:val="32"/>
          <w:szCs w:val="32"/>
          <w:highlight w:val="none"/>
        </w:rPr>
        <w:t>报名单位（公章）：</w:t>
      </w: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widowControl/>
        <w:jc w:val="left"/>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一、合格有效的企业营业执照副本复印件</w:t>
      </w: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widowControl/>
        <w:jc w:val="left"/>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二、法定代表人证明书原件、法人代表身份证复印件、法定代表人授权委托书原件（如报名代表是法定代表人则无需）、授权代理人身份证复印件（如报名代表是法定代表人则无需）、授权代理人的联系方式信息</w:t>
      </w: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widowControl/>
        <w:jc w:val="left"/>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三、承诺书</w:t>
      </w:r>
    </w:p>
    <w:p>
      <w:pPr>
        <w:jc w:val="center"/>
        <w:rPr>
          <w:rFonts w:ascii="仿宋" w:hAnsi="仿宋" w:eastAsia="仿宋" w:cs="仿宋"/>
          <w:sz w:val="44"/>
          <w:szCs w:val="44"/>
          <w:highlight w:val="none"/>
        </w:rPr>
      </w:pPr>
      <w:r>
        <w:rPr>
          <w:rFonts w:hint="eastAsia" w:ascii="仿宋" w:hAnsi="仿宋" w:eastAsia="仿宋" w:cs="仿宋"/>
          <w:sz w:val="44"/>
          <w:szCs w:val="44"/>
          <w:highlight w:val="none"/>
        </w:rPr>
        <w:t>承 诺 书</w:t>
      </w:r>
    </w:p>
    <w:p>
      <w:pPr>
        <w:rPr>
          <w:rFonts w:ascii="仿宋" w:hAnsi="仿宋" w:eastAsia="仿宋" w:cs="仿宋"/>
          <w:sz w:val="32"/>
          <w:szCs w:val="32"/>
          <w:highlight w:val="none"/>
        </w:rPr>
      </w:pPr>
    </w:p>
    <w:p>
      <w:pPr>
        <w:spacing w:line="560" w:lineRule="exact"/>
        <w:rPr>
          <w:rFonts w:ascii="仿宋" w:hAnsi="仿宋" w:eastAsia="仿宋" w:cs="仿宋"/>
          <w:sz w:val="32"/>
          <w:szCs w:val="32"/>
          <w:highlight w:val="none"/>
        </w:rPr>
      </w:pPr>
      <w:r>
        <w:rPr>
          <w:rFonts w:hint="eastAsia" w:ascii="仿宋" w:hAnsi="仿宋" w:eastAsia="仿宋" w:cs="仿宋"/>
          <w:sz w:val="32"/>
          <w:szCs w:val="32"/>
          <w:highlight w:val="none"/>
        </w:rPr>
        <w:t>深圳市龙岗区水务局：</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经我司研究考虑，有意向参与</w:t>
      </w:r>
      <w:r>
        <w:rPr>
          <w:rStyle w:val="22"/>
          <w:rFonts w:hint="eastAsia" w:ascii="仿宋" w:hAnsi="仿宋" w:eastAsia="仿宋" w:cs="仿宋"/>
          <w:color w:val="auto"/>
          <w:highlight w:val="none"/>
        </w:rPr>
        <w:t>龙岗区水务局关于</w:t>
      </w:r>
      <w:r>
        <w:rPr>
          <w:rFonts w:hint="eastAsia" w:ascii="仿宋" w:hAnsi="仿宋" w:eastAsia="仿宋" w:cs="仿宋"/>
          <w:sz w:val="32"/>
          <w:szCs w:val="32"/>
          <w:highlight w:val="none"/>
          <w:lang w:eastAsia="zh-CN"/>
        </w:rPr>
        <w:t>梧桐山河上游西坑社区段河道整治工程</w:t>
      </w:r>
      <w:r>
        <w:rPr>
          <w:rFonts w:hint="eastAsia" w:ascii="仿宋" w:hAnsi="仿宋" w:eastAsia="仿宋" w:cs="仿宋"/>
          <w:sz w:val="32"/>
          <w:szCs w:val="32"/>
          <w:highlight w:val="none"/>
        </w:rPr>
        <w:t>涉水库安全评估服务单位的报名，并承诺如下：</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一、我司不以任何形式转包、挂靠参与本次报名，一旦我司成为承包商，将全力以赴按照项目要求完成相关工作。</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二、我司认真阅读了关于</w:t>
      </w:r>
      <w:r>
        <w:rPr>
          <w:rFonts w:hint="eastAsia" w:ascii="仿宋" w:hAnsi="仿宋" w:eastAsia="仿宋" w:cs="仿宋"/>
          <w:sz w:val="32"/>
          <w:szCs w:val="32"/>
          <w:highlight w:val="none"/>
          <w:lang w:eastAsia="zh-CN"/>
        </w:rPr>
        <w:t>梧桐山河上游西坑社区段河道整治工程</w:t>
      </w:r>
      <w:r>
        <w:rPr>
          <w:rFonts w:hint="eastAsia" w:ascii="仿宋" w:hAnsi="仿宋" w:eastAsia="仿宋" w:cs="仿宋"/>
          <w:sz w:val="32"/>
          <w:szCs w:val="32"/>
          <w:highlight w:val="none"/>
        </w:rPr>
        <w:t>涉水库安全评估委托服务单位的方案内容，对此无任何异议。</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三、我司根据企业自身情况，理性报价，不会以低于成本予以报价，否则，我司愿意承担任何风险。</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四、我司严格执行廉政建设相关要求，严禁采用贿赂、恐吓等不法手段成为承包商。</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五、我司提供相关资料全部真实（纸质版文件与电子版文件内容一致），并对其真实性负责。</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我方若违反上述承诺，愿承担一切责任并接受有关处罚。</w:t>
      </w:r>
    </w:p>
    <w:p>
      <w:pPr>
        <w:spacing w:line="560" w:lineRule="exact"/>
        <w:jc w:val="right"/>
        <w:rPr>
          <w:rFonts w:ascii="仿宋" w:hAnsi="仿宋" w:eastAsia="仿宋" w:cs="仿宋"/>
          <w:sz w:val="32"/>
          <w:szCs w:val="32"/>
          <w:highlight w:val="none"/>
        </w:rPr>
      </w:pPr>
    </w:p>
    <w:p>
      <w:pPr>
        <w:spacing w:line="560" w:lineRule="exact"/>
        <w:jc w:val="right"/>
        <w:rPr>
          <w:rFonts w:ascii="仿宋" w:hAnsi="仿宋" w:eastAsia="仿宋" w:cs="仿宋"/>
          <w:sz w:val="32"/>
          <w:szCs w:val="32"/>
          <w:highlight w:val="none"/>
        </w:rPr>
      </w:pPr>
      <w:r>
        <w:rPr>
          <w:rFonts w:hint="eastAsia" w:ascii="仿宋" w:hAnsi="仿宋" w:eastAsia="仿宋" w:cs="仿宋"/>
          <w:sz w:val="32"/>
          <w:szCs w:val="32"/>
          <w:highlight w:val="none"/>
        </w:rPr>
        <w:t>承诺人：（盖公章）</w:t>
      </w:r>
    </w:p>
    <w:p>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四、廉政承诺书</w:t>
      </w:r>
    </w:p>
    <w:p>
      <w:pPr>
        <w:jc w:val="center"/>
        <w:rPr>
          <w:rFonts w:ascii="仿宋" w:hAnsi="仿宋" w:eastAsia="仿宋" w:cs="仿宋"/>
          <w:sz w:val="44"/>
          <w:szCs w:val="44"/>
          <w:highlight w:val="none"/>
        </w:rPr>
      </w:pPr>
    </w:p>
    <w:p>
      <w:pPr>
        <w:jc w:val="center"/>
        <w:rPr>
          <w:rFonts w:ascii="仿宋" w:hAnsi="仿宋" w:eastAsia="仿宋" w:cs="仿宋"/>
          <w:sz w:val="44"/>
          <w:szCs w:val="44"/>
          <w:highlight w:val="none"/>
        </w:rPr>
      </w:pPr>
      <w:r>
        <w:rPr>
          <w:rFonts w:hint="eastAsia" w:ascii="仿宋" w:hAnsi="仿宋" w:eastAsia="仿宋" w:cs="仿宋"/>
          <w:sz w:val="44"/>
          <w:szCs w:val="44"/>
          <w:highlight w:val="none"/>
        </w:rPr>
        <w:t>廉政责任承诺书</w:t>
      </w:r>
    </w:p>
    <w:p>
      <w:pPr>
        <w:pStyle w:val="2"/>
        <w:rPr>
          <w:rFonts w:ascii="仿宋" w:hAnsi="仿宋" w:eastAsia="仿宋" w:cs="仿宋"/>
          <w:sz w:val="32"/>
          <w:szCs w:val="32"/>
          <w:highlight w:val="none"/>
        </w:rPr>
      </w:pPr>
    </w:p>
    <w:p>
      <w:pPr>
        <w:rPr>
          <w:rFonts w:ascii="仿宋" w:hAnsi="仿宋" w:eastAsia="仿宋" w:cs="仿宋"/>
          <w:sz w:val="32"/>
          <w:szCs w:val="32"/>
          <w:highlight w:val="none"/>
        </w:rPr>
      </w:pPr>
      <w:r>
        <w:rPr>
          <w:rFonts w:hint="eastAsia" w:ascii="仿宋" w:hAnsi="仿宋" w:eastAsia="仿宋" w:cs="仿宋"/>
          <w:sz w:val="32"/>
          <w:szCs w:val="32"/>
          <w:highlight w:val="none"/>
        </w:rPr>
        <w:t>深圳市龙岗区水务局：</w:t>
      </w:r>
    </w:p>
    <w:p>
      <w:pPr>
        <w:spacing w:before="319" w:beforeLines="100" w:line="360" w:lineRule="auto"/>
        <w:ind w:firstLine="688" w:firstLineChars="215"/>
        <w:rPr>
          <w:rFonts w:ascii="仿宋" w:hAnsi="仿宋" w:eastAsia="仿宋" w:cs="仿宋"/>
          <w:sz w:val="32"/>
          <w:szCs w:val="32"/>
          <w:highlight w:val="none"/>
        </w:rPr>
      </w:pPr>
      <w:r>
        <w:rPr>
          <w:rFonts w:hint="eastAsia" w:ascii="仿宋" w:hAnsi="仿宋" w:eastAsia="仿宋" w:cs="仿宋"/>
          <w:sz w:val="32"/>
          <w:szCs w:val="32"/>
          <w:highlight w:val="none"/>
        </w:rPr>
        <w:t>我司有意向参与</w:t>
      </w:r>
      <w:r>
        <w:rPr>
          <w:rStyle w:val="22"/>
          <w:rFonts w:hint="eastAsia" w:ascii="仿宋" w:hAnsi="仿宋" w:eastAsia="仿宋" w:cs="仿宋"/>
          <w:color w:val="auto"/>
          <w:highlight w:val="none"/>
          <w:lang w:eastAsia="zh-CN"/>
        </w:rPr>
        <w:t>梧桐山河上游西坑社区段河道整治工程</w:t>
      </w:r>
      <w:r>
        <w:rPr>
          <w:rStyle w:val="22"/>
          <w:rFonts w:hint="eastAsia" w:ascii="仿宋" w:hAnsi="仿宋" w:eastAsia="仿宋" w:cs="仿宋"/>
          <w:color w:val="auto"/>
          <w:highlight w:val="none"/>
        </w:rPr>
        <w:t>涉水库安全评估</w:t>
      </w:r>
      <w:r>
        <w:rPr>
          <w:rFonts w:hint="eastAsia" w:ascii="仿宋" w:hAnsi="仿宋" w:eastAsia="仿宋" w:cs="仿宋"/>
          <w:sz w:val="32"/>
          <w:szCs w:val="32"/>
          <w:highlight w:val="none"/>
        </w:rPr>
        <w:t>服务单位的报名，并且完全愿意按照承诺书要求作出承诺，同时在廉政责任方面作出如下承诺：</w:t>
      </w:r>
    </w:p>
    <w:p>
      <w:pPr>
        <w:topLinePunct/>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我方将遵守廉政建设各项规定，规范自身廉政行为，保证在征集过程中及成为承包商后不发生不廉洁行为。</w:t>
      </w:r>
    </w:p>
    <w:p>
      <w:pPr>
        <w:topLinePunct/>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我方若违反上述承诺，愿承担一切责任并接受有关处罚。</w:t>
      </w:r>
    </w:p>
    <w:p>
      <w:pPr>
        <w:jc w:val="right"/>
        <w:rPr>
          <w:rFonts w:ascii="仿宋" w:hAnsi="仿宋" w:eastAsia="仿宋" w:cs="仿宋"/>
          <w:sz w:val="32"/>
          <w:szCs w:val="32"/>
          <w:highlight w:val="none"/>
        </w:rPr>
      </w:pPr>
    </w:p>
    <w:p>
      <w:pPr>
        <w:jc w:val="right"/>
        <w:rPr>
          <w:rFonts w:ascii="仿宋" w:hAnsi="仿宋" w:eastAsia="仿宋" w:cs="仿宋"/>
          <w:sz w:val="32"/>
          <w:szCs w:val="32"/>
          <w:highlight w:val="none"/>
        </w:rPr>
      </w:pPr>
    </w:p>
    <w:p>
      <w:pPr>
        <w:jc w:val="right"/>
        <w:rPr>
          <w:rFonts w:ascii="仿宋" w:hAnsi="仿宋" w:eastAsia="仿宋" w:cs="仿宋"/>
          <w:sz w:val="32"/>
          <w:szCs w:val="32"/>
          <w:highlight w:val="none"/>
        </w:rPr>
      </w:pPr>
    </w:p>
    <w:p>
      <w:pPr>
        <w:jc w:val="right"/>
        <w:rPr>
          <w:rFonts w:ascii="仿宋" w:hAnsi="仿宋" w:eastAsia="仿宋" w:cs="仿宋"/>
          <w:spacing w:val="6"/>
          <w:kern w:val="11"/>
          <w:sz w:val="32"/>
          <w:szCs w:val="32"/>
          <w:highlight w:val="none"/>
        </w:rPr>
      </w:pPr>
      <w:r>
        <w:rPr>
          <w:rFonts w:hint="eastAsia" w:ascii="仿宋" w:hAnsi="仿宋" w:eastAsia="仿宋" w:cs="仿宋"/>
          <w:sz w:val="32"/>
          <w:szCs w:val="32"/>
          <w:highlight w:val="none"/>
        </w:rPr>
        <w:t>承诺人：（盖公章）</w:t>
      </w:r>
      <w:r>
        <w:rPr>
          <w:rFonts w:hint="eastAsia" w:ascii="仿宋" w:hAnsi="仿宋" w:eastAsia="仿宋" w:cs="仿宋"/>
          <w:sz w:val="32"/>
          <w:szCs w:val="32"/>
          <w:highlight w:val="none"/>
          <w:u w:val="single"/>
        </w:rPr>
        <w:t xml:space="preserve">   </w:t>
      </w:r>
    </w:p>
    <w:p>
      <w:pPr>
        <w:adjustRightInd w:val="0"/>
        <w:snapToGrid w:val="0"/>
        <w:spacing w:line="300" w:lineRule="auto"/>
        <w:ind w:right="378"/>
        <w:rPr>
          <w:rFonts w:ascii="仿宋" w:hAnsi="仿宋" w:eastAsia="仿宋" w:cs="仿宋"/>
          <w:sz w:val="32"/>
          <w:szCs w:val="32"/>
          <w:highlight w:val="none"/>
          <w:u w:val="single"/>
        </w:rPr>
      </w:pPr>
    </w:p>
    <w:p>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五、拟投入人员班子一览表</w:t>
      </w:r>
    </w:p>
    <w:p>
      <w:pPr>
        <w:rPr>
          <w:rFonts w:ascii="仿宋" w:hAnsi="仿宋" w:eastAsia="仿宋" w:cs="仿宋"/>
          <w:sz w:val="32"/>
          <w:szCs w:val="32"/>
          <w:highlight w:val="none"/>
        </w:rPr>
      </w:pPr>
      <w:r>
        <w:rPr>
          <w:rFonts w:hint="eastAsia" w:ascii="仿宋" w:hAnsi="仿宋" w:eastAsia="仿宋" w:cs="仿宋"/>
          <w:sz w:val="32"/>
          <w:szCs w:val="32"/>
          <w:highlight w:val="none"/>
        </w:rPr>
        <w:br w:type="page"/>
      </w:r>
      <w:r>
        <w:rPr>
          <w:rFonts w:hint="eastAsia" w:ascii="仿宋" w:hAnsi="仿宋" w:eastAsia="仿宋" w:cs="仿宋"/>
          <w:sz w:val="32"/>
          <w:szCs w:val="32"/>
          <w:highlight w:val="none"/>
        </w:rPr>
        <w:t>六、供征集单位择优的相关材料</w:t>
      </w:r>
    </w:p>
    <w:p>
      <w:pPr>
        <w:widowControl/>
        <w:jc w:val="left"/>
        <w:rPr>
          <w:rFonts w:ascii="仿宋" w:hAnsi="仿宋" w:eastAsia="仿宋" w:cs="仿宋"/>
          <w:sz w:val="32"/>
          <w:szCs w:val="32"/>
          <w:highlight w:val="none"/>
        </w:rPr>
      </w:pPr>
      <w:r>
        <w:rPr>
          <w:rFonts w:hint="eastAsia" w:ascii="仿宋" w:hAnsi="仿宋" w:eastAsia="仿宋" w:cs="仿宋"/>
          <w:sz w:val="32"/>
          <w:szCs w:val="32"/>
          <w:highlight w:val="none"/>
        </w:rPr>
        <w:t>（一）投标报价</w:t>
      </w:r>
    </w:p>
    <w:p>
      <w:pPr>
        <w:spacing w:before="100" w:after="159" w:afterLines="50" w:line="360" w:lineRule="auto"/>
        <w:jc w:val="center"/>
        <w:rPr>
          <w:rFonts w:ascii="仿宋" w:hAnsi="仿宋" w:eastAsia="仿宋" w:cs="仿宋"/>
          <w:b/>
          <w:kern w:val="0"/>
          <w:sz w:val="32"/>
          <w:szCs w:val="32"/>
          <w:highlight w:val="none"/>
        </w:rPr>
      </w:pPr>
      <w:r>
        <w:rPr>
          <w:rFonts w:hint="eastAsia" w:ascii="仿宋" w:hAnsi="仿宋" w:eastAsia="仿宋" w:cs="仿宋"/>
          <w:b/>
          <w:snapToGrid w:val="0"/>
          <w:kern w:val="0"/>
          <w:sz w:val="32"/>
          <w:szCs w:val="32"/>
          <w:highlight w:val="none"/>
          <w:lang w:bidi="ar"/>
        </w:rPr>
        <w:t>报 价 书</w:t>
      </w:r>
    </w:p>
    <w:tbl>
      <w:tblPr>
        <w:tblStyle w:val="17"/>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序号</w:t>
            </w:r>
          </w:p>
        </w:tc>
        <w:tc>
          <w:tcPr>
            <w:tcW w:w="2727"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lang w:bidi="ar"/>
              </w:rPr>
            </w:pPr>
            <w:r>
              <w:rPr>
                <w:rFonts w:hint="eastAsia" w:ascii="仿宋" w:hAnsi="仿宋" w:eastAsia="仿宋" w:cs="仿宋"/>
                <w:b/>
                <w:sz w:val="24"/>
                <w:szCs w:val="24"/>
                <w:highlight w:val="none"/>
                <w:lang w:bidi="ar"/>
              </w:rPr>
              <w:t>报价下浮率</w:t>
            </w:r>
          </w:p>
          <w:p>
            <w:pPr>
              <w:snapToGrid w:val="0"/>
              <w:jc w:val="center"/>
              <w:rPr>
                <w:rFonts w:ascii="仿宋" w:hAnsi="仿宋" w:eastAsia="仿宋" w:cs="仿宋"/>
                <w:b/>
                <w:sz w:val="24"/>
                <w:szCs w:val="24"/>
                <w:highlight w:val="none"/>
                <w:lang w:bidi="ar"/>
              </w:rPr>
            </w:pPr>
            <w:r>
              <w:rPr>
                <w:rFonts w:hint="eastAsia" w:ascii="仿宋" w:hAnsi="仿宋" w:eastAsia="仿宋" w:cs="仿宋"/>
                <w:b/>
                <w:sz w:val="24"/>
                <w:szCs w:val="24"/>
                <w:highlight w:val="none"/>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报价</w:t>
            </w:r>
          </w:p>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备注</w:t>
            </w:r>
          </w:p>
        </w:tc>
      </w:tr>
      <w:tr>
        <w:tblPrEx>
          <w:tblCellMar>
            <w:top w:w="0" w:type="dxa"/>
            <w:left w:w="108" w:type="dxa"/>
            <w:bottom w:w="0" w:type="dxa"/>
            <w:right w:w="108" w:type="dxa"/>
          </w:tblCellMar>
        </w:tblPrEx>
        <w:trPr>
          <w:trHeight w:val="194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highlight w:val="none"/>
              </w:rPr>
            </w:pPr>
            <w:r>
              <w:rPr>
                <w:rFonts w:hint="eastAsia" w:ascii="仿宋" w:hAnsi="仿宋" w:eastAsia="仿宋" w:cs="仿宋"/>
                <w:highlight w:val="none"/>
                <w:lang w:bidi="ar"/>
              </w:rPr>
              <w:t>1</w:t>
            </w:r>
          </w:p>
        </w:tc>
        <w:tc>
          <w:tcPr>
            <w:tcW w:w="2727" w:type="dxa"/>
            <w:tcBorders>
              <w:top w:val="single" w:color="auto" w:sz="4" w:space="0"/>
              <w:left w:val="nil"/>
              <w:bottom w:val="single" w:color="auto" w:sz="4" w:space="0"/>
              <w:right w:val="single" w:color="auto" w:sz="4" w:space="0"/>
            </w:tcBorders>
            <w:vAlign w:val="center"/>
          </w:tcPr>
          <w:p>
            <w:pPr>
              <w:snapToGrid w:val="0"/>
              <w:ind w:left="-8" w:leftChars="-4"/>
              <w:jc w:val="center"/>
              <w:rPr>
                <w:rFonts w:ascii="仿宋" w:hAnsi="仿宋" w:eastAsia="仿宋" w:cs="仿宋"/>
                <w:highlight w:val="none"/>
                <w:lang w:bidi="ar"/>
              </w:rPr>
            </w:pPr>
            <w:r>
              <w:rPr>
                <w:rFonts w:hint="eastAsia" w:ascii="仿宋" w:hAnsi="仿宋" w:eastAsia="仿宋" w:cs="仿宋"/>
                <w:highlight w:val="none"/>
                <w:lang w:eastAsia="zh-CN" w:bidi="ar"/>
              </w:rPr>
              <w:t>梧桐山河上游西坑社区段河道整治工程</w:t>
            </w:r>
            <w:r>
              <w:rPr>
                <w:rFonts w:hint="eastAsia" w:ascii="仿宋" w:hAnsi="仿宋" w:eastAsia="仿宋" w:cs="仿宋"/>
                <w:highlight w:val="none"/>
                <w:lang w:bidi="ar"/>
              </w:rPr>
              <w:t>涉水库安全评估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ind w:left="-8" w:leftChars="-4"/>
              <w:jc w:val="center"/>
              <w:rPr>
                <w:rFonts w:hint="eastAsia" w:ascii="仿宋" w:hAnsi="仿宋" w:eastAsia="仿宋" w:cs="仿宋"/>
                <w:highlight w:val="none"/>
                <w:lang w:eastAsia="zh-CN" w:bidi="ar"/>
              </w:rPr>
            </w:pPr>
            <w:r>
              <w:rPr>
                <w:rFonts w:hint="eastAsia" w:ascii="仿宋" w:hAnsi="仿宋" w:eastAsia="仿宋" w:cs="仿宋"/>
                <w:highlight w:val="none"/>
                <w:lang w:eastAsia="zh-CN" w:bidi="ar"/>
              </w:rPr>
              <w:t>10.06</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highlight w:val="none"/>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highlight w:val="none"/>
              </w:rPr>
            </w:pPr>
          </w:p>
        </w:tc>
      </w:tr>
    </w:tbl>
    <w:p>
      <w:pPr>
        <w:jc w:val="left"/>
        <w:rPr>
          <w:highlight w:val="none"/>
          <w:lang w:bidi="ar"/>
        </w:rPr>
      </w:pPr>
    </w:p>
    <w:p>
      <w:pPr>
        <w:adjustRightInd w:val="0"/>
        <w:snapToGrid w:val="0"/>
        <w:spacing w:after="159" w:afterLines="50" w:line="360" w:lineRule="auto"/>
        <w:ind w:firstLine="420" w:firstLineChars="200"/>
        <w:jc w:val="left"/>
        <w:rPr>
          <w:rFonts w:ascii="仿宋" w:hAnsi="仿宋" w:eastAsia="仿宋" w:cs="仿宋"/>
          <w:snapToGrid w:val="0"/>
          <w:highlight w:val="none"/>
          <w:lang w:bidi="ar"/>
        </w:rPr>
      </w:pPr>
      <w:r>
        <w:rPr>
          <w:rFonts w:hint="eastAsia" w:ascii="仿宋" w:hAnsi="仿宋" w:eastAsia="仿宋" w:cs="仿宋"/>
          <w:snapToGrid w:val="0"/>
          <w:highlight w:val="none"/>
          <w:lang w:bidi="ar"/>
        </w:rPr>
        <w:t>注：1.报名单位报价采用自主报价方式，仅报下浮率及投标总价，下浮率范围为≥</w:t>
      </w:r>
      <w:r>
        <w:rPr>
          <w:rFonts w:hint="eastAsia" w:ascii="仿宋" w:hAnsi="仿宋" w:eastAsia="仿宋" w:cs="仿宋"/>
          <w:snapToGrid w:val="0"/>
          <w:highlight w:val="none"/>
          <w:lang w:val="en-US" w:eastAsia="zh-CN" w:bidi="ar"/>
        </w:rPr>
        <w:t>0</w:t>
      </w:r>
      <w:r>
        <w:rPr>
          <w:rFonts w:hint="eastAsia" w:ascii="仿宋" w:hAnsi="仿宋" w:eastAsia="仿宋" w:cs="仿宋"/>
          <w:snapToGrid w:val="0"/>
          <w:highlight w:val="none"/>
          <w:lang w:bidi="ar"/>
        </w:rPr>
        <w:t>%，招标估价为</w:t>
      </w:r>
      <w:r>
        <w:rPr>
          <w:rFonts w:hint="eastAsia" w:ascii="仿宋" w:hAnsi="仿宋" w:eastAsia="仿宋" w:cs="仿宋"/>
          <w:highlight w:val="none"/>
          <w:lang w:eastAsia="zh-CN" w:bidi="ar"/>
        </w:rPr>
        <w:t>10.06</w:t>
      </w:r>
      <w:r>
        <w:rPr>
          <w:rFonts w:hint="eastAsia" w:ascii="仿宋" w:hAnsi="仿宋" w:eastAsia="仿宋" w:cs="仿宋"/>
          <w:snapToGrid w:val="0"/>
          <w:highlight w:val="none"/>
          <w:lang w:bidi="ar"/>
        </w:rPr>
        <w:t>万元，投标报价上限为</w:t>
      </w:r>
      <w:r>
        <w:rPr>
          <w:rFonts w:hint="eastAsia" w:ascii="仿宋" w:hAnsi="仿宋" w:eastAsia="仿宋" w:cs="仿宋"/>
          <w:snapToGrid w:val="0"/>
          <w:highlight w:val="none"/>
          <w:lang w:eastAsia="zh-CN" w:bidi="ar"/>
        </w:rPr>
        <w:t>10.06</w:t>
      </w:r>
      <w:r>
        <w:rPr>
          <w:rFonts w:hint="eastAsia" w:ascii="仿宋" w:hAnsi="仿宋" w:eastAsia="仿宋" w:cs="仿宋"/>
          <w:snapToGrid w:val="0"/>
          <w:highlight w:val="none"/>
          <w:lang w:bidi="ar"/>
        </w:rPr>
        <w:t>万元。投标人所报投标报价在发包估价</w:t>
      </w:r>
      <w:r>
        <w:rPr>
          <w:rFonts w:hint="eastAsia" w:ascii="仿宋" w:hAnsi="仿宋" w:eastAsia="仿宋" w:cs="仿宋"/>
          <w:highlight w:val="none"/>
          <w:lang w:eastAsia="zh-CN" w:bidi="ar"/>
        </w:rPr>
        <w:t>10.06</w:t>
      </w:r>
      <w:r>
        <w:rPr>
          <w:rFonts w:hint="eastAsia" w:ascii="仿宋" w:hAnsi="仿宋" w:eastAsia="仿宋" w:cs="仿宋"/>
          <w:snapToGrid w:val="0"/>
          <w:highlight w:val="none"/>
          <w:lang w:bidi="ar"/>
        </w:rPr>
        <w:t>万元基础上直接下浮，当投标人所报下浮率与所报的投标报价折算出的下浮率不一致时，以投标人所报下浮率为准，同时以所报下浮率折算出相应的报价作为投标报价。</w:t>
      </w:r>
    </w:p>
    <w:p>
      <w:pPr>
        <w:adjustRightInd w:val="0"/>
        <w:snapToGrid w:val="0"/>
        <w:spacing w:after="159" w:afterLines="50" w:line="360" w:lineRule="auto"/>
        <w:ind w:firstLine="420" w:firstLineChars="200"/>
        <w:jc w:val="left"/>
        <w:rPr>
          <w:rFonts w:ascii="仿宋" w:hAnsi="仿宋" w:eastAsia="仿宋" w:cs="仿宋"/>
          <w:snapToGrid w:val="0"/>
          <w:highlight w:val="none"/>
          <w:lang w:bidi="ar"/>
        </w:rPr>
      </w:pPr>
      <w:r>
        <w:rPr>
          <w:rFonts w:hint="eastAsia" w:ascii="仿宋" w:hAnsi="仿宋" w:eastAsia="仿宋" w:cs="仿宋"/>
          <w:snapToGrid w:val="0"/>
          <w:highlight w:val="none"/>
          <w:lang w:bidi="ar"/>
        </w:rPr>
        <w:t>2.如报名单位的报价超出报价要求范围的，其报名将被否决。</w:t>
      </w:r>
    </w:p>
    <w:p>
      <w:pPr>
        <w:adjustRightInd w:val="0"/>
        <w:snapToGrid w:val="0"/>
        <w:spacing w:after="159" w:afterLines="50" w:line="360" w:lineRule="auto"/>
        <w:ind w:firstLine="420" w:firstLineChars="200"/>
        <w:jc w:val="left"/>
        <w:rPr>
          <w:rFonts w:ascii="仿宋" w:hAnsi="仿宋" w:eastAsia="仿宋" w:cs="仿宋"/>
          <w:snapToGrid w:val="0"/>
          <w:highlight w:val="none"/>
          <w:lang w:bidi="ar"/>
        </w:rPr>
      </w:pPr>
    </w:p>
    <w:p>
      <w:pPr>
        <w:ind w:firstLine="640"/>
        <w:rPr>
          <w:rFonts w:ascii="仿宋" w:hAnsi="仿宋" w:eastAsia="仿宋" w:cs="仿宋"/>
          <w:snapToGrid w:val="0"/>
          <w:highlight w:val="none"/>
          <w:lang w:bidi="ar"/>
        </w:rPr>
      </w:pPr>
    </w:p>
    <w:p>
      <w:pPr>
        <w:adjustRightInd w:val="0"/>
        <w:snapToGrid w:val="0"/>
        <w:spacing w:after="159" w:afterLines="50" w:line="360" w:lineRule="auto"/>
        <w:jc w:val="left"/>
        <w:rPr>
          <w:rFonts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bidi="ar"/>
        </w:rPr>
        <w:t>单位名称（盖单位公章）：_____________________________</w:t>
      </w:r>
    </w:p>
    <w:p>
      <w:pPr>
        <w:widowControl/>
        <w:snapToGrid w:val="0"/>
        <w:spacing w:line="480" w:lineRule="auto"/>
        <w:rPr>
          <w:rFonts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bidi="ar"/>
        </w:rPr>
        <w:t>联系人：</w:t>
      </w:r>
      <w:r>
        <w:rPr>
          <w:rFonts w:hint="eastAsia" w:ascii="仿宋" w:hAnsi="仿宋" w:eastAsia="仿宋" w:cs="仿宋"/>
          <w:kern w:val="0"/>
          <w:sz w:val="24"/>
          <w:szCs w:val="24"/>
          <w:highlight w:val="none"/>
          <w:lang w:bidi="ar"/>
        </w:rPr>
        <w:t xml:space="preserve">             </w:t>
      </w:r>
      <w:r>
        <w:rPr>
          <w:rFonts w:hint="eastAsia" w:ascii="仿宋" w:hAnsi="仿宋" w:eastAsia="仿宋" w:cs="仿宋"/>
          <w:snapToGrid w:val="0"/>
          <w:kern w:val="0"/>
          <w:sz w:val="24"/>
          <w:szCs w:val="24"/>
          <w:highlight w:val="none"/>
          <w:lang w:bidi="ar"/>
        </w:rPr>
        <w:t>，电话：</w:t>
      </w:r>
    </w:p>
    <w:p>
      <w:pPr>
        <w:rPr>
          <w:rFonts w:ascii="仿宋" w:hAnsi="仿宋" w:eastAsia="仿宋" w:cs="仿宋"/>
          <w:sz w:val="32"/>
          <w:szCs w:val="32"/>
          <w:highlight w:val="none"/>
        </w:rPr>
      </w:pPr>
      <w:r>
        <w:rPr>
          <w:rFonts w:hint="eastAsia" w:ascii="仿宋" w:hAnsi="仿宋" w:eastAsia="仿宋" w:cs="仿宋"/>
          <w:snapToGrid w:val="0"/>
          <w:kern w:val="0"/>
          <w:sz w:val="24"/>
          <w:szCs w:val="24"/>
          <w:highlight w:val="none"/>
          <w:lang w:bidi="ar"/>
        </w:rPr>
        <w:t>日期：202</w:t>
      </w:r>
      <w:r>
        <w:rPr>
          <w:rFonts w:hint="default" w:ascii="仿宋" w:hAnsi="仿宋" w:eastAsia="仿宋" w:cs="仿宋"/>
          <w:snapToGrid w:val="0"/>
          <w:kern w:val="0"/>
          <w:sz w:val="24"/>
          <w:szCs w:val="24"/>
          <w:highlight w:val="none"/>
          <w:lang w:val="en-US" w:bidi="ar"/>
        </w:rPr>
        <w:t>6</w:t>
      </w:r>
      <w:r>
        <w:rPr>
          <w:rFonts w:hint="eastAsia" w:ascii="仿宋" w:hAnsi="仿宋" w:eastAsia="仿宋" w:cs="仿宋"/>
          <w:snapToGrid w:val="0"/>
          <w:kern w:val="0"/>
          <w:sz w:val="24"/>
          <w:szCs w:val="24"/>
          <w:highlight w:val="none"/>
          <w:lang w:bidi="ar"/>
        </w:rPr>
        <w:t>年 月  日</w:t>
      </w:r>
    </w:p>
    <w:p>
      <w:pPr>
        <w:pStyle w:val="2"/>
        <w:rPr>
          <w:rFonts w:ascii="仿宋" w:hAnsi="仿宋" w:eastAsia="仿宋" w:cs="仿宋"/>
          <w:sz w:val="32"/>
          <w:szCs w:val="32"/>
          <w:highlight w:val="none"/>
        </w:rPr>
      </w:pPr>
    </w:p>
    <w:p>
      <w:pPr>
        <w:rPr>
          <w:rFonts w:ascii="仿宋" w:hAnsi="仿宋" w:eastAsia="仿宋" w:cs="仿宋"/>
          <w:sz w:val="32"/>
          <w:szCs w:val="32"/>
          <w:highlight w:val="none"/>
        </w:rPr>
        <w:sectPr>
          <w:footerReference r:id="rId3" w:type="default"/>
          <w:pgSz w:w="11906" w:h="16838"/>
          <w:pgMar w:top="1327" w:right="1633" w:bottom="1327" w:left="1633" w:header="851" w:footer="992" w:gutter="0"/>
          <w:cols w:space="720" w:num="1"/>
          <w:docGrid w:type="lines" w:linePitch="319" w:charSpace="0"/>
        </w:sectPr>
      </w:pPr>
    </w:p>
    <w:p>
      <w:pPr>
        <w:pStyle w:val="2"/>
        <w:rPr>
          <w:rStyle w:val="22"/>
          <w:rFonts w:ascii="仿宋" w:hAnsi="仿宋" w:eastAsia="仿宋" w:cs="仿宋"/>
          <w:color w:val="auto"/>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企业</w:t>
      </w:r>
      <w:r>
        <w:rPr>
          <w:rStyle w:val="22"/>
          <w:rFonts w:hint="eastAsia" w:ascii="仿宋" w:hAnsi="仿宋" w:eastAsia="仿宋" w:cs="仿宋"/>
          <w:color w:val="auto"/>
          <w:highlight w:val="none"/>
        </w:rPr>
        <w:t>近三年3项同类工程（服务）相关业绩 （</w:t>
      </w:r>
      <w:r>
        <w:rPr>
          <w:rFonts w:hint="eastAsia" w:ascii="仿宋" w:hAnsi="仿宋" w:eastAsia="仿宋" w:cs="仿宋"/>
          <w:kern w:val="0"/>
          <w:sz w:val="32"/>
          <w:szCs w:val="32"/>
          <w:highlight w:val="none"/>
        </w:rPr>
        <w:t>同类业绩</w:t>
      </w:r>
      <w:r>
        <w:rPr>
          <w:rFonts w:hint="eastAsia" w:ascii="仿宋" w:hAnsi="仿宋" w:eastAsia="仿宋" w:cs="仿宋"/>
          <w:sz w:val="32"/>
          <w:szCs w:val="32"/>
          <w:highlight w:val="none"/>
        </w:rPr>
        <w:t>为涉水库安全评估</w:t>
      </w:r>
      <w:r>
        <w:rPr>
          <w:rFonts w:hint="eastAsia" w:ascii="仿宋" w:hAnsi="仿宋" w:eastAsia="仿宋" w:cs="仿宋"/>
          <w:kern w:val="0"/>
          <w:sz w:val="32"/>
          <w:szCs w:val="32"/>
          <w:highlight w:val="none"/>
        </w:rPr>
        <w:t>业绩，提供不超过3项</w:t>
      </w:r>
      <w:r>
        <w:rPr>
          <w:rStyle w:val="22"/>
          <w:rFonts w:hint="eastAsia" w:ascii="仿宋" w:hAnsi="仿宋" w:eastAsia="仿宋" w:cs="仿宋"/>
          <w:color w:val="auto"/>
          <w:highlight w:val="none"/>
        </w:rPr>
        <w:t>，提供相关业绩合同证明材料等）。</w:t>
      </w:r>
    </w:p>
    <w:p>
      <w:pPr>
        <w:jc w:val="center"/>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企业</w:t>
      </w:r>
      <w:r>
        <w:rPr>
          <w:rFonts w:hint="eastAsia" w:ascii="仿宋" w:hAnsi="仿宋" w:eastAsia="仿宋" w:cs="仿宋"/>
          <w:sz w:val="32"/>
          <w:szCs w:val="32"/>
          <w:highlight w:val="none"/>
        </w:rPr>
        <w:t>近三年3项同类工程（服务）业绩情况汇总表</w:t>
      </w:r>
    </w:p>
    <w:tbl>
      <w:tblPr>
        <w:tblStyle w:val="18"/>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序号</w:t>
            </w:r>
          </w:p>
        </w:tc>
        <w:tc>
          <w:tcPr>
            <w:tcW w:w="2816"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合同名称</w:t>
            </w:r>
          </w:p>
        </w:tc>
        <w:tc>
          <w:tcPr>
            <w:tcW w:w="1581"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合同金额</w:t>
            </w:r>
          </w:p>
        </w:tc>
        <w:tc>
          <w:tcPr>
            <w:tcW w:w="1795"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合同签订时间</w:t>
            </w:r>
          </w:p>
        </w:tc>
        <w:tc>
          <w:tcPr>
            <w:tcW w:w="2067"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合同甲方</w:t>
            </w:r>
          </w:p>
        </w:tc>
        <w:tc>
          <w:tcPr>
            <w:tcW w:w="1545"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合同甲方        联系人</w:t>
            </w:r>
          </w:p>
        </w:tc>
        <w:tc>
          <w:tcPr>
            <w:tcW w:w="1635"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合同甲方         联系电话</w:t>
            </w:r>
          </w:p>
        </w:tc>
        <w:tc>
          <w:tcPr>
            <w:tcW w:w="1336" w:type="dxa"/>
            <w:vAlign w:val="center"/>
          </w:tcPr>
          <w:p>
            <w:pPr>
              <w:jc w:val="center"/>
              <w:rPr>
                <w:rFonts w:ascii="仿宋" w:hAnsi="仿宋" w:eastAsia="仿宋"/>
                <w:sz w:val="44"/>
                <w:szCs w:val="44"/>
                <w:highlight w:val="none"/>
              </w:rPr>
            </w:pPr>
            <w:r>
              <w:rPr>
                <w:rFonts w:hint="eastAsia" w:ascii="仿宋" w:hAnsi="仿宋" w:eastAsia="仿宋"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highlight w:val="none"/>
              </w:rPr>
            </w:pPr>
          </w:p>
        </w:tc>
        <w:tc>
          <w:tcPr>
            <w:tcW w:w="2816" w:type="dxa"/>
          </w:tcPr>
          <w:p>
            <w:pPr>
              <w:rPr>
                <w:rFonts w:ascii="仿宋" w:hAnsi="仿宋" w:eastAsia="仿宋"/>
                <w:sz w:val="44"/>
                <w:szCs w:val="44"/>
                <w:highlight w:val="none"/>
              </w:rPr>
            </w:pPr>
          </w:p>
        </w:tc>
        <w:tc>
          <w:tcPr>
            <w:tcW w:w="1581" w:type="dxa"/>
          </w:tcPr>
          <w:p>
            <w:pPr>
              <w:rPr>
                <w:rFonts w:ascii="仿宋" w:hAnsi="仿宋" w:eastAsia="仿宋"/>
                <w:sz w:val="44"/>
                <w:szCs w:val="44"/>
                <w:highlight w:val="none"/>
              </w:rPr>
            </w:pPr>
          </w:p>
        </w:tc>
        <w:tc>
          <w:tcPr>
            <w:tcW w:w="1795" w:type="dxa"/>
          </w:tcPr>
          <w:p>
            <w:pPr>
              <w:rPr>
                <w:rFonts w:ascii="仿宋" w:hAnsi="仿宋" w:eastAsia="仿宋"/>
                <w:sz w:val="44"/>
                <w:szCs w:val="44"/>
                <w:highlight w:val="none"/>
              </w:rPr>
            </w:pPr>
          </w:p>
        </w:tc>
        <w:tc>
          <w:tcPr>
            <w:tcW w:w="2067" w:type="dxa"/>
          </w:tcPr>
          <w:p>
            <w:pPr>
              <w:rPr>
                <w:rFonts w:ascii="仿宋" w:hAnsi="仿宋" w:eastAsia="仿宋"/>
                <w:sz w:val="44"/>
                <w:szCs w:val="44"/>
                <w:highlight w:val="none"/>
              </w:rPr>
            </w:pPr>
          </w:p>
        </w:tc>
        <w:tc>
          <w:tcPr>
            <w:tcW w:w="1545" w:type="dxa"/>
          </w:tcPr>
          <w:p>
            <w:pPr>
              <w:rPr>
                <w:rFonts w:ascii="仿宋" w:hAnsi="仿宋" w:eastAsia="仿宋"/>
                <w:sz w:val="44"/>
                <w:szCs w:val="44"/>
                <w:highlight w:val="none"/>
              </w:rPr>
            </w:pPr>
          </w:p>
        </w:tc>
        <w:tc>
          <w:tcPr>
            <w:tcW w:w="1635" w:type="dxa"/>
          </w:tcPr>
          <w:p>
            <w:pPr>
              <w:rPr>
                <w:rFonts w:ascii="仿宋" w:hAnsi="仿宋" w:eastAsia="仿宋"/>
                <w:sz w:val="44"/>
                <w:szCs w:val="44"/>
                <w:highlight w:val="none"/>
              </w:rPr>
            </w:pPr>
          </w:p>
        </w:tc>
        <w:tc>
          <w:tcPr>
            <w:tcW w:w="1336" w:type="dxa"/>
          </w:tcPr>
          <w:p>
            <w:pPr>
              <w:rPr>
                <w:rFonts w:ascii="仿宋" w:hAnsi="仿宋" w:eastAsia="仿宋"/>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highlight w:val="none"/>
              </w:rPr>
            </w:pPr>
          </w:p>
        </w:tc>
        <w:tc>
          <w:tcPr>
            <w:tcW w:w="2816" w:type="dxa"/>
          </w:tcPr>
          <w:p>
            <w:pPr>
              <w:rPr>
                <w:rFonts w:ascii="仿宋" w:hAnsi="仿宋" w:eastAsia="仿宋"/>
                <w:sz w:val="44"/>
                <w:szCs w:val="44"/>
                <w:highlight w:val="none"/>
              </w:rPr>
            </w:pPr>
          </w:p>
        </w:tc>
        <w:tc>
          <w:tcPr>
            <w:tcW w:w="1581" w:type="dxa"/>
          </w:tcPr>
          <w:p>
            <w:pPr>
              <w:rPr>
                <w:rFonts w:ascii="仿宋" w:hAnsi="仿宋" w:eastAsia="仿宋"/>
                <w:sz w:val="44"/>
                <w:szCs w:val="44"/>
                <w:highlight w:val="none"/>
              </w:rPr>
            </w:pPr>
          </w:p>
        </w:tc>
        <w:tc>
          <w:tcPr>
            <w:tcW w:w="1795" w:type="dxa"/>
          </w:tcPr>
          <w:p>
            <w:pPr>
              <w:rPr>
                <w:rFonts w:ascii="仿宋" w:hAnsi="仿宋" w:eastAsia="仿宋"/>
                <w:sz w:val="44"/>
                <w:szCs w:val="44"/>
                <w:highlight w:val="none"/>
              </w:rPr>
            </w:pPr>
          </w:p>
        </w:tc>
        <w:tc>
          <w:tcPr>
            <w:tcW w:w="2067" w:type="dxa"/>
          </w:tcPr>
          <w:p>
            <w:pPr>
              <w:rPr>
                <w:rFonts w:ascii="仿宋" w:hAnsi="仿宋" w:eastAsia="仿宋"/>
                <w:sz w:val="44"/>
                <w:szCs w:val="44"/>
                <w:highlight w:val="none"/>
              </w:rPr>
            </w:pPr>
          </w:p>
        </w:tc>
        <w:tc>
          <w:tcPr>
            <w:tcW w:w="1545" w:type="dxa"/>
          </w:tcPr>
          <w:p>
            <w:pPr>
              <w:rPr>
                <w:rFonts w:ascii="仿宋" w:hAnsi="仿宋" w:eastAsia="仿宋"/>
                <w:sz w:val="44"/>
                <w:szCs w:val="44"/>
                <w:highlight w:val="none"/>
              </w:rPr>
            </w:pPr>
          </w:p>
        </w:tc>
        <w:tc>
          <w:tcPr>
            <w:tcW w:w="1635" w:type="dxa"/>
          </w:tcPr>
          <w:p>
            <w:pPr>
              <w:rPr>
                <w:rFonts w:ascii="仿宋" w:hAnsi="仿宋" w:eastAsia="仿宋"/>
                <w:sz w:val="44"/>
                <w:szCs w:val="44"/>
                <w:highlight w:val="none"/>
              </w:rPr>
            </w:pPr>
          </w:p>
        </w:tc>
        <w:tc>
          <w:tcPr>
            <w:tcW w:w="1336" w:type="dxa"/>
          </w:tcPr>
          <w:p>
            <w:pPr>
              <w:rPr>
                <w:rFonts w:ascii="仿宋" w:hAnsi="仿宋" w:eastAsia="仿宋"/>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tcPr>
          <w:p>
            <w:pPr>
              <w:rPr>
                <w:rFonts w:ascii="仿宋" w:hAnsi="仿宋" w:eastAsia="仿宋"/>
                <w:sz w:val="44"/>
                <w:szCs w:val="44"/>
                <w:highlight w:val="none"/>
              </w:rPr>
            </w:pPr>
          </w:p>
        </w:tc>
        <w:tc>
          <w:tcPr>
            <w:tcW w:w="2816" w:type="dxa"/>
          </w:tcPr>
          <w:p>
            <w:pPr>
              <w:rPr>
                <w:rFonts w:ascii="仿宋" w:hAnsi="仿宋" w:eastAsia="仿宋"/>
                <w:sz w:val="44"/>
                <w:szCs w:val="44"/>
                <w:highlight w:val="none"/>
              </w:rPr>
            </w:pPr>
          </w:p>
        </w:tc>
        <w:tc>
          <w:tcPr>
            <w:tcW w:w="1581" w:type="dxa"/>
          </w:tcPr>
          <w:p>
            <w:pPr>
              <w:rPr>
                <w:rFonts w:ascii="仿宋" w:hAnsi="仿宋" w:eastAsia="仿宋"/>
                <w:sz w:val="44"/>
                <w:szCs w:val="44"/>
                <w:highlight w:val="none"/>
              </w:rPr>
            </w:pPr>
          </w:p>
        </w:tc>
        <w:tc>
          <w:tcPr>
            <w:tcW w:w="1795" w:type="dxa"/>
          </w:tcPr>
          <w:p>
            <w:pPr>
              <w:rPr>
                <w:rFonts w:ascii="仿宋" w:hAnsi="仿宋" w:eastAsia="仿宋"/>
                <w:sz w:val="44"/>
                <w:szCs w:val="44"/>
                <w:highlight w:val="none"/>
              </w:rPr>
            </w:pPr>
          </w:p>
        </w:tc>
        <w:tc>
          <w:tcPr>
            <w:tcW w:w="2067" w:type="dxa"/>
          </w:tcPr>
          <w:p>
            <w:pPr>
              <w:rPr>
                <w:rFonts w:ascii="仿宋" w:hAnsi="仿宋" w:eastAsia="仿宋"/>
                <w:sz w:val="44"/>
                <w:szCs w:val="44"/>
                <w:highlight w:val="none"/>
              </w:rPr>
            </w:pPr>
          </w:p>
        </w:tc>
        <w:tc>
          <w:tcPr>
            <w:tcW w:w="1545" w:type="dxa"/>
          </w:tcPr>
          <w:p>
            <w:pPr>
              <w:rPr>
                <w:rFonts w:ascii="仿宋" w:hAnsi="仿宋" w:eastAsia="仿宋"/>
                <w:sz w:val="44"/>
                <w:szCs w:val="44"/>
                <w:highlight w:val="none"/>
              </w:rPr>
            </w:pPr>
          </w:p>
        </w:tc>
        <w:tc>
          <w:tcPr>
            <w:tcW w:w="1635" w:type="dxa"/>
          </w:tcPr>
          <w:p>
            <w:pPr>
              <w:rPr>
                <w:rFonts w:ascii="仿宋" w:hAnsi="仿宋" w:eastAsia="仿宋"/>
                <w:sz w:val="44"/>
                <w:szCs w:val="44"/>
                <w:highlight w:val="none"/>
              </w:rPr>
            </w:pPr>
          </w:p>
        </w:tc>
        <w:tc>
          <w:tcPr>
            <w:tcW w:w="1336" w:type="dxa"/>
          </w:tcPr>
          <w:p>
            <w:pPr>
              <w:rPr>
                <w:rFonts w:ascii="仿宋" w:hAnsi="仿宋" w:eastAsia="仿宋"/>
                <w:sz w:val="44"/>
                <w:szCs w:val="44"/>
                <w:highlight w:val="none"/>
              </w:rPr>
            </w:pPr>
          </w:p>
        </w:tc>
      </w:tr>
    </w:tbl>
    <w:p>
      <w:pPr>
        <w:ind w:left="7200" w:hanging="7200" w:hangingChars="2400"/>
        <w:rPr>
          <w:rFonts w:ascii="仿宋" w:hAnsi="仿宋" w:eastAsia="仿宋"/>
          <w:sz w:val="30"/>
          <w:szCs w:val="30"/>
          <w:highlight w:val="none"/>
        </w:rPr>
      </w:pPr>
      <w:r>
        <w:rPr>
          <w:rFonts w:hint="eastAsia" w:ascii="仿宋" w:hAnsi="仿宋" w:eastAsia="仿宋"/>
          <w:sz w:val="30"/>
          <w:szCs w:val="30"/>
          <w:highlight w:val="none"/>
        </w:rPr>
        <w:t xml:space="preserve">                                                               报名单位盖章：</w:t>
      </w:r>
    </w:p>
    <w:p>
      <w:pPr>
        <w:pStyle w:val="3"/>
        <w:widowControl/>
        <w:ind w:left="0" w:leftChars="0"/>
        <w:rPr>
          <w:rFonts w:hint="eastAsia" w:ascii="仿宋" w:hAnsi="仿宋" w:eastAsia="仿宋"/>
          <w:sz w:val="30"/>
          <w:szCs w:val="30"/>
          <w:highlight w:val="none"/>
        </w:rPr>
      </w:pPr>
      <w:r>
        <w:rPr>
          <w:rFonts w:hint="eastAsia" w:ascii="仿宋" w:hAnsi="仿宋" w:eastAsia="仿宋"/>
          <w:sz w:val="30"/>
          <w:szCs w:val="30"/>
          <w:highlight w:val="none"/>
        </w:rPr>
        <w:t>备注：1.业绩前3项情况按提供的业绩证明材料统计。2.同类工程（服务）业绩指涉水库安全评估业绩。3.近三年:从本项目第一次公告截止时间倒算至</w:t>
      </w:r>
      <w:r>
        <w:rPr>
          <w:rFonts w:ascii="仿宋" w:hAnsi="仿宋" w:eastAsia="仿宋"/>
          <w:sz w:val="30"/>
          <w:szCs w:val="30"/>
          <w:highlight w:val="none"/>
        </w:rPr>
        <w:t xml:space="preserve"> 3 </w:t>
      </w:r>
      <w:r>
        <w:rPr>
          <w:rFonts w:hint="eastAsia" w:ascii="仿宋" w:hAnsi="仿宋" w:eastAsia="仿宋"/>
          <w:sz w:val="30"/>
          <w:szCs w:val="30"/>
          <w:highlight w:val="none"/>
        </w:rPr>
        <w:t>年前当月</w:t>
      </w:r>
      <w:r>
        <w:rPr>
          <w:rFonts w:ascii="仿宋" w:hAnsi="仿宋" w:eastAsia="仿宋"/>
          <w:sz w:val="30"/>
          <w:szCs w:val="30"/>
          <w:highlight w:val="none"/>
        </w:rPr>
        <w:t xml:space="preserve"> 1 </w:t>
      </w:r>
      <w:r>
        <w:rPr>
          <w:rFonts w:hint="eastAsia" w:ascii="仿宋" w:hAnsi="仿宋" w:eastAsia="仿宋"/>
          <w:sz w:val="30"/>
          <w:szCs w:val="30"/>
          <w:highlight w:val="none"/>
        </w:rPr>
        <w:t>日（以业绩合同签订时间为准）。如公告时间截止时间为</w:t>
      </w:r>
      <w:r>
        <w:rPr>
          <w:rFonts w:ascii="仿宋" w:hAnsi="仿宋" w:eastAsia="仿宋"/>
          <w:sz w:val="30"/>
          <w:szCs w:val="30"/>
          <w:highlight w:val="none"/>
        </w:rPr>
        <w:t xml:space="preserve"> </w:t>
      </w:r>
      <w:r>
        <w:rPr>
          <w:rFonts w:hint="eastAsia" w:ascii="仿宋" w:hAnsi="仿宋" w:eastAsia="仿宋"/>
          <w:sz w:val="30"/>
          <w:szCs w:val="30"/>
          <w:highlight w:val="none"/>
        </w:rPr>
        <w:t>2022年</w:t>
      </w:r>
      <w:r>
        <w:rPr>
          <w:rFonts w:ascii="仿宋" w:hAnsi="仿宋" w:eastAsia="仿宋"/>
          <w:sz w:val="30"/>
          <w:szCs w:val="30"/>
          <w:highlight w:val="none"/>
        </w:rPr>
        <w:t xml:space="preserve"> 3 </w:t>
      </w:r>
      <w:r>
        <w:rPr>
          <w:rFonts w:hint="eastAsia" w:ascii="仿宋" w:hAnsi="仿宋" w:eastAsia="仿宋"/>
          <w:sz w:val="30"/>
          <w:szCs w:val="30"/>
          <w:highlight w:val="none"/>
        </w:rPr>
        <w:t>月</w:t>
      </w:r>
      <w:r>
        <w:rPr>
          <w:rFonts w:ascii="仿宋" w:hAnsi="仿宋" w:eastAsia="仿宋"/>
          <w:sz w:val="30"/>
          <w:szCs w:val="30"/>
          <w:highlight w:val="none"/>
        </w:rPr>
        <w:t xml:space="preserve"> 20</w:t>
      </w:r>
      <w:r>
        <w:rPr>
          <w:rFonts w:hint="eastAsia" w:ascii="仿宋" w:hAnsi="仿宋" w:eastAsia="仿宋"/>
          <w:sz w:val="30"/>
          <w:szCs w:val="30"/>
          <w:highlight w:val="none"/>
        </w:rPr>
        <w:t xml:space="preserve"> 日，则近 3 年的区间范围为 2019 年 3 月 1 日至 2022 年 3 月 2</w:t>
      </w:r>
      <w:r>
        <w:rPr>
          <w:rFonts w:ascii="仿宋" w:hAnsi="仿宋" w:eastAsia="仿宋"/>
          <w:sz w:val="30"/>
          <w:szCs w:val="30"/>
          <w:highlight w:val="none"/>
        </w:rPr>
        <w:t>0</w:t>
      </w:r>
      <w:r>
        <w:rPr>
          <w:rFonts w:hint="eastAsia" w:ascii="仿宋" w:hAnsi="仿宋" w:eastAsia="仿宋"/>
          <w:sz w:val="30"/>
          <w:szCs w:val="30"/>
          <w:highlight w:val="none"/>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的中标通知书及合同委托方证明）中必须清晰反映以下内容：工程名称、业绩金额（单独承担的同类业绩，若合同中包含多项服务，合同中需清晰反映涉水库安全评估部分的金额；若所提供同类业绩为联合体方式承接的，合同中需清晰反映本项目投标人在该联合体业绩中所承担的涉水库安全评估部分的金额）、签订时间、工作内容（涉水库安全评估）。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rPr>
          <w:rFonts w:hint="eastAsia" w:ascii="仿宋" w:hAnsi="仿宋" w:eastAsia="仿宋"/>
          <w:sz w:val="30"/>
          <w:szCs w:val="30"/>
          <w:highlight w:val="none"/>
        </w:rPr>
      </w:pPr>
      <w:r>
        <w:rPr>
          <w:rFonts w:hint="eastAsia" w:ascii="仿宋" w:hAnsi="仿宋" w:eastAsia="仿宋"/>
          <w:sz w:val="30"/>
          <w:szCs w:val="30"/>
          <w:highlight w:val="none"/>
        </w:rPr>
        <w:br w:type="page"/>
      </w:r>
    </w:p>
    <w:p>
      <w:pPr>
        <w:pStyle w:val="2"/>
        <w:rPr>
          <w:rStyle w:val="22"/>
          <w:rFonts w:ascii="仿宋" w:hAnsi="仿宋" w:eastAsia="仿宋" w:cs="仿宋"/>
          <w:color w:val="auto"/>
        </w:rPr>
      </w:pPr>
      <w:r>
        <w:rPr>
          <w:rFonts w:hint="eastAsia" w:ascii="仿宋" w:hAnsi="仿宋" w:eastAsia="仿宋" w:cs="仿宋"/>
          <w:sz w:val="32"/>
          <w:szCs w:val="32"/>
          <w:lang w:val="en-US" w:eastAsia="zh-CN"/>
        </w:rPr>
        <w:t>（三）项目负责人</w:t>
      </w:r>
      <w:r>
        <w:rPr>
          <w:rStyle w:val="22"/>
          <w:rFonts w:hint="eastAsia" w:ascii="仿宋" w:hAnsi="仿宋" w:eastAsia="仿宋" w:cs="仿宋"/>
          <w:color w:val="auto"/>
        </w:rPr>
        <w:t>近三年</w:t>
      </w:r>
      <w:r>
        <w:rPr>
          <w:rStyle w:val="22"/>
          <w:rFonts w:hint="eastAsia" w:ascii="仿宋" w:hAnsi="仿宋" w:eastAsia="仿宋" w:cs="仿宋"/>
          <w:color w:val="auto"/>
          <w:lang w:val="en-US" w:eastAsia="zh-CN"/>
        </w:rPr>
        <w:t>1</w:t>
      </w:r>
      <w:r>
        <w:rPr>
          <w:rStyle w:val="22"/>
          <w:rFonts w:hint="eastAsia" w:ascii="仿宋" w:hAnsi="仿宋" w:eastAsia="仿宋" w:cs="仿宋"/>
          <w:color w:val="auto"/>
        </w:rPr>
        <w:t>项同类</w:t>
      </w:r>
      <w:r>
        <w:rPr>
          <w:rStyle w:val="22"/>
          <w:rFonts w:hint="eastAsia" w:ascii="仿宋" w:hAnsi="仿宋" w:eastAsia="仿宋" w:cs="仿宋"/>
          <w:color w:val="auto"/>
          <w:lang w:eastAsia="zh-CN"/>
        </w:rPr>
        <w:t>工程（服务）</w:t>
      </w:r>
      <w:r>
        <w:rPr>
          <w:rStyle w:val="22"/>
          <w:rFonts w:hint="eastAsia" w:ascii="仿宋" w:hAnsi="仿宋" w:eastAsia="仿宋" w:cs="仿宋"/>
          <w:color w:val="auto"/>
        </w:rPr>
        <w:t>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eastAsia" w:ascii="仿宋" w:hAnsi="仿宋" w:eastAsia="仿宋" w:cs="仿宋"/>
          <w:sz w:val="32"/>
          <w:szCs w:val="32"/>
          <w:lang w:eastAsia="zh-CN"/>
        </w:rPr>
        <w:t>涉水库安全评估</w:t>
      </w:r>
      <w:r>
        <w:rPr>
          <w:rFonts w:hint="eastAsia" w:ascii="仿宋" w:hAnsi="仿宋" w:eastAsia="仿宋" w:cs="仿宋"/>
          <w:kern w:val="0"/>
          <w:sz w:val="32"/>
          <w:szCs w:val="32"/>
        </w:rPr>
        <w:t>业绩，提供不超过</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项</w:t>
      </w:r>
      <w:r>
        <w:rPr>
          <w:rStyle w:val="22"/>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lang w:val="en-US" w:eastAsia="zh-CN"/>
        </w:rPr>
        <w:t>项目负责人</w:t>
      </w:r>
      <w:r>
        <w:rPr>
          <w:rFonts w:hint="eastAsia" w:ascii="仿宋" w:hAnsi="仿宋" w:eastAsia="仿宋" w:cs="仿宋"/>
          <w:sz w:val="32"/>
          <w:szCs w:val="32"/>
        </w:rPr>
        <w:t>近三年</w:t>
      </w:r>
      <w:r>
        <w:rPr>
          <w:rFonts w:hint="eastAsia" w:ascii="仿宋" w:hAnsi="仿宋" w:eastAsia="仿宋" w:cs="仿宋"/>
          <w:sz w:val="32"/>
          <w:szCs w:val="32"/>
          <w:lang w:val="en-US" w:eastAsia="zh-CN"/>
        </w:rPr>
        <w:t>1</w:t>
      </w:r>
      <w:r>
        <w:rPr>
          <w:rFonts w:hint="eastAsia" w:ascii="仿宋" w:hAnsi="仿宋" w:eastAsia="仿宋" w:cs="仿宋"/>
          <w:sz w:val="32"/>
          <w:szCs w:val="32"/>
        </w:rPr>
        <w:t>项同类工程（服务）业绩情况汇总表</w:t>
      </w:r>
    </w:p>
    <w:tbl>
      <w:tblPr>
        <w:tblStyle w:val="17"/>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79"/>
        <w:gridCol w:w="1544"/>
        <w:gridCol w:w="1879"/>
        <w:gridCol w:w="1529"/>
        <w:gridCol w:w="1937"/>
        <w:gridCol w:w="1515"/>
        <w:gridCol w:w="155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1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44"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8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1529" w:type="dxa"/>
            <w:vAlign w:val="center"/>
          </w:tcPr>
          <w:p>
            <w:pPr>
              <w:jc w:val="center"/>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担任职位</w:t>
            </w:r>
          </w:p>
        </w:tc>
        <w:tc>
          <w:tcPr>
            <w:tcW w:w="193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1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合同甲方联系人</w:t>
            </w:r>
          </w:p>
        </w:tc>
        <w:tc>
          <w:tcPr>
            <w:tcW w:w="1558"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合同甲方联系电话</w:t>
            </w:r>
          </w:p>
        </w:tc>
        <w:tc>
          <w:tcPr>
            <w:tcW w:w="1197"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Pr>
          <w:p>
            <w:pPr>
              <w:rPr>
                <w:rFonts w:ascii="仿宋" w:hAnsi="仿宋" w:eastAsia="仿宋"/>
                <w:sz w:val="44"/>
                <w:szCs w:val="44"/>
              </w:rPr>
            </w:pPr>
          </w:p>
        </w:tc>
        <w:tc>
          <w:tcPr>
            <w:tcW w:w="2179" w:type="dxa"/>
          </w:tcPr>
          <w:p>
            <w:pPr>
              <w:rPr>
                <w:rFonts w:ascii="仿宋" w:hAnsi="仿宋" w:eastAsia="仿宋"/>
                <w:sz w:val="44"/>
                <w:szCs w:val="44"/>
              </w:rPr>
            </w:pPr>
          </w:p>
        </w:tc>
        <w:tc>
          <w:tcPr>
            <w:tcW w:w="1544" w:type="dxa"/>
          </w:tcPr>
          <w:p>
            <w:pPr>
              <w:rPr>
                <w:rFonts w:ascii="仿宋" w:hAnsi="仿宋" w:eastAsia="仿宋"/>
                <w:sz w:val="44"/>
                <w:szCs w:val="44"/>
              </w:rPr>
            </w:pPr>
          </w:p>
        </w:tc>
        <w:tc>
          <w:tcPr>
            <w:tcW w:w="1879" w:type="dxa"/>
          </w:tcPr>
          <w:p>
            <w:pPr>
              <w:rPr>
                <w:rFonts w:ascii="仿宋" w:hAnsi="仿宋" w:eastAsia="仿宋"/>
                <w:sz w:val="44"/>
                <w:szCs w:val="44"/>
              </w:rPr>
            </w:pPr>
          </w:p>
        </w:tc>
        <w:tc>
          <w:tcPr>
            <w:tcW w:w="1529" w:type="dxa"/>
          </w:tcPr>
          <w:p>
            <w:pPr>
              <w:rPr>
                <w:rFonts w:ascii="仿宋" w:hAnsi="仿宋" w:eastAsia="仿宋"/>
                <w:sz w:val="44"/>
                <w:szCs w:val="44"/>
              </w:rPr>
            </w:pPr>
          </w:p>
        </w:tc>
        <w:tc>
          <w:tcPr>
            <w:tcW w:w="1937" w:type="dxa"/>
          </w:tcPr>
          <w:p>
            <w:pPr>
              <w:rPr>
                <w:rFonts w:ascii="仿宋" w:hAnsi="仿宋" w:eastAsia="仿宋"/>
                <w:sz w:val="44"/>
                <w:szCs w:val="44"/>
              </w:rPr>
            </w:pPr>
          </w:p>
        </w:tc>
        <w:tc>
          <w:tcPr>
            <w:tcW w:w="1515" w:type="dxa"/>
          </w:tcPr>
          <w:p>
            <w:pPr>
              <w:rPr>
                <w:rFonts w:ascii="仿宋" w:hAnsi="仿宋" w:eastAsia="仿宋"/>
                <w:sz w:val="44"/>
                <w:szCs w:val="44"/>
              </w:rPr>
            </w:pPr>
          </w:p>
        </w:tc>
        <w:tc>
          <w:tcPr>
            <w:tcW w:w="1558" w:type="dxa"/>
          </w:tcPr>
          <w:p>
            <w:pPr>
              <w:rPr>
                <w:rFonts w:ascii="仿宋" w:hAnsi="仿宋" w:eastAsia="仿宋"/>
                <w:sz w:val="44"/>
                <w:szCs w:val="44"/>
              </w:rPr>
            </w:pPr>
          </w:p>
        </w:tc>
        <w:tc>
          <w:tcPr>
            <w:tcW w:w="1197"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r>
        <w:rPr>
          <w:rFonts w:hint="eastAsia" w:ascii="仿宋" w:hAnsi="仿宋" w:eastAsia="仿宋"/>
          <w:sz w:val="30"/>
          <w:szCs w:val="30"/>
        </w:rPr>
        <w:t>备注：1.业绩前</w:t>
      </w:r>
      <w:r>
        <w:rPr>
          <w:rFonts w:hint="eastAsia" w:ascii="仿宋" w:hAnsi="仿宋" w:eastAsia="仿宋"/>
          <w:sz w:val="30"/>
          <w:szCs w:val="30"/>
          <w:lang w:val="en-US" w:eastAsia="zh-CN"/>
        </w:rPr>
        <w:t>1</w:t>
      </w:r>
      <w:r>
        <w:rPr>
          <w:rFonts w:hint="eastAsia" w:ascii="仿宋" w:hAnsi="仿宋" w:eastAsia="仿宋"/>
          <w:sz w:val="30"/>
          <w:szCs w:val="30"/>
        </w:rPr>
        <w:t>项情况按提供的业绩证明材料统计。2.同类业绩指</w:t>
      </w:r>
      <w:r>
        <w:rPr>
          <w:rFonts w:hint="eastAsia" w:ascii="仿宋" w:hAnsi="仿宋" w:eastAsia="仿宋"/>
          <w:sz w:val="30"/>
          <w:szCs w:val="30"/>
          <w:lang w:eastAsia="zh-CN"/>
        </w:rPr>
        <w:t>涉水库安全评估</w:t>
      </w:r>
      <w:r>
        <w:rPr>
          <w:rFonts w:hint="eastAsia" w:ascii="仿宋" w:hAnsi="仿宋" w:eastAsia="仿宋"/>
          <w:sz w:val="30"/>
          <w:szCs w:val="30"/>
        </w:rPr>
        <w:t>业绩。3.近三年:从本项目第一次公告截止时间倒算至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w:t>
      </w:r>
      <w:r>
        <w:rPr>
          <w:rFonts w:hint="eastAsia" w:ascii="仿宋" w:hAnsi="仿宋" w:eastAsia="仿宋"/>
          <w:sz w:val="30"/>
          <w:szCs w:val="30"/>
          <w:lang w:eastAsia="zh-CN"/>
        </w:rPr>
        <w:t>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w:t>
      </w:r>
      <w:r>
        <w:rPr>
          <w:rFonts w:hint="eastAsia" w:ascii="仿宋" w:hAnsi="仿宋" w:eastAsia="仿宋"/>
          <w:sz w:val="30"/>
          <w:szCs w:val="30"/>
          <w:lang w:eastAsia="zh-CN"/>
        </w:rPr>
        <w:t>涉水库安全评估</w:t>
      </w:r>
      <w:r>
        <w:rPr>
          <w:rFonts w:hint="eastAsia" w:ascii="仿宋" w:hAnsi="仿宋" w:eastAsia="仿宋"/>
          <w:sz w:val="30"/>
          <w:szCs w:val="30"/>
        </w:rPr>
        <w:t>部分的金额）、签订时间、工作内容（</w:t>
      </w:r>
      <w:r>
        <w:rPr>
          <w:rFonts w:hint="eastAsia" w:ascii="仿宋" w:hAnsi="仿宋" w:eastAsia="仿宋"/>
          <w:sz w:val="30"/>
          <w:szCs w:val="30"/>
          <w:lang w:eastAsia="zh-CN"/>
        </w:rPr>
        <w:t>涉水库安全评估</w:t>
      </w:r>
      <w:r>
        <w:rPr>
          <w:rFonts w:hint="eastAsia" w:ascii="仿宋" w:hAnsi="仿宋" w:eastAsia="仿宋"/>
          <w:sz w:val="30"/>
          <w:szCs w:val="30"/>
        </w:rPr>
        <w:t>）、</w:t>
      </w:r>
      <w:r>
        <w:rPr>
          <w:rFonts w:hint="eastAsia" w:ascii="仿宋" w:hAnsi="仿宋" w:eastAsia="仿宋" w:cs="仿宋"/>
          <w:sz w:val="32"/>
          <w:szCs w:val="32"/>
          <w:lang w:val="en-US" w:eastAsia="zh-CN"/>
        </w:rPr>
        <w:t>项目负责人业绩还需</w:t>
      </w:r>
      <w:r>
        <w:rPr>
          <w:rFonts w:hint="eastAsia" w:ascii="仿宋" w:hAnsi="仿宋" w:eastAsia="仿宋" w:cs="仿宋"/>
          <w:sz w:val="32"/>
          <w:szCs w:val="32"/>
        </w:rPr>
        <w:t>清晰反映</w:t>
      </w:r>
      <w:r>
        <w:rPr>
          <w:rFonts w:hint="eastAsia" w:ascii="仿宋" w:hAnsi="仿宋" w:eastAsia="仿宋" w:cs="仿宋"/>
          <w:sz w:val="32"/>
          <w:szCs w:val="32"/>
          <w:lang w:val="en-US" w:eastAsia="zh-CN"/>
        </w:rPr>
        <w:t>拟派</w:t>
      </w:r>
      <w:r>
        <w:rPr>
          <w:rFonts w:hint="eastAsia" w:ascii="仿宋" w:hAnsi="仿宋" w:eastAsia="仿宋" w:cs="仿宋"/>
          <w:sz w:val="32"/>
          <w:szCs w:val="32"/>
        </w:rPr>
        <w:t>项目负责人姓名</w:t>
      </w:r>
      <w:r>
        <w:rPr>
          <w:rFonts w:hint="eastAsia" w:ascii="仿宋" w:hAnsi="仿宋" w:eastAsia="仿宋" w:cs="仿宋"/>
          <w:sz w:val="32"/>
          <w:szCs w:val="32"/>
          <w:lang w:val="en-US" w:eastAsia="zh-CN"/>
        </w:rPr>
        <w:t>及</w:t>
      </w:r>
      <w:r>
        <w:rPr>
          <w:rFonts w:hint="eastAsia" w:ascii="仿宋" w:hAnsi="仿宋" w:eastAsia="仿宋" w:cs="仿宋"/>
          <w:sz w:val="32"/>
          <w:szCs w:val="32"/>
        </w:rPr>
        <w:t>在该业绩</w:t>
      </w:r>
      <w:r>
        <w:rPr>
          <w:rFonts w:hint="eastAsia" w:ascii="仿宋" w:hAnsi="仿宋" w:eastAsia="仿宋" w:cs="仿宋"/>
          <w:sz w:val="32"/>
          <w:szCs w:val="32"/>
          <w:lang w:val="en-US" w:eastAsia="zh-CN"/>
        </w:rPr>
        <w:t>中</w:t>
      </w:r>
      <w:r>
        <w:rPr>
          <w:rFonts w:hint="eastAsia" w:ascii="仿宋" w:hAnsi="仿宋" w:eastAsia="仿宋" w:cs="仿宋"/>
          <w:sz w:val="32"/>
          <w:szCs w:val="32"/>
        </w:rPr>
        <w:t>担任</w:t>
      </w:r>
      <w:r>
        <w:rPr>
          <w:rFonts w:hint="eastAsia" w:ascii="仿宋" w:hAnsi="仿宋" w:eastAsia="仿宋" w:cs="仿宋"/>
          <w:sz w:val="32"/>
          <w:szCs w:val="32"/>
          <w:lang w:val="en-US" w:eastAsia="zh-CN"/>
        </w:rPr>
        <w:t>的</w:t>
      </w:r>
      <w:r>
        <w:rPr>
          <w:rFonts w:hint="default" w:ascii="仿宋" w:hAnsi="仿宋" w:eastAsia="仿宋" w:cs="仿宋"/>
          <w:sz w:val="32"/>
          <w:szCs w:val="32"/>
          <w:lang w:val="en-US" w:eastAsia="zh-CN"/>
        </w:rPr>
        <w:t>项目负责人</w:t>
      </w:r>
      <w:r>
        <w:rPr>
          <w:rFonts w:hint="eastAsia" w:ascii="仿宋" w:hAnsi="仿宋" w:eastAsia="仿宋" w:cs="仿宋"/>
          <w:sz w:val="32"/>
          <w:szCs w:val="32"/>
        </w:rPr>
        <w:t>职位</w:t>
      </w:r>
      <w:r>
        <w:rPr>
          <w:rFonts w:hint="eastAsia" w:ascii="仿宋" w:hAnsi="仿宋" w:eastAsia="仿宋"/>
          <w:sz w:val="30"/>
          <w:szCs w:val="30"/>
        </w:rPr>
        <w:t>。如合同无法清晰体现上述内容，需提供合同委托方证明文件或工程总概算批复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sectPr>
          <w:pgSz w:w="16840" w:h="11900" w:orient="landscape"/>
          <w:pgMar w:top="1800" w:right="1440" w:bottom="1800" w:left="1440" w:header="851" w:footer="992" w:gutter="0"/>
          <w:cols w:space="0" w:num="1"/>
          <w:docGrid w:type="lines" w:linePitch="312" w:charSpace="0"/>
        </w:sectPr>
      </w:pPr>
    </w:p>
    <w:p>
      <w:pPr>
        <w:rPr>
          <w:rFonts w:ascii="仿宋" w:hAnsi="仿宋" w:eastAsia="仿宋" w:cs="仿宋"/>
          <w:sz w:val="32"/>
          <w:szCs w:val="32"/>
          <w:highlight w:val="none"/>
        </w:rPr>
      </w:pPr>
      <w:r>
        <w:rPr>
          <w:rFonts w:hint="eastAsia" w:ascii="仿宋" w:hAnsi="仿宋" w:eastAsia="仿宋" w:cs="仿宋"/>
          <w:sz w:val="32"/>
          <w:szCs w:val="32"/>
          <w:highlight w:val="none"/>
        </w:rPr>
        <w:t>附件：2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费用测算说明</w:t>
      </w:r>
    </w:p>
    <w:p>
      <w:pPr>
        <w:pStyle w:val="7"/>
        <w:jc w:val="center"/>
        <w:rPr>
          <w:rFonts w:ascii="仿宋" w:hAnsi="仿宋" w:eastAsia="仿宋" w:cs="仿宋"/>
          <w:highlight w:val="none"/>
        </w:rPr>
      </w:pPr>
    </w:p>
    <w:p>
      <w:pPr>
        <w:jc w:val="center"/>
        <w:outlineLvl w:val="0"/>
        <w:rPr>
          <w:rFonts w:ascii="仿宋" w:hAnsi="仿宋" w:eastAsia="仿宋" w:cs="仿宋"/>
          <w:b/>
          <w:bCs/>
          <w:sz w:val="40"/>
          <w:szCs w:val="40"/>
          <w:highlight w:val="none"/>
        </w:rPr>
      </w:pPr>
      <w:r>
        <w:rPr>
          <w:rFonts w:hint="eastAsia" w:ascii="仿宋" w:hAnsi="仿宋" w:eastAsia="仿宋" w:cs="仿宋"/>
          <w:b/>
          <w:bCs/>
          <w:sz w:val="40"/>
          <w:szCs w:val="40"/>
          <w:highlight w:val="none"/>
          <w:lang w:eastAsia="zh-CN"/>
        </w:rPr>
        <w:t>梧桐山河上游西坑社区段河道整治工程</w:t>
      </w:r>
      <w:r>
        <w:rPr>
          <w:rFonts w:hint="eastAsia" w:ascii="仿宋" w:hAnsi="仿宋" w:eastAsia="仿宋" w:cs="仿宋"/>
          <w:b/>
          <w:bCs/>
          <w:sz w:val="40"/>
          <w:szCs w:val="40"/>
          <w:highlight w:val="none"/>
        </w:rPr>
        <w:t>涉水库安全评估招标估价计算说明</w:t>
      </w:r>
    </w:p>
    <w:p>
      <w:pPr>
        <w:ind w:firstLine="640" w:firstLineChars="200"/>
        <w:rPr>
          <w:rFonts w:ascii="仿宋" w:hAnsi="仿宋" w:eastAsia="仿宋" w:cs="仿宋"/>
          <w:sz w:val="32"/>
          <w:szCs w:val="32"/>
          <w:highlight w:val="none"/>
        </w:rPr>
      </w:pP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本项目参照《龙岗区水务工程第三方服务费用测算成果》中</w:t>
      </w:r>
      <w:r>
        <w:rPr>
          <w:rFonts w:hint="eastAsia" w:ascii="仿宋" w:hAnsi="仿宋" w:eastAsia="仿宋"/>
          <w:sz w:val="32"/>
          <w:szCs w:val="32"/>
          <w:highlight w:val="none"/>
        </w:rPr>
        <w:t>2021年龙岗区龙岗河流域、观澜河流域、深圳河流域水务工程（水污染治理、内涝整治部分）</w:t>
      </w:r>
      <w:r>
        <w:rPr>
          <w:rFonts w:hint="eastAsia" w:ascii="仿宋" w:hAnsi="仿宋" w:eastAsia="仿宋" w:cs="仿宋"/>
          <w:sz w:val="32"/>
          <w:szCs w:val="32"/>
          <w:highlight w:val="none"/>
        </w:rPr>
        <w:t>涉水库安全评估单价进行取费，涉水库安全评估拟采用单价为10.06万元/座。经设计单位</w:t>
      </w:r>
      <w:r>
        <w:rPr>
          <w:rFonts w:hint="eastAsia" w:ascii="仿宋" w:hAnsi="仿宋" w:eastAsia="仿宋" w:cs="仿宋"/>
          <w:sz w:val="32"/>
          <w:szCs w:val="32"/>
          <w:highlight w:val="none"/>
          <w:lang w:val="en-US" w:eastAsia="zh-CN"/>
        </w:rPr>
        <w:t>核查</w:t>
      </w:r>
      <w:r>
        <w:rPr>
          <w:rFonts w:hint="eastAsia" w:ascii="仿宋" w:hAnsi="仿宋" w:eastAsia="仿宋" w:cs="仿宋"/>
          <w:sz w:val="32"/>
          <w:szCs w:val="32"/>
          <w:highlight w:val="none"/>
        </w:rPr>
        <w:t>，本项目涉水库安全评估</w:t>
      </w:r>
      <w:r>
        <w:rPr>
          <w:rFonts w:hint="eastAsia" w:ascii="仿宋" w:hAnsi="仿宋" w:eastAsia="仿宋" w:cs="仿宋"/>
          <w:sz w:val="32"/>
          <w:szCs w:val="32"/>
          <w:highlight w:val="none"/>
          <w:lang w:val="en-US" w:eastAsia="zh-CN"/>
        </w:rPr>
        <w:t>共1</w:t>
      </w:r>
      <w:r>
        <w:rPr>
          <w:rFonts w:hint="eastAsia" w:ascii="仿宋" w:hAnsi="仿宋" w:eastAsia="仿宋" w:cs="仿宋"/>
          <w:sz w:val="32"/>
          <w:szCs w:val="32"/>
          <w:highlight w:val="none"/>
        </w:rPr>
        <w:t>个评估点位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故本项目招标估价为10.06×</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10.06</w:t>
      </w:r>
      <w:r>
        <w:rPr>
          <w:rFonts w:hint="eastAsia" w:ascii="仿宋" w:hAnsi="仿宋" w:eastAsia="仿宋" w:cs="仿宋"/>
          <w:sz w:val="32"/>
          <w:szCs w:val="32"/>
          <w:highlight w:val="none"/>
        </w:rPr>
        <w:t>万元。</w:t>
      </w:r>
    </w:p>
    <w:p>
      <w:pPr>
        <w:ind w:firstLine="0" w:firstLineChars="0"/>
        <w:rPr>
          <w:highlight w:val="none"/>
        </w:rPr>
        <w:sectPr>
          <w:pgSz w:w="11906" w:h="16838"/>
          <w:pgMar w:top="1440" w:right="1486" w:bottom="1440" w:left="1800" w:header="851" w:footer="992" w:gutter="0"/>
          <w:cols w:space="425" w:num="1"/>
          <w:docGrid w:type="lines" w:linePitch="312" w:charSpace="0"/>
        </w:sectPr>
      </w:pPr>
    </w:p>
    <w:tbl>
      <w:tblPr>
        <w:tblStyle w:val="17"/>
        <w:tblW w:w="13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5"/>
        <w:gridCol w:w="1835"/>
        <w:gridCol w:w="1365"/>
        <w:gridCol w:w="1184"/>
        <w:gridCol w:w="1216"/>
        <w:gridCol w:w="1536"/>
        <w:gridCol w:w="2453"/>
        <w:gridCol w:w="2080"/>
        <w:gridCol w:w="1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13820"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梧桐山河上游西坑社区段河道整治工程涉水库统计表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7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项目子项类型</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所在街道</w:t>
            </w:r>
          </w:p>
        </w:tc>
        <w:tc>
          <w:tcPr>
            <w:tcW w:w="11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设计内容</w:t>
            </w:r>
          </w:p>
        </w:tc>
        <w:tc>
          <w:tcPr>
            <w:tcW w:w="12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涉水库名称</w:t>
            </w:r>
          </w:p>
        </w:tc>
        <w:tc>
          <w:tcPr>
            <w:tcW w:w="153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涉及位置</w:t>
            </w:r>
          </w:p>
        </w:tc>
        <w:tc>
          <w:tcPr>
            <w:tcW w:w="24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涉及方式</w:t>
            </w:r>
          </w:p>
        </w:tc>
        <w:tc>
          <w:tcPr>
            <w:tcW w:w="20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评估内容</w:t>
            </w:r>
          </w:p>
        </w:tc>
        <w:tc>
          <w:tcPr>
            <w:tcW w:w="1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725" w:type="dxa"/>
            <w:tcBorders>
              <w:top w:val="single" w:color="auto" w:sz="4" w:space="0"/>
              <w:left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梧桐山河上游西坑社区段河道整治工程</w:t>
            </w:r>
          </w:p>
        </w:tc>
        <w:tc>
          <w:tcPr>
            <w:tcW w:w="1365" w:type="dxa"/>
            <w:tcBorders>
              <w:top w:val="single" w:color="000000" w:sz="4" w:space="0"/>
              <w:left w:val="single" w:color="auto"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西坑街道</w:t>
            </w:r>
          </w:p>
        </w:tc>
        <w:tc>
          <w:tcPr>
            <w:tcW w:w="11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河道挡墙整治</w:t>
            </w:r>
          </w:p>
        </w:tc>
        <w:tc>
          <w:tcPr>
            <w:tcW w:w="12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小坳水库</w:t>
            </w:r>
          </w:p>
        </w:tc>
        <w:tc>
          <w:tcPr>
            <w:tcW w:w="153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山寮路侧河段</w:t>
            </w:r>
          </w:p>
        </w:tc>
        <w:tc>
          <w:tcPr>
            <w:tcW w:w="24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河道两侧挡墙加固改造在水库保护范围内</w:t>
            </w:r>
          </w:p>
        </w:tc>
        <w:tc>
          <w:tcPr>
            <w:tcW w:w="20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评估河道整治工程对水库的影响</w:t>
            </w:r>
          </w:p>
        </w:tc>
        <w:tc>
          <w:tcPr>
            <w:tcW w:w="1426" w:type="dxa"/>
            <w:tcBorders>
              <w:top w:val="single" w:color="000000" w:sz="4" w:space="0"/>
              <w:left w:val="single" w:color="000000" w:sz="4" w:space="0"/>
              <w:right w:val="single" w:color="000000" w:sz="4" w:space="0"/>
              <w:tl2br w:val="nil"/>
              <w:tr2bl w:val="nil"/>
            </w:tcBorders>
            <w:shd w:val="clear" w:color="auto" w:fill="auto"/>
            <w:vAlign w:val="center"/>
          </w:tcPr>
          <w:p>
            <w:pPr>
              <w:widowControl/>
              <w:jc w:val="center"/>
              <w:textAlignment w:val="center"/>
              <w:rPr>
                <w:rFonts w:ascii="宋体" w:hAnsi="宋体" w:cs="宋体"/>
                <w:color w:val="000000"/>
                <w:sz w:val="20"/>
                <w:szCs w:val="20"/>
              </w:rPr>
            </w:pPr>
          </w:p>
        </w:tc>
      </w:tr>
    </w:tbl>
    <w:p>
      <w:pPr>
        <w:pStyle w:val="3"/>
        <w:ind w:left="0" w:leftChars="0"/>
        <w:jc w:val="center"/>
        <w:rPr>
          <w:rFonts w:hint="eastAsia" w:eastAsia="宋体"/>
          <w:lang w:eastAsia="zh-CN"/>
        </w:rPr>
      </w:pPr>
      <w:r>
        <w:rPr>
          <w:rFonts w:hint="eastAsia" w:eastAsia="宋体"/>
          <w:lang w:eastAsia="zh-CN"/>
        </w:rPr>
        <w:drawing>
          <wp:inline distT="0" distB="0" distL="114300" distR="114300">
            <wp:extent cx="5288915" cy="2860675"/>
            <wp:effectExtent l="0" t="0" r="6985" b="15875"/>
            <wp:docPr id="8" name="图片 8" descr="2026-03-11_18-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26-03-11_18-12-18"/>
                    <pic:cNvPicPr>
                      <a:picLocks noChangeAspect="1"/>
                    </pic:cNvPicPr>
                  </pic:nvPicPr>
                  <pic:blipFill>
                    <a:blip r:embed="rId6"/>
                    <a:stretch>
                      <a:fillRect/>
                    </a:stretch>
                  </pic:blipFill>
                  <pic:spPr>
                    <a:xfrm>
                      <a:off x="0" y="0"/>
                      <a:ext cx="5288915" cy="2860675"/>
                    </a:xfrm>
                    <a:prstGeom prst="rect">
                      <a:avLst/>
                    </a:prstGeom>
                  </pic:spPr>
                </pic:pic>
              </a:graphicData>
            </a:graphic>
          </wp:inline>
        </w:drawing>
      </w:r>
    </w:p>
    <w:p>
      <w:pPr>
        <w:pStyle w:val="3"/>
        <w:widowControl/>
        <w:ind w:left="0" w:leftChars="0"/>
        <w:jc w:val="center"/>
        <w:rPr>
          <w:rStyle w:val="22"/>
          <w:rFonts w:ascii="仿宋" w:hAnsi="仿宋" w:eastAsia="仿宋" w:cs="仿宋"/>
          <w:b/>
          <w:bCs/>
          <w:color w:val="auto"/>
          <w:highlight w:val="none"/>
        </w:rPr>
      </w:pPr>
      <w:r>
        <w:rPr>
          <w:rFonts w:hint="eastAsia"/>
          <w:lang w:eastAsia="zh-CN"/>
        </w:rPr>
        <w:t>项目涉水库示意图</w:t>
      </w:r>
    </w:p>
    <w:sectPr>
      <w:footerReference r:id="rId4" w:type="default"/>
      <w:pgSz w:w="16838" w:h="11906" w:orient="landscape"/>
      <w:pgMar w:top="1803" w:right="1440" w:bottom="1485"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 w:name="KSO_WPS_MARK_KEY" w:val="faafcf6f-a654-469e-884c-7d249584498a"/>
  </w:docVars>
  <w:rsids>
    <w:rsidRoot w:val="0BB96166"/>
    <w:rsid w:val="000927AB"/>
    <w:rsid w:val="003F3700"/>
    <w:rsid w:val="005336C8"/>
    <w:rsid w:val="005B3E46"/>
    <w:rsid w:val="00621348"/>
    <w:rsid w:val="007E452A"/>
    <w:rsid w:val="00AD0EFB"/>
    <w:rsid w:val="00B31811"/>
    <w:rsid w:val="00E82ADD"/>
    <w:rsid w:val="00EE3E18"/>
    <w:rsid w:val="00F67771"/>
    <w:rsid w:val="00F72AC0"/>
    <w:rsid w:val="014545C7"/>
    <w:rsid w:val="01BF37C7"/>
    <w:rsid w:val="01C76ADD"/>
    <w:rsid w:val="0217259F"/>
    <w:rsid w:val="02F569C3"/>
    <w:rsid w:val="03103FE2"/>
    <w:rsid w:val="034036E2"/>
    <w:rsid w:val="03E50FF2"/>
    <w:rsid w:val="05203050"/>
    <w:rsid w:val="07290AB5"/>
    <w:rsid w:val="072D4D2F"/>
    <w:rsid w:val="08AD01D5"/>
    <w:rsid w:val="09450E28"/>
    <w:rsid w:val="097D1AB0"/>
    <w:rsid w:val="09C1235D"/>
    <w:rsid w:val="0A13403D"/>
    <w:rsid w:val="0BB96166"/>
    <w:rsid w:val="0BFBA3B6"/>
    <w:rsid w:val="0BFC428E"/>
    <w:rsid w:val="0CA02447"/>
    <w:rsid w:val="0DBA0D9D"/>
    <w:rsid w:val="0E5A2923"/>
    <w:rsid w:val="0ED168E7"/>
    <w:rsid w:val="0F581039"/>
    <w:rsid w:val="0F661726"/>
    <w:rsid w:val="0F9A6977"/>
    <w:rsid w:val="125C0BBE"/>
    <w:rsid w:val="1324792E"/>
    <w:rsid w:val="139C1402"/>
    <w:rsid w:val="166041CE"/>
    <w:rsid w:val="16920A0F"/>
    <w:rsid w:val="194B7296"/>
    <w:rsid w:val="19FE4072"/>
    <w:rsid w:val="1C710690"/>
    <w:rsid w:val="1CFA7DE6"/>
    <w:rsid w:val="1E51532B"/>
    <w:rsid w:val="1EA0009D"/>
    <w:rsid w:val="1FD81ACE"/>
    <w:rsid w:val="20485C9B"/>
    <w:rsid w:val="21074BDF"/>
    <w:rsid w:val="224810DF"/>
    <w:rsid w:val="23497478"/>
    <w:rsid w:val="23FF4F24"/>
    <w:rsid w:val="245208B3"/>
    <w:rsid w:val="25D24051"/>
    <w:rsid w:val="26000675"/>
    <w:rsid w:val="277047AD"/>
    <w:rsid w:val="27A50598"/>
    <w:rsid w:val="27B617FB"/>
    <w:rsid w:val="27D15457"/>
    <w:rsid w:val="28057907"/>
    <w:rsid w:val="2AC602C5"/>
    <w:rsid w:val="2B340871"/>
    <w:rsid w:val="2B7A7EFF"/>
    <w:rsid w:val="2EEB19A4"/>
    <w:rsid w:val="2F3070C9"/>
    <w:rsid w:val="2F555BC5"/>
    <w:rsid w:val="2F6F19CE"/>
    <w:rsid w:val="2FE25E9E"/>
    <w:rsid w:val="30275F10"/>
    <w:rsid w:val="30EE63CD"/>
    <w:rsid w:val="313905F0"/>
    <w:rsid w:val="31B81BE5"/>
    <w:rsid w:val="32125E45"/>
    <w:rsid w:val="32D87995"/>
    <w:rsid w:val="32F25465"/>
    <w:rsid w:val="33386686"/>
    <w:rsid w:val="345A56D7"/>
    <w:rsid w:val="35051814"/>
    <w:rsid w:val="3575771D"/>
    <w:rsid w:val="35FD96C5"/>
    <w:rsid w:val="37283D74"/>
    <w:rsid w:val="37E83A17"/>
    <w:rsid w:val="387833DF"/>
    <w:rsid w:val="38F21F59"/>
    <w:rsid w:val="39AE2435"/>
    <w:rsid w:val="39B73AB0"/>
    <w:rsid w:val="3A560A90"/>
    <w:rsid w:val="3BDF091A"/>
    <w:rsid w:val="3C131002"/>
    <w:rsid w:val="3C8A3F06"/>
    <w:rsid w:val="3CCC2BD2"/>
    <w:rsid w:val="3D361E88"/>
    <w:rsid w:val="3EFC7411"/>
    <w:rsid w:val="3FCF2446"/>
    <w:rsid w:val="409F5F96"/>
    <w:rsid w:val="40A07D1C"/>
    <w:rsid w:val="411617A1"/>
    <w:rsid w:val="411918A4"/>
    <w:rsid w:val="41E06F2D"/>
    <w:rsid w:val="420C31E6"/>
    <w:rsid w:val="439A62FF"/>
    <w:rsid w:val="44F50E58"/>
    <w:rsid w:val="450A631F"/>
    <w:rsid w:val="47892549"/>
    <w:rsid w:val="4ACD555E"/>
    <w:rsid w:val="4B4C4280"/>
    <w:rsid w:val="4C4B3EEC"/>
    <w:rsid w:val="4DA05D99"/>
    <w:rsid w:val="4E8E097E"/>
    <w:rsid w:val="4F675A92"/>
    <w:rsid w:val="504812C4"/>
    <w:rsid w:val="50E750E8"/>
    <w:rsid w:val="51E21083"/>
    <w:rsid w:val="523E1FA6"/>
    <w:rsid w:val="545E4B59"/>
    <w:rsid w:val="547A0454"/>
    <w:rsid w:val="56045215"/>
    <w:rsid w:val="5692549D"/>
    <w:rsid w:val="56953AC3"/>
    <w:rsid w:val="57DB1E97"/>
    <w:rsid w:val="58693C3A"/>
    <w:rsid w:val="58B73A25"/>
    <w:rsid w:val="58D457A1"/>
    <w:rsid w:val="59110A39"/>
    <w:rsid w:val="59142C25"/>
    <w:rsid w:val="5A9215F2"/>
    <w:rsid w:val="5BEA4F2D"/>
    <w:rsid w:val="5C80167E"/>
    <w:rsid w:val="5D3962DA"/>
    <w:rsid w:val="5DB4DBE3"/>
    <w:rsid w:val="5DC0337C"/>
    <w:rsid w:val="5DD833B1"/>
    <w:rsid w:val="5E0A6ACC"/>
    <w:rsid w:val="5E48400F"/>
    <w:rsid w:val="5EFFEE58"/>
    <w:rsid w:val="5F995D5E"/>
    <w:rsid w:val="60310561"/>
    <w:rsid w:val="607A0C2A"/>
    <w:rsid w:val="60BE0144"/>
    <w:rsid w:val="61407448"/>
    <w:rsid w:val="636649C5"/>
    <w:rsid w:val="639C60C9"/>
    <w:rsid w:val="65C92FEA"/>
    <w:rsid w:val="65DE77CB"/>
    <w:rsid w:val="664A663F"/>
    <w:rsid w:val="66880CB0"/>
    <w:rsid w:val="669E4476"/>
    <w:rsid w:val="678628B1"/>
    <w:rsid w:val="67A949B8"/>
    <w:rsid w:val="68BF1F88"/>
    <w:rsid w:val="68FC32AA"/>
    <w:rsid w:val="69D10E5A"/>
    <w:rsid w:val="6A84029F"/>
    <w:rsid w:val="6AA47B81"/>
    <w:rsid w:val="6B3B6738"/>
    <w:rsid w:val="6C5E0930"/>
    <w:rsid w:val="6CFD43DC"/>
    <w:rsid w:val="6D2C4F0C"/>
    <w:rsid w:val="6DAB34F7"/>
    <w:rsid w:val="6E1E7D37"/>
    <w:rsid w:val="6FD93C2C"/>
    <w:rsid w:val="6FDBD0FE"/>
    <w:rsid w:val="6FEAFFBE"/>
    <w:rsid w:val="70A6184B"/>
    <w:rsid w:val="71131DEF"/>
    <w:rsid w:val="71597204"/>
    <w:rsid w:val="71F10180"/>
    <w:rsid w:val="72121E09"/>
    <w:rsid w:val="72A816C9"/>
    <w:rsid w:val="73003BCB"/>
    <w:rsid w:val="73AF381F"/>
    <w:rsid w:val="73F73418"/>
    <w:rsid w:val="748675E2"/>
    <w:rsid w:val="74F74B21"/>
    <w:rsid w:val="75237D06"/>
    <w:rsid w:val="76F479A4"/>
    <w:rsid w:val="77FB77B6"/>
    <w:rsid w:val="77FF5C6A"/>
    <w:rsid w:val="7BEAD871"/>
    <w:rsid w:val="7BFF9C3E"/>
    <w:rsid w:val="7C7441CC"/>
    <w:rsid w:val="7D6FD5A3"/>
    <w:rsid w:val="7DDEB69D"/>
    <w:rsid w:val="7EFF44F5"/>
    <w:rsid w:val="7EFF875C"/>
    <w:rsid w:val="7F4F2AE3"/>
    <w:rsid w:val="7F7EEAF4"/>
    <w:rsid w:val="7F9BA48F"/>
    <w:rsid w:val="7FB97083"/>
    <w:rsid w:val="7FBA6876"/>
    <w:rsid w:val="7FCCC4CB"/>
    <w:rsid w:val="7FD7F607"/>
    <w:rsid w:val="7FEE7241"/>
    <w:rsid w:val="975A63D8"/>
    <w:rsid w:val="BB617B6B"/>
    <w:rsid w:val="BFBE571F"/>
    <w:rsid w:val="C5BF05B9"/>
    <w:rsid w:val="C7FE5378"/>
    <w:rsid w:val="CEB675C6"/>
    <w:rsid w:val="D0EF708C"/>
    <w:rsid w:val="DF7FBFF0"/>
    <w:rsid w:val="E377A186"/>
    <w:rsid w:val="E9BFD369"/>
    <w:rsid w:val="EB7E5BF9"/>
    <w:rsid w:val="EF529F08"/>
    <w:rsid w:val="F5EB5039"/>
    <w:rsid w:val="F7EBA72D"/>
    <w:rsid w:val="F9BC83D9"/>
    <w:rsid w:val="FAEBA053"/>
    <w:rsid w:val="FB7DC274"/>
    <w:rsid w:val="FC5C594B"/>
    <w:rsid w:val="FD3FC6D6"/>
    <w:rsid w:val="FDFD167D"/>
    <w:rsid w:val="FE7DBBB6"/>
    <w:rsid w:val="FFFABCCE"/>
    <w:rsid w:val="FFFB2C12"/>
    <w:rsid w:val="FFFF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Times New Roman"/>
      <w:szCs w:val="20"/>
    </w:rPr>
  </w:style>
  <w:style w:type="paragraph" w:styleId="3">
    <w:name w:val="index 8"/>
    <w:basedOn w:val="1"/>
    <w:next w:val="1"/>
    <w:qFormat/>
    <w:uiPriority w:val="0"/>
    <w:pPr>
      <w:ind w:left="1400" w:leftChars="1400"/>
    </w:pPr>
    <w:rPr>
      <w:szCs w:val="24"/>
    </w:rPr>
  </w:style>
  <w:style w:type="paragraph" w:styleId="6">
    <w:name w:val="annotation text"/>
    <w:basedOn w:val="1"/>
    <w:link w:val="27"/>
    <w:qFormat/>
    <w:uiPriority w:val="0"/>
    <w:pPr>
      <w:jc w:val="left"/>
    </w:pPr>
  </w:style>
  <w:style w:type="paragraph" w:styleId="7">
    <w:name w:val="Body Text"/>
    <w:basedOn w:val="1"/>
    <w:semiHidden/>
    <w:unhideWhenUsed/>
    <w:qFormat/>
    <w:uiPriority w:val="99"/>
    <w:pPr>
      <w:spacing w:after="120"/>
    </w:pPr>
  </w:style>
  <w:style w:type="paragraph" w:styleId="8">
    <w:name w:val="Body Text Indent"/>
    <w:basedOn w:val="1"/>
    <w:qFormat/>
    <w:uiPriority w:val="0"/>
    <w:pPr>
      <w:ind w:firstLine="480"/>
    </w:pPr>
    <w:rPr>
      <w:kern w:val="24"/>
    </w:rPr>
  </w:style>
  <w:style w:type="paragraph" w:styleId="9">
    <w:name w:val="Balloon Text"/>
    <w:basedOn w:val="1"/>
    <w:link w:val="26"/>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6"/>
    <w:next w:val="6"/>
    <w:link w:val="28"/>
    <w:qFormat/>
    <w:uiPriority w:val="0"/>
    <w:rPr>
      <w:b/>
      <w:bCs/>
    </w:rPr>
  </w:style>
  <w:style w:type="paragraph" w:styleId="15">
    <w:name w:val="Body Text First Indent"/>
    <w:basedOn w:val="7"/>
    <w:unhideWhenUsed/>
    <w:qFormat/>
    <w:uiPriority w:val="99"/>
    <w:pPr>
      <w:ind w:firstLine="420" w:firstLineChars="100"/>
    </w:pPr>
    <w:rPr>
      <w:rFonts w:cs="宋体"/>
    </w:rPr>
  </w:style>
  <w:style w:type="paragraph" w:styleId="16">
    <w:name w:val="Body Text First Indent 2"/>
    <w:basedOn w:val="8"/>
    <w:qFormat/>
    <w:uiPriority w:val="0"/>
    <w:pPr>
      <w:ind w:firstLine="420" w:firstLineChars="2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26E5" w:themeColor="hyperlink"/>
      <w:u w:val="single"/>
      <w14:textFill>
        <w14:solidFill>
          <w14:schemeClr w14:val="hlink"/>
        </w14:solidFill>
      </w14:textFill>
    </w:rPr>
  </w:style>
  <w:style w:type="character" w:styleId="21">
    <w:name w:val="annotation reference"/>
    <w:basedOn w:val="19"/>
    <w:qFormat/>
    <w:uiPriority w:val="0"/>
    <w:rPr>
      <w:sz w:val="21"/>
      <w:szCs w:val="21"/>
    </w:rPr>
  </w:style>
  <w:style w:type="character" w:customStyle="1" w:styleId="22">
    <w:name w:val="fontstyle01"/>
    <w:basedOn w:val="19"/>
    <w:qFormat/>
    <w:uiPriority w:val="0"/>
    <w:rPr>
      <w:rFonts w:ascii="仿宋_GB2312" w:hAnsi="仿宋_GB2312" w:eastAsia="仿宋_GB2312" w:cs="仿宋_GB2312"/>
      <w:color w:val="000000"/>
      <w:sz w:val="32"/>
      <w:szCs w:val="32"/>
    </w:rPr>
  </w:style>
  <w:style w:type="character" w:customStyle="1" w:styleId="23">
    <w:name w:val="font31"/>
    <w:basedOn w:val="19"/>
    <w:qFormat/>
    <w:uiPriority w:val="0"/>
    <w:rPr>
      <w:rFonts w:hint="eastAsia" w:ascii="宋体" w:hAnsi="宋体" w:eastAsia="宋体" w:cs="宋体"/>
      <w:b/>
      <w:bCs/>
      <w:color w:val="000000"/>
      <w:sz w:val="20"/>
      <w:szCs w:val="20"/>
      <w:u w:val="none"/>
    </w:rPr>
  </w:style>
  <w:style w:type="character" w:customStyle="1" w:styleId="24">
    <w:name w:val="font51"/>
    <w:basedOn w:val="19"/>
    <w:qFormat/>
    <w:uiPriority w:val="0"/>
    <w:rPr>
      <w:rFonts w:hint="eastAsia" w:ascii="宋体" w:hAnsi="宋体" w:eastAsia="宋体" w:cs="宋体"/>
      <w:b/>
      <w:bCs/>
      <w:color w:val="000000"/>
      <w:sz w:val="20"/>
      <w:szCs w:val="20"/>
      <w:u w:val="none"/>
    </w:rPr>
  </w:style>
  <w:style w:type="character" w:customStyle="1" w:styleId="25">
    <w:name w:val="font41"/>
    <w:basedOn w:val="19"/>
    <w:qFormat/>
    <w:uiPriority w:val="0"/>
    <w:rPr>
      <w:rFonts w:hint="eastAsia" w:ascii="宋体" w:hAnsi="宋体" w:eastAsia="宋体" w:cs="宋体"/>
      <w:color w:val="000000"/>
      <w:sz w:val="20"/>
      <w:szCs w:val="20"/>
      <w:u w:val="none"/>
    </w:rPr>
  </w:style>
  <w:style w:type="character" w:customStyle="1" w:styleId="26">
    <w:name w:val="批注框文本 字符"/>
    <w:basedOn w:val="19"/>
    <w:link w:val="9"/>
    <w:qFormat/>
    <w:uiPriority w:val="0"/>
    <w:rPr>
      <w:rFonts w:ascii="Calibri" w:hAnsi="Calibri" w:cs="Calibri"/>
      <w:kern w:val="2"/>
      <w:sz w:val="18"/>
      <w:szCs w:val="18"/>
    </w:rPr>
  </w:style>
  <w:style w:type="character" w:customStyle="1" w:styleId="27">
    <w:name w:val="批注文字 字符"/>
    <w:basedOn w:val="19"/>
    <w:link w:val="6"/>
    <w:qFormat/>
    <w:uiPriority w:val="0"/>
    <w:rPr>
      <w:rFonts w:ascii="Calibri" w:hAnsi="Calibri" w:cs="Calibri"/>
      <w:kern w:val="2"/>
      <w:sz w:val="21"/>
      <w:szCs w:val="21"/>
    </w:rPr>
  </w:style>
  <w:style w:type="character" w:customStyle="1" w:styleId="28">
    <w:name w:val="批注主题 字符"/>
    <w:basedOn w:val="27"/>
    <w:link w:val="14"/>
    <w:qFormat/>
    <w:uiPriority w:val="0"/>
    <w:rPr>
      <w:rFonts w:ascii="Calibri" w:hAnsi="Calibri" w:cs="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D04BF-11D6-470D-B3D8-1AE8573EDAA1}">
  <ds:schemaRefs/>
</ds:datastoreItem>
</file>

<file path=docProps/app.xml><?xml version="1.0" encoding="utf-8"?>
<Properties xmlns="http://schemas.openxmlformats.org/officeDocument/2006/extended-properties" xmlns:vt="http://schemas.openxmlformats.org/officeDocument/2006/docPropsVTypes">
  <Template>Normal</Template>
  <Pages>34</Pages>
  <Words>10488</Words>
  <Characters>10874</Characters>
  <Lines>77</Lines>
  <Paragraphs>21</Paragraphs>
  <TotalTime>2</TotalTime>
  <ScaleCrop>false</ScaleCrop>
  <LinksUpToDate>false</LinksUpToDate>
  <CharactersWithSpaces>11109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2024-04-06T10:08:00Z</dcterms:created>
  <dc:creator>醉·九歌</dc:creator>
  <cp:lastModifiedBy>钟雯</cp:lastModifiedBy>
  <cp:lastPrinted>2026-03-20T18:03:00Z</cp:lastPrinted>
  <dcterms:modified xsi:type="dcterms:W3CDTF">2026-03-20T10:11:17Z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AD4DD5DEA335437D9BD17C9D4A67BF39_13</vt:lpwstr>
  </property>
  <property fmtid="{D5CDD505-2E9C-101B-9397-08002B2CF9AE}" pid="4" name="KSOTemplateDocerSaveRecord">
    <vt:lpwstr>eyJoZGlkIjoiYjc5YzIxNGNhMjRjNmUwMmM0YTczMzI2OWY4ZjM4YjEiLCJ1c2VySWQiOiIyNTE5MjM1MjMifQ==</vt:lpwstr>
  </property>
</Properties>
</file>