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47E172">
      <w:pPr>
        <w:widowControl/>
        <w:spacing w:beforeLines="-2147483648" w:afterLines="-2147483648" w:line="560" w:lineRule="exact"/>
        <w:jc w:val="center"/>
        <w:rPr>
          <w:rFonts w:hint="eastAsia" w:ascii="方正小标宋简体" w:hAnsi="方正小标宋简体" w:eastAsia="方正小标宋简体" w:cs="方正小标宋简体"/>
          <w:b w:val="0"/>
          <w:color w:val="auto"/>
          <w:sz w:val="44"/>
          <w:szCs w:val="44"/>
          <w:highlight w:val="none"/>
          <w:lang w:val="en-US"/>
        </w:rPr>
      </w:pPr>
      <w:r>
        <w:rPr>
          <w:rFonts w:hint="eastAsia" w:ascii="方正小标宋简体" w:hAnsi="方正小标宋简体" w:eastAsia="方正小标宋简体" w:cs="方正小标宋简体"/>
          <w:b w:val="0"/>
          <w:color w:val="auto"/>
          <w:sz w:val="44"/>
          <w:szCs w:val="44"/>
          <w:highlight w:val="none"/>
          <w:lang w:val="en-US"/>
        </w:rPr>
        <w:t>深圳建筑产业生态智谷</w:t>
      </w:r>
      <w:r>
        <w:rPr>
          <w:rFonts w:hint="eastAsia" w:ascii="方正小标宋简体" w:hAnsi="方正小标宋简体" w:eastAsia="方正小标宋简体" w:cs="方正小标宋简体"/>
          <w:b w:val="0"/>
          <w:color w:val="auto"/>
          <w:sz w:val="44"/>
          <w:szCs w:val="44"/>
          <w:highlight w:val="none"/>
          <w:lang w:val="en-US" w:eastAsia="zh-CN"/>
        </w:rPr>
        <w:t>总部基地</w:t>
      </w:r>
      <w:r>
        <w:rPr>
          <w:rFonts w:hint="eastAsia" w:ascii="方正小标宋简体" w:hAnsi="方正小标宋简体" w:eastAsia="方正小标宋简体" w:cs="方正小标宋简体"/>
          <w:b w:val="0"/>
          <w:color w:val="auto"/>
          <w:sz w:val="44"/>
          <w:szCs w:val="44"/>
          <w:highlight w:val="none"/>
          <w:lang w:val="en-US"/>
        </w:rPr>
        <w:t>一期</w:t>
      </w:r>
    </w:p>
    <w:p w14:paraId="59AEFB48">
      <w:pPr>
        <w:widowControl/>
        <w:spacing w:beforeLines="-2147483648" w:afterLines="-2147483648" w:line="560" w:lineRule="exact"/>
        <w:jc w:val="center"/>
        <w:rPr>
          <w:rFonts w:hint="eastAsia" w:ascii="方正小标宋简体" w:hAnsi="方正小标宋简体" w:eastAsia="方正小标宋简体" w:cs="方正小标宋简体"/>
          <w:b w:val="0"/>
          <w:color w:val="auto"/>
          <w:sz w:val="44"/>
          <w:szCs w:val="44"/>
          <w:highlight w:val="none"/>
          <w:lang w:val="en-US"/>
        </w:rPr>
      </w:pPr>
      <w:r>
        <w:rPr>
          <w:rFonts w:hint="eastAsia" w:ascii="方正小标宋简体" w:hAnsi="方正小标宋简体" w:eastAsia="方正小标宋简体" w:cs="方正小标宋简体"/>
          <w:b w:val="0"/>
          <w:color w:val="auto"/>
          <w:sz w:val="44"/>
          <w:szCs w:val="44"/>
          <w:highlight w:val="none"/>
          <w:lang w:val="en-US"/>
        </w:rPr>
        <w:t>绿色建筑符合性评估服务</w:t>
      </w:r>
    </w:p>
    <w:p w14:paraId="06877C18">
      <w:pPr>
        <w:widowControl/>
        <w:spacing w:beforeLines="-2147483648" w:afterLines="-2147483648" w:line="560" w:lineRule="exact"/>
        <w:jc w:val="center"/>
        <w:rPr>
          <w:rFonts w:hint="eastAsia" w:ascii="方正小标宋简体" w:hAnsi="方正小标宋简体" w:eastAsia="方正小标宋简体" w:cs="方正小标宋简体"/>
          <w:b w:val="0"/>
          <w:color w:val="auto"/>
          <w:sz w:val="44"/>
          <w:szCs w:val="44"/>
          <w:highlight w:val="none"/>
        </w:rPr>
      </w:pPr>
      <w:r>
        <w:rPr>
          <w:rFonts w:hint="eastAsia" w:ascii="方正小标宋简体" w:hAnsi="方正小标宋简体" w:eastAsia="方正小标宋简体" w:cs="方正小标宋简体"/>
          <w:b w:val="0"/>
          <w:color w:val="auto"/>
          <w:sz w:val="44"/>
          <w:szCs w:val="44"/>
          <w:highlight w:val="none"/>
          <w:lang w:val="en-US"/>
        </w:rPr>
        <w:t>公开招标（自主）文件</w:t>
      </w:r>
    </w:p>
    <w:p w14:paraId="5BAFF7D2">
      <w:pPr>
        <w:widowControl/>
        <w:spacing w:beforeLines="-2147483648" w:afterLines="-2147483648" w:line="560" w:lineRule="exact"/>
        <w:jc w:val="center"/>
        <w:rPr>
          <w:rFonts w:hint="eastAsia" w:ascii="方正小标宋简体" w:hAnsi="方正小标宋简体" w:eastAsia="方正小标宋简体" w:cs="方正小标宋简体"/>
          <w:b w:val="0"/>
          <w:color w:val="auto"/>
          <w:sz w:val="44"/>
          <w:szCs w:val="44"/>
          <w:highlight w:val="none"/>
        </w:rPr>
      </w:pPr>
    </w:p>
    <w:p w14:paraId="42F21F4A">
      <w:pPr>
        <w:spacing w:line="360" w:lineRule="auto"/>
        <w:ind w:firstLine="643" w:firstLineChars="200"/>
        <w:rPr>
          <w:rFonts w:hint="eastAsia" w:ascii="仿宋_GB2312" w:hAnsi="仿宋_GB2312" w:eastAsia="仿宋_GB2312" w:cs="仿宋_GB2312"/>
          <w:sz w:val="32"/>
          <w:szCs w:val="32"/>
          <w:highlight w:val="none"/>
          <w:lang w:val="en-US" w:eastAsia="zh-CN"/>
        </w:rPr>
      </w:pPr>
      <w:bookmarkStart w:id="0" w:name="_Toc509669685"/>
      <w:r>
        <w:rPr>
          <w:rFonts w:hint="eastAsia" w:ascii="仿宋_GB2312" w:hAnsi="仿宋_GB2312" w:eastAsia="仿宋_GB2312" w:cs="仿宋_GB2312"/>
          <w:b/>
          <w:bCs/>
          <w:sz w:val="32"/>
          <w:szCs w:val="32"/>
          <w:highlight w:val="none"/>
        </w:rPr>
        <w:t>一、项目名称：</w:t>
      </w:r>
      <w:r>
        <w:rPr>
          <w:rFonts w:hint="eastAsia" w:ascii="仿宋_GB2312" w:hAnsi="仿宋_GB2312" w:eastAsia="仿宋_GB2312" w:cs="仿宋_GB2312"/>
          <w:b w:val="0"/>
          <w:bCs w:val="0"/>
          <w:sz w:val="32"/>
          <w:szCs w:val="32"/>
          <w:highlight w:val="none"/>
        </w:rPr>
        <w:t>深圳建筑产业生态智谷总部基地一期绿色建筑符合性评估服务</w:t>
      </w:r>
    </w:p>
    <w:p w14:paraId="034C7848">
      <w:p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rPr>
        <w:t>二、项目概况：</w:t>
      </w:r>
      <w:r>
        <w:rPr>
          <w:rFonts w:hint="eastAsia" w:ascii="仿宋_GB2312" w:hAnsi="仿宋_GB2312" w:eastAsia="仿宋_GB2312" w:cs="仿宋_GB2312"/>
          <w:sz w:val="32"/>
          <w:szCs w:val="32"/>
          <w:highlight w:val="none"/>
          <w:lang w:eastAsia="zh-CN"/>
        </w:rPr>
        <w:t>深圳建筑产业生态智谷总部基地位于大运新城盐龙大道-如意路交叉口西北侧，项目用地面积9.3公顷，建筑面积37.6万平方米，项目分三期开发建设。其中一期用地面积为4.2公顷，建筑面积约17万平方米，建设内容包括研发办公、实验室、宿舍、配套商业、公共配套设施（含会展中心）等。</w:t>
      </w:r>
    </w:p>
    <w:p w14:paraId="63716C30">
      <w:pPr>
        <w:pStyle w:val="2"/>
        <w:keepNext w:val="0"/>
        <w:keepLines w:val="0"/>
        <w:pageBreakBefore w:val="0"/>
        <w:kinsoku/>
        <w:wordWrap/>
        <w:overflowPunct/>
        <w:topLinePunct w:val="0"/>
        <w:autoSpaceDE/>
        <w:autoSpaceDN/>
        <w:bidi w:val="0"/>
        <w:spacing w:line="360" w:lineRule="auto"/>
        <w:ind w:left="0" w:firstLine="643" w:firstLineChars="200"/>
        <w:textAlignment w:val="auto"/>
        <w:rPr>
          <w:rFonts w:hint="default" w:ascii="仿宋_GB2312" w:hAnsi="仿宋_GB2312" w:eastAsia="仿宋_GB2312" w:cs="仿宋_GB2312"/>
          <w:b w:val="0"/>
          <w:bCs w:val="0"/>
          <w:sz w:val="32"/>
          <w:szCs w:val="32"/>
          <w:highlight w:val="none"/>
          <w:lang w:val="en-US"/>
        </w:rPr>
      </w:pPr>
      <w:r>
        <w:rPr>
          <w:rFonts w:hint="eastAsia" w:ascii="仿宋_GB2312" w:hAnsi="仿宋_GB2312" w:eastAsia="仿宋_GB2312" w:cs="仿宋_GB2312"/>
          <w:b/>
          <w:bCs/>
          <w:sz w:val="32"/>
          <w:szCs w:val="32"/>
          <w:highlight w:val="none"/>
          <w:lang w:val="en-US" w:eastAsia="zh-CN"/>
        </w:rPr>
        <w:t>三、研究范围和主要工作内容</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kern w:val="0"/>
          <w:sz w:val="32"/>
          <w:szCs w:val="32"/>
          <w:highlight w:val="none"/>
          <w:lang w:val="en-US" w:eastAsia="zh-CN"/>
        </w:rPr>
        <w:t>包括绿色建筑三星级形式审查、专业审查、现场核验及报告编制。成交供应商提交的成果须严格符合国家及深圳市相关法律法规、标准规范要求，并满足行政主管部门关于成果报批及管理的规定，确保顺利通过项目工程竣工验收。</w:t>
      </w:r>
      <w:r>
        <w:rPr>
          <w:rFonts w:hint="eastAsia" w:ascii="仿宋_GB2312" w:hAnsi="仿宋_GB2312" w:eastAsia="仿宋_GB2312" w:cs="仿宋_GB2312"/>
          <w:color w:val="auto"/>
          <w:sz w:val="32"/>
          <w:szCs w:val="32"/>
          <w:highlight w:val="none"/>
        </w:rPr>
        <w:t>具体以项目任务书要求为准，详见附件</w:t>
      </w:r>
      <w:r>
        <w:rPr>
          <w:rFonts w:hint="eastAsia" w:ascii="仿宋_GB2312" w:hAnsi="仿宋_GB2312" w:eastAsia="仿宋_GB2312" w:cs="仿宋_GB2312"/>
          <w:color w:val="auto"/>
          <w:sz w:val="32"/>
          <w:szCs w:val="32"/>
          <w:highlight w:val="none"/>
          <w:lang w:val="en-US" w:eastAsia="zh-CN"/>
        </w:rPr>
        <w:t>。</w:t>
      </w:r>
    </w:p>
    <w:p w14:paraId="77D40500">
      <w:pPr>
        <w:spacing w:line="360" w:lineRule="auto"/>
        <w:ind w:firstLine="643"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四、</w:t>
      </w:r>
      <w:r>
        <w:rPr>
          <w:rFonts w:hint="eastAsia" w:ascii="仿宋_GB2312" w:hAnsi="仿宋_GB2312" w:eastAsia="仿宋_GB2312" w:cs="仿宋_GB2312"/>
          <w:b/>
          <w:bCs/>
          <w:color w:val="auto"/>
          <w:sz w:val="32"/>
          <w:szCs w:val="32"/>
          <w:highlight w:val="none"/>
          <w:lang w:val="en-US" w:eastAsia="zh-CN"/>
        </w:rPr>
        <w:t>投标报价</w:t>
      </w:r>
      <w:r>
        <w:rPr>
          <w:rFonts w:hint="eastAsia" w:ascii="仿宋_GB2312" w:hAnsi="仿宋_GB2312" w:eastAsia="仿宋_GB2312" w:cs="仿宋_GB2312"/>
          <w:b/>
          <w:bCs/>
          <w:color w:val="auto"/>
          <w:sz w:val="32"/>
          <w:szCs w:val="32"/>
          <w:highlight w:val="none"/>
        </w:rPr>
        <w:t>上限价：</w:t>
      </w:r>
      <w:r>
        <w:rPr>
          <w:rFonts w:hint="eastAsia" w:ascii="仿宋_GB2312" w:hAnsi="仿宋_GB2312" w:eastAsia="仿宋_GB2312" w:cs="仿宋_GB2312"/>
          <w:color w:val="auto"/>
          <w:sz w:val="32"/>
          <w:szCs w:val="32"/>
          <w:highlight w:val="none"/>
        </w:rPr>
        <w:t>本次</w:t>
      </w:r>
      <w:r>
        <w:rPr>
          <w:rFonts w:hint="eastAsia" w:ascii="仿宋_GB2312" w:hAnsi="仿宋_GB2312" w:eastAsia="仿宋_GB2312" w:cs="仿宋_GB2312"/>
          <w:color w:val="auto"/>
          <w:sz w:val="32"/>
          <w:szCs w:val="32"/>
          <w:highlight w:val="none"/>
          <w:lang w:val="en-US" w:eastAsia="zh-CN"/>
        </w:rPr>
        <w:t>投标报价上限价</w:t>
      </w:r>
      <w:r>
        <w:rPr>
          <w:rFonts w:hint="eastAsia" w:ascii="仿宋_GB2312" w:hAnsi="仿宋_GB2312" w:eastAsia="仿宋_GB2312" w:cs="仿宋_GB2312"/>
          <w:color w:val="auto"/>
          <w:sz w:val="32"/>
          <w:szCs w:val="32"/>
          <w:highlight w:val="none"/>
        </w:rPr>
        <w:t>（最高限价）为</w:t>
      </w:r>
      <w:r>
        <w:rPr>
          <w:rFonts w:hint="eastAsia" w:ascii="仿宋_GB2312" w:hAnsi="仿宋_GB2312" w:eastAsia="仿宋_GB2312" w:cs="仿宋_GB2312"/>
          <w:kern w:val="0"/>
          <w:sz w:val="32"/>
          <w:szCs w:val="32"/>
          <w:highlight w:val="none"/>
          <w:lang w:val="en-US" w:eastAsia="zh-CN"/>
        </w:rPr>
        <w:t>41.89</w:t>
      </w:r>
      <w:r>
        <w:rPr>
          <w:rFonts w:hint="eastAsia" w:ascii="仿宋_GB2312" w:hAnsi="仿宋_GB2312" w:eastAsia="仿宋_GB2312" w:cs="仿宋_GB2312"/>
          <w:sz w:val="32"/>
          <w:szCs w:val="32"/>
          <w:highlight w:val="none"/>
          <w:lang w:val="en-US" w:eastAsia="zh-CN"/>
        </w:rPr>
        <w:t>万元</w:t>
      </w:r>
      <w:r>
        <w:rPr>
          <w:rFonts w:hint="eastAsia" w:ascii="仿宋_GB2312" w:hAnsi="仿宋_GB2312" w:eastAsia="仿宋_GB2312" w:cs="仿宋_GB2312"/>
          <w:color w:val="auto"/>
          <w:sz w:val="32"/>
          <w:szCs w:val="32"/>
          <w:highlight w:val="none"/>
          <w:lang w:val="en-US" w:eastAsia="zh-CN"/>
        </w:rPr>
        <w:t>（含专家评审费，若需）</w:t>
      </w:r>
      <w:r>
        <w:rPr>
          <w:rFonts w:hint="eastAsia" w:ascii="仿宋_GB2312" w:hAnsi="仿宋_GB2312" w:eastAsia="仿宋_GB2312" w:cs="仿宋_GB2312"/>
          <w:color w:val="auto"/>
          <w:sz w:val="32"/>
          <w:szCs w:val="32"/>
          <w:highlight w:val="none"/>
        </w:rPr>
        <w:t>。</w:t>
      </w:r>
    </w:p>
    <w:p w14:paraId="0BA093F9">
      <w:pPr>
        <w:spacing w:line="360" w:lineRule="auto"/>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五、报价要求：</w:t>
      </w:r>
      <w:r>
        <w:rPr>
          <w:rFonts w:hint="eastAsia" w:ascii="仿宋_GB2312" w:hAnsi="仿宋_GB2312" w:eastAsia="仿宋_GB2312" w:cs="仿宋_GB2312"/>
          <w:color w:val="auto"/>
          <w:sz w:val="32"/>
          <w:szCs w:val="32"/>
          <w:highlight w:val="none"/>
        </w:rPr>
        <w:t>响应单位在此限额下自行报价；成交供应商的响应报价即为最终合同价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固定总价合同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57FDDF17">
      <w:pPr>
        <w:spacing w:line="360" w:lineRule="auto"/>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、响应单位资格要求</w:t>
      </w:r>
    </w:p>
    <w:p w14:paraId="5904C13B">
      <w:pPr>
        <w:pStyle w:val="115"/>
        <w:tabs>
          <w:tab w:val="left" w:pos="426"/>
          <w:tab w:val="left" w:pos="567"/>
        </w:tabs>
        <w:spacing w:line="360" w:lineRule="auto"/>
        <w:ind w:firstLine="560"/>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1.</w:t>
      </w:r>
      <w:r>
        <w:rPr>
          <w:rFonts w:hint="eastAsia" w:ascii="仿宋_GB2312" w:hAnsi="仿宋_GB2312" w:eastAsia="仿宋_GB2312" w:cs="仿宋_GB2312"/>
          <w:sz w:val="32"/>
          <w:szCs w:val="32"/>
          <w:highlight w:val="none"/>
        </w:rPr>
        <w:t>投标人须为中华人民共和国境内注册的独立法人资格企业或合伙制企业或其他组织。</w:t>
      </w:r>
      <w:r>
        <w:rPr>
          <w:rFonts w:hint="eastAsia" w:ascii="仿宋_GB2312" w:hAnsi="仿宋_GB2312" w:eastAsia="仿宋_GB2312" w:cs="仿宋_GB2312"/>
          <w:kern w:val="2"/>
          <w:sz w:val="32"/>
          <w:szCs w:val="32"/>
          <w:highlight w:val="none"/>
        </w:rPr>
        <w:t>（提供营业执照复印件）</w:t>
      </w:r>
    </w:p>
    <w:p w14:paraId="06B64CE8">
      <w:pPr>
        <w:pStyle w:val="115"/>
        <w:tabs>
          <w:tab w:val="left" w:pos="426"/>
          <w:tab w:val="left" w:pos="567"/>
        </w:tabs>
        <w:spacing w:line="360" w:lineRule="auto"/>
        <w:ind w:firstLine="560"/>
        <w:rPr>
          <w:rFonts w:hint="eastAsia" w:ascii="仿宋_GB2312" w:hAnsi="仿宋_GB2312" w:eastAsia="仿宋_GB2312" w:cs="仿宋_GB2312"/>
          <w:kern w:val="2"/>
          <w:sz w:val="32"/>
          <w:szCs w:val="32"/>
          <w:highlight w:val="none"/>
          <w:lang w:val="en-US" w:eastAsia="zh-CN"/>
        </w:rPr>
      </w:pPr>
      <w:r>
        <w:rPr>
          <w:rFonts w:hint="eastAsia" w:ascii="仿宋_GB2312" w:hAnsi="仿宋_GB2312" w:eastAsia="仿宋_GB2312" w:cs="仿宋_GB2312"/>
          <w:kern w:val="2"/>
          <w:sz w:val="32"/>
          <w:szCs w:val="32"/>
          <w:highlight w:val="none"/>
          <w:lang w:val="en-US" w:eastAsia="zh-CN"/>
        </w:rPr>
        <w:t>2.投标人应在深圳市住房建设主管部门在其官方网站上公布的在深圳地区开展绿色建筑第三方符合性评估工作的机构名单范围内。</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2"/>
          <w:sz w:val="32"/>
          <w:szCs w:val="32"/>
          <w:highlight w:val="none"/>
        </w:rPr>
        <w:t>提供</w:t>
      </w:r>
      <w:r>
        <w:rPr>
          <w:rFonts w:hint="eastAsia" w:ascii="仿宋_GB2312" w:hAnsi="仿宋_GB2312" w:eastAsia="仿宋_GB2312" w:cs="仿宋_GB2312"/>
          <w:kern w:val="2"/>
          <w:sz w:val="32"/>
          <w:szCs w:val="32"/>
          <w:highlight w:val="none"/>
          <w:lang w:val="en-US" w:eastAsia="zh-CN"/>
        </w:rPr>
        <w:t>投标期内深圳市住建局官网相关网页或截图</w:t>
      </w:r>
      <w:r>
        <w:rPr>
          <w:rFonts w:hint="eastAsia" w:ascii="仿宋_GB2312" w:hAnsi="仿宋_GB2312" w:eastAsia="仿宋_GB2312" w:cs="仿宋_GB2312"/>
          <w:kern w:val="0"/>
          <w:sz w:val="32"/>
          <w:szCs w:val="32"/>
          <w:highlight w:val="none"/>
          <w:lang w:eastAsia="zh-CN"/>
        </w:rPr>
        <w:t>】</w:t>
      </w:r>
    </w:p>
    <w:p w14:paraId="6021DD4B">
      <w:pPr>
        <w:pStyle w:val="115"/>
        <w:tabs>
          <w:tab w:val="left" w:pos="426"/>
          <w:tab w:val="left" w:pos="567"/>
        </w:tabs>
        <w:spacing w:line="360" w:lineRule="auto"/>
        <w:ind w:firstLine="560"/>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2"/>
          <w:sz w:val="32"/>
          <w:szCs w:val="32"/>
          <w:highlight w:val="none"/>
          <w:lang w:val="en-US" w:eastAsia="zh-CN"/>
        </w:rPr>
        <w:t>3</w:t>
      </w:r>
      <w:r>
        <w:rPr>
          <w:rFonts w:hint="eastAsia" w:ascii="仿宋_GB2312" w:hAnsi="仿宋_GB2312" w:eastAsia="仿宋_GB2312" w:cs="仿宋_GB2312"/>
          <w:kern w:val="2"/>
          <w:sz w:val="32"/>
          <w:szCs w:val="32"/>
          <w:highlight w:val="none"/>
        </w:rPr>
        <w:t>.本项目不接受联合体投标。</w:t>
      </w:r>
    </w:p>
    <w:p w14:paraId="2799A1C9">
      <w:p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rPr>
        <w:t>七、评审方法</w:t>
      </w:r>
    </w:p>
    <w:p w14:paraId="2368F159">
      <w:pPr>
        <w:pStyle w:val="115"/>
        <w:tabs>
          <w:tab w:val="left" w:pos="426"/>
          <w:tab w:val="left" w:pos="567"/>
        </w:tabs>
        <w:spacing w:line="360" w:lineRule="auto"/>
        <w:ind w:firstLine="56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评标方法采用综合评分法。</w:t>
      </w:r>
      <w:r>
        <w:rPr>
          <w:rFonts w:hint="eastAsia" w:ascii="仿宋_GB2312" w:hAnsi="仿宋_GB2312" w:eastAsia="仿宋_GB2312" w:cs="仿宋_GB2312"/>
          <w:sz w:val="32"/>
          <w:szCs w:val="32"/>
          <w:highlight w:val="none"/>
          <w:lang w:val="en-US" w:eastAsia="zh-CN"/>
        </w:rPr>
        <w:t>由委托人自行组建</w:t>
      </w:r>
      <w:r>
        <w:rPr>
          <w:rFonts w:hint="eastAsia" w:ascii="仿宋_GB2312" w:hAnsi="仿宋_GB2312" w:eastAsia="仿宋_GB2312" w:cs="仿宋_GB2312"/>
          <w:sz w:val="32"/>
          <w:szCs w:val="32"/>
          <w:highlight w:val="none"/>
          <w:lang w:eastAsia="zh-CN"/>
        </w:rPr>
        <w:t>评审小组在有效响应单位中比选，推荐得票最高的为成交供应商。（综合评分表详见附件）</w:t>
      </w:r>
    </w:p>
    <w:p w14:paraId="30457AFE">
      <w:pPr>
        <w:spacing w:line="360" w:lineRule="auto"/>
        <w:ind w:firstLine="643" w:firstLineChars="20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八、服务酬劳的支付</w:t>
      </w:r>
    </w:p>
    <w:p w14:paraId="43F2D5A3">
      <w:pPr>
        <w:pStyle w:val="115"/>
        <w:numPr>
          <w:ilvl w:val="0"/>
          <w:numId w:val="0"/>
        </w:numPr>
        <w:tabs>
          <w:tab w:val="left" w:pos="426"/>
          <w:tab w:val="left" w:pos="567"/>
        </w:tabs>
        <w:spacing w:line="360" w:lineRule="auto"/>
        <w:ind w:firstLine="560" w:firstLineChars="0"/>
        <w:rPr>
          <w:rFonts w:ascii="仿宋_GB2312" w:hAnsi="仿宋_GB2312" w:eastAsia="仿宋_GB2312" w:cs="仿宋_GB2312"/>
          <w:bCs/>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highlight w:val="none"/>
        </w:rPr>
        <w:t>本合同分</w:t>
      </w:r>
      <w:r>
        <w:rPr>
          <w:rFonts w:hint="eastAsia" w:ascii="仿宋_GB2312" w:hAnsi="仿宋_GB2312" w:eastAsia="仿宋_GB2312" w:cs="仿宋_GB2312"/>
          <w:sz w:val="32"/>
          <w:szCs w:val="32"/>
          <w:highlight w:val="none"/>
          <w:lang w:val="en-US" w:eastAsia="zh-CN"/>
        </w:rPr>
        <w:t>两</w:t>
      </w:r>
      <w:r>
        <w:rPr>
          <w:rFonts w:hint="eastAsia" w:ascii="仿宋_GB2312" w:hAnsi="仿宋_GB2312" w:eastAsia="仿宋_GB2312" w:cs="仿宋_GB2312"/>
          <w:sz w:val="32"/>
          <w:szCs w:val="32"/>
          <w:highlight w:val="none"/>
        </w:rPr>
        <w:t>笔款项支付，具体如下。</w:t>
      </w:r>
    </w:p>
    <w:p w14:paraId="5929DA6D">
      <w:pPr>
        <w:pStyle w:val="115"/>
        <w:tabs>
          <w:tab w:val="left" w:pos="426"/>
          <w:tab w:val="left" w:pos="567"/>
        </w:tabs>
        <w:spacing w:line="360" w:lineRule="auto"/>
        <w:ind w:firstLine="56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1.</w:t>
      </w:r>
      <w:r>
        <w:rPr>
          <w:rFonts w:hint="eastAsia" w:ascii="仿宋_GB2312" w:hAnsi="仿宋_GB2312" w:eastAsia="仿宋_GB2312" w:cs="仿宋_GB2312"/>
          <w:b/>
          <w:bCs/>
          <w:sz w:val="32"/>
          <w:szCs w:val="32"/>
          <w:highlight w:val="none"/>
        </w:rPr>
        <w:t>第一笔支付</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color w:val="auto"/>
          <w:sz w:val="32"/>
          <w:szCs w:val="32"/>
          <w:highlight w:val="none"/>
        </w:rPr>
        <w:t>乙方完成本</w:t>
      </w:r>
      <w:r>
        <w:rPr>
          <w:rFonts w:hint="eastAsia" w:ascii="仿宋_GB2312" w:hAnsi="仿宋_GB2312" w:eastAsia="仿宋_GB2312" w:cs="仿宋_GB2312"/>
          <w:color w:val="auto"/>
          <w:sz w:val="32"/>
          <w:szCs w:val="32"/>
          <w:highlight w:val="none"/>
          <w:lang w:val="en-US" w:eastAsia="zh-CN"/>
        </w:rPr>
        <w:t>合同</w:t>
      </w:r>
      <w:r>
        <w:rPr>
          <w:rFonts w:hint="eastAsia" w:ascii="仿宋_GB2312" w:hAnsi="仿宋_GB2312" w:eastAsia="仿宋_GB2312" w:cs="仿宋_GB2312"/>
          <w:color w:val="auto"/>
          <w:sz w:val="32"/>
          <w:szCs w:val="32"/>
          <w:highlight w:val="none"/>
        </w:rPr>
        <w:t>服务工作的所有内容，提交合同约定的所有工作成果，且经甲方审核确认后，支付合同价的90%；</w:t>
      </w:r>
    </w:p>
    <w:p w14:paraId="371E3CE7">
      <w:pPr>
        <w:spacing w:line="56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val="0"/>
          <w:bCs w:val="0"/>
          <w:sz w:val="32"/>
          <w:szCs w:val="32"/>
          <w:highlight w:val="none"/>
          <w:lang w:val="en-US" w:eastAsia="zh-CN"/>
        </w:rPr>
        <w:t>2.</w:t>
      </w:r>
      <w:r>
        <w:rPr>
          <w:rFonts w:hint="eastAsia" w:ascii="仿宋_GB2312" w:hAnsi="仿宋_GB2312" w:eastAsia="仿宋_GB2312" w:cs="仿宋_GB2312"/>
          <w:b/>
          <w:bCs/>
          <w:sz w:val="32"/>
          <w:szCs w:val="32"/>
          <w:highlight w:val="none"/>
        </w:rPr>
        <w:t>第</w:t>
      </w:r>
      <w:r>
        <w:rPr>
          <w:rFonts w:hint="eastAsia" w:ascii="仿宋_GB2312" w:hAnsi="仿宋_GB2312" w:eastAsia="仿宋_GB2312" w:cs="仿宋_GB2312"/>
          <w:b/>
          <w:bCs/>
          <w:sz w:val="32"/>
          <w:szCs w:val="32"/>
          <w:highlight w:val="none"/>
          <w:lang w:val="en-US" w:eastAsia="zh-CN"/>
        </w:rPr>
        <w:t>二</w:t>
      </w:r>
      <w:r>
        <w:rPr>
          <w:rFonts w:hint="eastAsia" w:ascii="仿宋_GB2312" w:hAnsi="仿宋_GB2312" w:eastAsia="仿宋_GB2312" w:cs="仿宋_GB2312"/>
          <w:b/>
          <w:bCs/>
          <w:sz w:val="32"/>
          <w:szCs w:val="32"/>
          <w:highlight w:val="none"/>
        </w:rPr>
        <w:t>笔支付</w:t>
      </w:r>
      <w:r>
        <w:rPr>
          <w:rFonts w:hint="eastAsia" w:ascii="仿宋_GB2312" w:hAnsi="仿宋_GB2312" w:eastAsia="仿宋_GB2312" w:cs="仿宋_GB2312"/>
          <w:b w:val="0"/>
          <w:bCs w:val="0"/>
          <w:sz w:val="32"/>
          <w:szCs w:val="32"/>
          <w:highlight w:val="none"/>
        </w:rPr>
        <w:t>：合同剩余款项待本合同结算审核完成后结合履约考核情况支付。</w:t>
      </w:r>
    </w:p>
    <w:p w14:paraId="0C02BA88">
      <w:pPr>
        <w:pStyle w:val="115"/>
        <w:tabs>
          <w:tab w:val="left" w:pos="426"/>
          <w:tab w:val="left" w:pos="567"/>
        </w:tabs>
        <w:spacing w:line="36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履约评价</w:t>
      </w:r>
    </w:p>
    <w:p w14:paraId="36A79493">
      <w:pPr>
        <w:spacing w:line="360" w:lineRule="auto"/>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考核评定：合作期满</w:t>
      </w:r>
      <w:r>
        <w:rPr>
          <w:rFonts w:hint="eastAsia" w:ascii="仿宋_GB2312" w:hAnsi="仿宋_GB2312" w:eastAsia="仿宋_GB2312" w:cs="仿宋_GB2312"/>
          <w:color w:val="000000"/>
          <w:sz w:val="32"/>
          <w:szCs w:val="32"/>
          <w:highlight w:val="none"/>
        </w:rPr>
        <w:t>后进</w:t>
      </w:r>
      <w:r>
        <w:rPr>
          <w:rFonts w:hint="eastAsia" w:ascii="仿宋_GB2312" w:hAnsi="仿宋_GB2312" w:eastAsia="仿宋_GB2312" w:cs="仿宋_GB2312"/>
          <w:color w:val="000000"/>
          <w:sz w:val="32"/>
          <w:szCs w:val="32"/>
        </w:rPr>
        <w:t>行履约评价。乙方签订合同视为接受甲方的单方履约评价结果，同意由甲方根据单方履约评价结果进行支付</w:t>
      </w:r>
      <w:r>
        <w:rPr>
          <w:rFonts w:hint="eastAsia" w:ascii="仿宋_GB2312" w:hAnsi="仿宋_GB2312" w:eastAsia="仿宋_GB2312" w:cs="仿宋_GB2312"/>
          <w:color w:val="000000"/>
          <w:sz w:val="32"/>
          <w:szCs w:val="32"/>
          <w:lang w:eastAsia="zh-CN"/>
        </w:rPr>
        <w:t>。</w:t>
      </w:r>
    </w:p>
    <w:p w14:paraId="4D318853">
      <w:pPr>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考核费的支付：</w:t>
      </w:r>
    </w:p>
    <w:p w14:paraId="3754F43B">
      <w:pPr>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评价结果为70分（含）以上时，正常支付；</w:t>
      </w:r>
    </w:p>
    <w:p w14:paraId="6AD98EB3">
      <w:pPr>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评价结果为60分（含）以上70分（不含）以下时，甲方将扣除合同总金额的5%，不予支付；</w:t>
      </w:r>
    </w:p>
    <w:p w14:paraId="59334333">
      <w:pPr>
        <w:ind w:firstLine="64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（3）评价结果为60分（不含）以下时，视为乙方未正常履约，甲方将扣除合同总金额的10%，不予支付。</w:t>
      </w:r>
    </w:p>
    <w:p w14:paraId="2463A1DE">
      <w:pPr>
        <w:spacing w:line="360" w:lineRule="auto"/>
        <w:ind w:firstLine="643"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、响应文件要求</w:t>
      </w:r>
    </w:p>
    <w:p w14:paraId="39D8D2BC">
      <w:pPr>
        <w:numPr>
          <w:ilvl w:val="-1"/>
          <w:numId w:val="0"/>
        </w:num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本次公告时间从202</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日—</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27</w:t>
      </w:r>
      <w:r>
        <w:rPr>
          <w:rFonts w:hint="eastAsia" w:ascii="仿宋_GB2312" w:hAnsi="仿宋_GB2312" w:eastAsia="仿宋_GB2312" w:cs="仿宋_GB2312"/>
          <w:sz w:val="32"/>
          <w:szCs w:val="32"/>
          <w:highlight w:val="none"/>
        </w:rPr>
        <w:t>日止，响应承包商应于</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27</w:t>
      </w:r>
      <w:r>
        <w:rPr>
          <w:rFonts w:hint="eastAsia" w:ascii="仿宋_GB2312" w:hAnsi="仿宋_GB2312" w:eastAsia="仿宋_GB2312" w:cs="仿宋_GB2312"/>
          <w:sz w:val="32"/>
          <w:szCs w:val="32"/>
          <w:highlight w:val="none"/>
        </w:rPr>
        <w:t>日1</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:00前将响应文件1正4副密封（统一密封，密封处加盖公章）送交到龙岗区中心城腾飞路创投大厦</w:t>
      </w:r>
      <w:r>
        <w:rPr>
          <w:rFonts w:hint="eastAsia" w:ascii="仿宋_GB2312" w:hAnsi="仿宋_GB2312" w:eastAsia="仿宋_GB2312" w:cs="仿宋_GB2312"/>
          <w:sz w:val="32"/>
          <w:szCs w:val="32"/>
          <w:highlight w:val="none"/>
          <w:lang w:eastAsia="zh-CN"/>
        </w:rPr>
        <w:t>22</w:t>
      </w:r>
      <w:r>
        <w:rPr>
          <w:rFonts w:hint="eastAsia" w:ascii="仿宋_GB2312" w:hAnsi="仿宋_GB2312" w:eastAsia="仿宋_GB2312" w:cs="仿宋_GB2312"/>
          <w:sz w:val="32"/>
          <w:szCs w:val="32"/>
          <w:highlight w:val="none"/>
          <w:lang w:val="en-US" w:eastAsia="zh-CN"/>
        </w:rPr>
        <w:t>03</w:t>
      </w:r>
      <w:r>
        <w:rPr>
          <w:rFonts w:hint="eastAsia" w:ascii="仿宋_GB2312" w:hAnsi="仿宋_GB2312" w:eastAsia="仿宋_GB2312" w:cs="仿宋_GB2312"/>
          <w:sz w:val="32"/>
          <w:szCs w:val="32"/>
          <w:highlight w:val="none"/>
          <w:lang w:eastAsia="zh-CN"/>
        </w:rPr>
        <w:t>室</w:t>
      </w:r>
      <w:r>
        <w:rPr>
          <w:rFonts w:hint="eastAsia" w:ascii="仿宋_GB2312" w:hAnsi="仿宋_GB2312" w:eastAsia="仿宋_GB2312" w:cs="仿宋_GB2312"/>
          <w:sz w:val="32"/>
          <w:szCs w:val="32"/>
          <w:highlight w:val="none"/>
        </w:rPr>
        <w:t>（联系人：</w:t>
      </w:r>
      <w:r>
        <w:rPr>
          <w:rFonts w:hint="eastAsia" w:ascii="仿宋_GB2312" w:hAnsi="仿宋_GB2312" w:eastAsia="仿宋_GB2312" w:cs="仿宋_GB2312"/>
          <w:sz w:val="32"/>
          <w:szCs w:val="32"/>
          <w:highlight w:val="none"/>
          <w:lang w:val="en-US" w:eastAsia="zh-CN"/>
        </w:rPr>
        <w:t>罗</w:t>
      </w:r>
      <w:r>
        <w:rPr>
          <w:rFonts w:hint="eastAsia" w:ascii="仿宋_GB2312" w:hAnsi="仿宋_GB2312" w:eastAsia="仿宋_GB2312" w:cs="仿宋_GB2312"/>
          <w:sz w:val="32"/>
          <w:szCs w:val="32"/>
          <w:highlight w:val="none"/>
        </w:rPr>
        <w:t>工，0755-</w:t>
      </w:r>
      <w:r>
        <w:rPr>
          <w:rFonts w:hint="eastAsia" w:ascii="仿宋_GB2312" w:hAnsi="仿宋_GB2312" w:eastAsia="仿宋_GB2312" w:cs="仿宋_GB2312"/>
          <w:sz w:val="32"/>
          <w:szCs w:val="32"/>
          <w:highlight w:val="none"/>
          <w:lang w:val="en-US" w:eastAsia="zh-CN"/>
        </w:rPr>
        <w:t>28992028</w:t>
      </w:r>
      <w:r>
        <w:rPr>
          <w:rFonts w:hint="eastAsia" w:ascii="仿宋_GB2312" w:hAnsi="仿宋_GB2312" w:eastAsia="仿宋_GB2312" w:cs="仿宋_GB2312"/>
          <w:sz w:val="32"/>
          <w:szCs w:val="32"/>
          <w:highlight w:val="none"/>
        </w:rPr>
        <w:t>），逾期送达或未按要求密封将予以拒收或原封退回给响应承包商。</w:t>
      </w:r>
    </w:p>
    <w:p w14:paraId="4F6ECBE8">
      <w:pPr>
        <w:numPr>
          <w:ilvl w:val="-1"/>
          <w:numId w:val="0"/>
        </w:num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响应文件包含承诺函、</w:t>
      </w:r>
      <w:r>
        <w:rPr>
          <w:rFonts w:hint="eastAsia" w:ascii="仿宋_GB2312" w:hAnsi="仿宋_GB2312" w:eastAsia="仿宋_GB2312" w:cs="仿宋_GB2312"/>
          <w:sz w:val="32"/>
          <w:szCs w:val="32"/>
          <w:highlight w:val="none"/>
          <w:lang w:val="en-US" w:eastAsia="zh-CN"/>
        </w:rPr>
        <w:t>委托人</w:t>
      </w:r>
      <w:r>
        <w:rPr>
          <w:rFonts w:hint="eastAsia" w:ascii="仿宋_GB2312" w:hAnsi="仿宋_GB2312" w:eastAsia="仿宋_GB2312" w:cs="仿宋_GB2312"/>
          <w:sz w:val="32"/>
          <w:szCs w:val="32"/>
          <w:highlight w:val="none"/>
        </w:rPr>
        <w:t>要求提供的资料等，详见</w:t>
      </w:r>
      <w:r>
        <w:rPr>
          <w:rFonts w:hint="eastAsia" w:ascii="仿宋_GB2312" w:hAnsi="仿宋_GB2312" w:eastAsia="仿宋_GB2312" w:cs="仿宋_GB2312"/>
          <w:sz w:val="32"/>
          <w:szCs w:val="32"/>
          <w:highlight w:val="none"/>
          <w:lang w:val="en-US" w:eastAsia="zh-CN"/>
        </w:rPr>
        <w:t>附件要求</w:t>
      </w:r>
      <w:r>
        <w:rPr>
          <w:rFonts w:hint="eastAsia" w:ascii="仿宋_GB2312" w:hAnsi="仿宋_GB2312" w:eastAsia="仿宋_GB2312" w:cs="仿宋_GB2312"/>
          <w:sz w:val="32"/>
          <w:szCs w:val="32"/>
          <w:highlight w:val="none"/>
        </w:rPr>
        <w:t>。</w:t>
      </w:r>
    </w:p>
    <w:p w14:paraId="0CAB44FF">
      <w:pPr>
        <w:numPr>
          <w:ilvl w:val="-1"/>
          <w:numId w:val="0"/>
        </w:num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本次递交响应文件截止时间后，若有效响应单位不足3家的，则发布二次公告，若二次公告期满后，有效响应单位仅有2家的，则拆封响应文件继续评审，有效响应单位仅有1家的，则直接选定承包单位。</w:t>
      </w:r>
    </w:p>
    <w:p w14:paraId="658B5A77">
      <w:pPr>
        <w:spacing w:line="360" w:lineRule="auto"/>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auto"/>
          <w:sz w:val="32"/>
          <w:szCs w:val="32"/>
        </w:rPr>
        <w:t>十、公开招标（自主）结果公示</w:t>
      </w:r>
    </w:p>
    <w:p w14:paraId="5BEDB2FF">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递交响应文件截止后，</w:t>
      </w:r>
      <w:r>
        <w:rPr>
          <w:rFonts w:hint="eastAsia" w:ascii="仿宋_GB2312" w:hAnsi="仿宋_GB2312" w:eastAsia="仿宋_GB2312" w:cs="仿宋_GB2312"/>
          <w:sz w:val="32"/>
          <w:szCs w:val="32"/>
          <w:highlight w:val="none"/>
          <w:lang w:val="en-US" w:eastAsia="zh-CN"/>
        </w:rPr>
        <w:t>委托人</w:t>
      </w:r>
      <w:r>
        <w:rPr>
          <w:rFonts w:hint="eastAsia" w:ascii="仿宋_GB2312" w:hAnsi="仿宋_GB2312" w:eastAsia="仿宋_GB2312" w:cs="仿宋_GB2312"/>
          <w:sz w:val="32"/>
          <w:szCs w:val="32"/>
          <w:highlight w:val="none"/>
        </w:rPr>
        <w:t>将自行组织响应文件开启、评审等工作，确定承包单位后将在龙岗区城投集团官网进行公示。</w:t>
      </w:r>
    </w:p>
    <w:p w14:paraId="4DA24672">
      <w:pPr>
        <w:spacing w:line="360" w:lineRule="auto"/>
        <w:ind w:left="0" w:hanging="1928" w:hangingChars="6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特别说明：</w:t>
      </w:r>
    </w:p>
    <w:p w14:paraId="2311E3D5">
      <w:pPr>
        <w:numPr>
          <w:ilvl w:val="-1"/>
          <w:numId w:val="0"/>
        </w:numPr>
        <w:spacing w:line="360" w:lineRule="auto"/>
        <w:ind w:left="0" w:leftChars="0"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rPr>
        <w:t>资格不符合要求的投标人不能进入比选程序。</w:t>
      </w:r>
    </w:p>
    <w:p w14:paraId="3CB76DB8">
      <w:pPr>
        <w:numPr>
          <w:ilvl w:val="-1"/>
          <w:numId w:val="0"/>
        </w:numPr>
        <w:spacing w:line="360" w:lineRule="auto"/>
        <w:ind w:left="0" w:leftChars="0"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rPr>
        <w:t>所有响应单位视为同意上述公告内容，确定为承包单位后按公告约定与</w:t>
      </w:r>
      <w:r>
        <w:rPr>
          <w:rFonts w:hint="eastAsia" w:ascii="仿宋_GB2312" w:hAnsi="仿宋_GB2312" w:eastAsia="仿宋_GB2312" w:cs="仿宋_GB2312"/>
          <w:b/>
          <w:bCs/>
          <w:sz w:val="32"/>
          <w:szCs w:val="32"/>
          <w:highlight w:val="none"/>
          <w:lang w:eastAsia="zh-CN"/>
        </w:rPr>
        <w:t>委托人</w:t>
      </w:r>
      <w:r>
        <w:rPr>
          <w:rFonts w:hint="eastAsia" w:ascii="仿宋_GB2312" w:hAnsi="仿宋_GB2312" w:eastAsia="仿宋_GB2312" w:cs="仿宋_GB2312"/>
          <w:b/>
          <w:bCs/>
          <w:sz w:val="32"/>
          <w:szCs w:val="32"/>
          <w:highlight w:val="none"/>
        </w:rPr>
        <w:t>签署合同。</w:t>
      </w:r>
    </w:p>
    <w:p w14:paraId="381064F3">
      <w:pPr>
        <w:numPr>
          <w:ilvl w:val="0"/>
          <w:numId w:val="0"/>
        </w:num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3、投标文件编制要求</w:t>
      </w:r>
    </w:p>
    <w:p w14:paraId="56A21DCC">
      <w:pPr>
        <w:numPr>
          <w:ilvl w:val="0"/>
          <w:numId w:val="0"/>
        </w:num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（1）胶装成A4或A3幅面（A3禁止竖版）文本的，A4幅面厚度一般不超过50mm,A3幅面厚度一般不超过20 mm，超过的建议分册处理，A3封面禁止使用硬材质封面。</w:t>
      </w:r>
    </w:p>
    <w:p w14:paraId="071179FE">
      <w:pPr>
        <w:numPr>
          <w:ilvl w:val="0"/>
          <w:numId w:val="0"/>
        </w:num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2.文件在编制时,每本文件自封面开始从“1”编写页号，一般单面文字材料在右下角编写页号，双面书写的文字材料，正面在右下角编号，背面在左下角编号。</w:t>
      </w:r>
    </w:p>
    <w:p w14:paraId="1C723250">
      <w:pPr>
        <w:numPr>
          <w:ilvl w:val="0"/>
          <w:numId w:val="0"/>
        </w:num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3.投标时应同时提交投标文件纸质文件与PDF扫描文件（载体为光盘或者U盘），扫描文件内容必须与其对应纸质文件一致，扫描文件应清晰、端正、完整、不失真。</w:t>
      </w:r>
    </w:p>
    <w:p w14:paraId="1FDF84AC">
      <w:pPr>
        <w:pStyle w:val="30"/>
        <w:rPr>
          <w:rFonts w:hint="eastAsia"/>
          <w:lang w:val="en-US" w:eastAsia="zh-CN"/>
        </w:rPr>
      </w:pPr>
    </w:p>
    <w:p w14:paraId="7BD52C7E">
      <w:pPr>
        <w:spacing w:line="360" w:lineRule="auto"/>
        <w:ind w:firstLine="640" w:firstLineChars="200"/>
        <w:jc w:val="righ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深圳市龙岗区城投绿色低碳新能源产业发展有限公司</w:t>
      </w:r>
    </w:p>
    <w:p w14:paraId="32804C7D">
      <w:pPr>
        <w:spacing w:line="360" w:lineRule="auto"/>
        <w:ind w:firstLine="640" w:firstLineChars="200"/>
        <w:jc w:val="right"/>
        <w:rPr>
          <w:rFonts w:hint="eastAsia" w:eastAsia="宋体"/>
          <w:highlight w:val="none"/>
          <w:lang w:eastAsia="zh-CN"/>
        </w:rPr>
      </w:pPr>
      <w:r>
        <w:rPr>
          <w:rFonts w:hint="eastAsia" w:ascii="仿宋_GB2312" w:hAnsi="仿宋_GB2312" w:eastAsia="仿宋_GB2312" w:cs="仿宋_GB2312"/>
          <w:sz w:val="32"/>
          <w:szCs w:val="32"/>
          <w:highlight w:val="none"/>
          <w:lang w:val="en-US" w:eastAsia="zh-CN"/>
        </w:rPr>
        <w:t>2026年3月20日</w:t>
      </w:r>
    </w:p>
    <w:p w14:paraId="59740FCC">
      <w:pPr>
        <w:rPr>
          <w:rFonts w:hint="eastAsia" w:ascii="仿宋_GB2312" w:hAnsi="Times New Roman" w:eastAsia="仿宋_GB2312"/>
          <w:b/>
          <w:bCs/>
          <w:color w:val="auto"/>
          <w:sz w:val="30"/>
          <w:szCs w:val="30"/>
          <w:highlight w:val="none"/>
          <w:lang w:val="en-US" w:eastAsia="zh-CN"/>
        </w:rPr>
      </w:pPr>
      <w:r>
        <w:rPr>
          <w:rFonts w:hint="eastAsia" w:ascii="仿宋_GB2312" w:hAnsi="Times New Roman" w:eastAsia="仿宋_GB2312"/>
          <w:b/>
          <w:bCs/>
          <w:color w:val="auto"/>
          <w:sz w:val="30"/>
          <w:szCs w:val="30"/>
          <w:highlight w:val="none"/>
          <w:lang w:val="en-US" w:eastAsia="zh-CN"/>
        </w:rPr>
        <w:br w:type="page"/>
      </w:r>
    </w:p>
    <w:p w14:paraId="012EFCA4">
      <w:pPr>
        <w:spacing w:line="500" w:lineRule="exact"/>
        <w:jc w:val="both"/>
        <w:rPr>
          <w:rFonts w:hint="eastAsia" w:ascii="仿宋_GB2312" w:hAnsi="Times New Roman" w:eastAsia="仿宋_GB2312"/>
          <w:b/>
          <w:bCs/>
          <w:color w:val="auto"/>
          <w:sz w:val="30"/>
          <w:szCs w:val="30"/>
          <w:highlight w:val="none"/>
          <w:lang w:val="en-US" w:eastAsia="zh-CN"/>
        </w:rPr>
      </w:pPr>
      <w:r>
        <w:rPr>
          <w:rFonts w:hint="eastAsia" w:ascii="仿宋_GB2312" w:hAnsi="Times New Roman" w:eastAsia="仿宋_GB2312"/>
          <w:b/>
          <w:bCs/>
          <w:color w:val="auto"/>
          <w:sz w:val="30"/>
          <w:szCs w:val="30"/>
          <w:highlight w:val="none"/>
          <w:lang w:val="en-US" w:eastAsia="zh-CN"/>
        </w:rPr>
        <w:t>附件一：任务书</w:t>
      </w:r>
    </w:p>
    <w:p w14:paraId="621A3C0C">
      <w:pPr>
        <w:spacing w:line="560" w:lineRule="exact"/>
        <w:jc w:val="left"/>
        <w:rPr>
          <w:rFonts w:hint="eastAsia" w:ascii="方正小标宋简体" w:hAnsi="方正小标宋简体" w:eastAsia="方正小标宋简体" w:cs="方正小标宋简体"/>
          <w:sz w:val="36"/>
          <w:szCs w:val="36"/>
        </w:rPr>
      </w:pPr>
    </w:p>
    <w:p w14:paraId="188AD992">
      <w:pPr>
        <w:spacing w:line="560" w:lineRule="exact"/>
        <w:jc w:val="left"/>
        <w:rPr>
          <w:rFonts w:hint="eastAsia" w:ascii="方正小标宋简体" w:hAnsi="方正小标宋简体" w:eastAsia="方正小标宋简体" w:cs="方正小标宋简体"/>
          <w:sz w:val="36"/>
          <w:szCs w:val="36"/>
        </w:rPr>
      </w:pPr>
    </w:p>
    <w:p w14:paraId="36C54A66">
      <w:pPr>
        <w:spacing w:line="560" w:lineRule="exact"/>
        <w:jc w:val="left"/>
        <w:rPr>
          <w:rFonts w:hint="eastAsia" w:ascii="方正小标宋简体" w:hAnsi="方正小标宋简体" w:eastAsia="方正小标宋简体" w:cs="方正小标宋简体"/>
          <w:sz w:val="36"/>
          <w:szCs w:val="36"/>
        </w:rPr>
      </w:pPr>
    </w:p>
    <w:p w14:paraId="6FEB4673">
      <w:pPr>
        <w:spacing w:line="560" w:lineRule="exact"/>
        <w:jc w:val="left"/>
        <w:rPr>
          <w:rFonts w:hint="eastAsia" w:ascii="方正小标宋简体" w:hAnsi="方正小标宋简体" w:eastAsia="方正小标宋简体" w:cs="方正小标宋简体"/>
          <w:sz w:val="36"/>
          <w:szCs w:val="36"/>
        </w:rPr>
      </w:pPr>
    </w:p>
    <w:p w14:paraId="3FA7BA8C">
      <w:pPr>
        <w:spacing w:line="560" w:lineRule="exact"/>
        <w:jc w:val="left"/>
        <w:rPr>
          <w:rFonts w:hint="eastAsia" w:ascii="方正小标宋简体" w:hAnsi="方正小标宋简体" w:eastAsia="方正小标宋简体" w:cs="方正小标宋简体"/>
          <w:sz w:val="36"/>
          <w:szCs w:val="36"/>
        </w:rPr>
      </w:pPr>
    </w:p>
    <w:p w14:paraId="725BA651">
      <w:pPr>
        <w:spacing w:line="56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深圳建筑产业生态智谷总部基地一期</w:t>
      </w:r>
    </w:p>
    <w:p w14:paraId="57B39D0A">
      <w:pPr>
        <w:spacing w:line="56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绿色建筑符合性评估</w:t>
      </w:r>
    </w:p>
    <w:p w14:paraId="3335BBD0">
      <w:pPr>
        <w:spacing w:line="56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咨询服务任务书</w:t>
      </w:r>
    </w:p>
    <w:p w14:paraId="78D247E8">
      <w:pPr>
        <w:spacing w:line="560" w:lineRule="exact"/>
        <w:rPr>
          <w:rFonts w:hint="eastAsia" w:ascii="宋体" w:hAnsi="宋体"/>
          <w:sz w:val="28"/>
        </w:rPr>
      </w:pPr>
    </w:p>
    <w:p w14:paraId="3940A046">
      <w:pPr>
        <w:spacing w:line="560" w:lineRule="exact"/>
        <w:rPr>
          <w:rFonts w:hint="eastAsia" w:ascii="宋体" w:hAnsi="宋体"/>
          <w:sz w:val="28"/>
        </w:rPr>
      </w:pPr>
    </w:p>
    <w:p w14:paraId="6FEAD691">
      <w:pPr>
        <w:spacing w:line="560" w:lineRule="exact"/>
        <w:rPr>
          <w:rFonts w:hint="eastAsia" w:ascii="宋体" w:hAnsi="宋体"/>
          <w:sz w:val="28"/>
        </w:rPr>
      </w:pPr>
    </w:p>
    <w:p w14:paraId="63E4CA7C">
      <w:pPr>
        <w:spacing w:line="560" w:lineRule="exact"/>
        <w:rPr>
          <w:rFonts w:hint="eastAsia" w:ascii="宋体" w:hAnsi="宋体"/>
          <w:sz w:val="28"/>
        </w:rPr>
      </w:pPr>
    </w:p>
    <w:p w14:paraId="60289D71">
      <w:pPr>
        <w:spacing w:line="560" w:lineRule="exact"/>
        <w:rPr>
          <w:rFonts w:hint="eastAsia" w:ascii="宋体" w:hAnsi="宋体"/>
          <w:sz w:val="28"/>
        </w:rPr>
      </w:pPr>
    </w:p>
    <w:p w14:paraId="7E3AF250">
      <w:pPr>
        <w:spacing w:line="560" w:lineRule="exact"/>
        <w:rPr>
          <w:rFonts w:hint="eastAsia" w:ascii="宋体" w:hAnsi="宋体"/>
          <w:sz w:val="28"/>
        </w:rPr>
      </w:pPr>
    </w:p>
    <w:p w14:paraId="5A739FD5">
      <w:pPr>
        <w:spacing w:line="560" w:lineRule="exact"/>
        <w:rPr>
          <w:rFonts w:hint="eastAsia" w:ascii="宋体" w:hAnsi="宋体"/>
          <w:sz w:val="28"/>
        </w:rPr>
      </w:pPr>
    </w:p>
    <w:p w14:paraId="021E3000">
      <w:pPr>
        <w:spacing w:line="560" w:lineRule="exact"/>
        <w:jc w:val="center"/>
        <w:rPr>
          <w:rFonts w:hint="eastAsia" w:ascii="宋体" w:hAnsi="宋体"/>
          <w:sz w:val="28"/>
        </w:rPr>
      </w:pPr>
    </w:p>
    <w:p w14:paraId="7A567B91">
      <w:pPr>
        <w:spacing w:line="560" w:lineRule="exact"/>
        <w:jc w:val="center"/>
        <w:rPr>
          <w:rFonts w:hint="eastAsia" w:ascii="宋体" w:hAnsi="宋体"/>
          <w:sz w:val="28"/>
        </w:rPr>
      </w:pPr>
    </w:p>
    <w:p w14:paraId="2365BD7C">
      <w:pPr>
        <w:spacing w:line="560" w:lineRule="exact"/>
        <w:jc w:val="center"/>
        <w:rPr>
          <w:rFonts w:hint="eastAsia" w:ascii="宋体" w:hAnsi="宋体"/>
          <w:sz w:val="28"/>
        </w:rPr>
      </w:pPr>
    </w:p>
    <w:p w14:paraId="5E84E5A9">
      <w:pPr>
        <w:spacing w:line="560" w:lineRule="exact"/>
        <w:jc w:val="center"/>
        <w:rPr>
          <w:rFonts w:hint="eastAsia" w:ascii="宋体" w:hAnsi="宋体"/>
          <w:sz w:val="28"/>
        </w:rPr>
      </w:pPr>
    </w:p>
    <w:p w14:paraId="2CEE7AD4">
      <w:pPr>
        <w:spacing w:line="560" w:lineRule="exact"/>
        <w:jc w:val="center"/>
        <w:rPr>
          <w:rFonts w:hint="eastAsia" w:ascii="宋体" w:hAnsi="宋体"/>
          <w:sz w:val="28"/>
        </w:rPr>
      </w:pPr>
    </w:p>
    <w:p w14:paraId="55AF6AAD">
      <w:pPr>
        <w:spacing w:line="560" w:lineRule="exact"/>
        <w:jc w:val="center"/>
        <w:rPr>
          <w:rFonts w:hint="eastAsia" w:ascii="宋体" w:hAnsi="宋体"/>
          <w:sz w:val="28"/>
        </w:rPr>
        <w:sectPr>
          <w:footerReference r:id="rId3" w:type="default"/>
          <w:pgSz w:w="12240" w:h="15840"/>
          <w:pgMar w:top="1701" w:right="1474" w:bottom="1417" w:left="1587" w:header="720" w:footer="720" w:gutter="0"/>
          <w:lnNumType w:countBy="0" w:distance="360"/>
          <w:cols w:space="720" w:num="1"/>
          <w:docGrid w:type="lines" w:linePitch="312" w:charSpace="0"/>
        </w:sectPr>
      </w:pPr>
    </w:p>
    <w:p w14:paraId="486490D7">
      <w:pPr>
        <w:jc w:val="left"/>
        <w:rPr>
          <w:rFonts w:hint="eastAsia" w:ascii="黑体" w:hAnsi="黑体" w:eastAsia="黑体" w:cs="黑体"/>
          <w:sz w:val="32"/>
          <w:szCs w:val="32"/>
        </w:rPr>
      </w:pPr>
      <w:r>
        <w:rPr>
          <w:rFonts w:hint="eastAsia" w:ascii="黑体" w:hAnsi="黑体" w:eastAsia="黑体" w:cs="黑体"/>
          <w:sz w:val="32"/>
          <w:szCs w:val="32"/>
        </w:rPr>
        <w:t>一、项目背景</w:t>
      </w:r>
    </w:p>
    <w:p w14:paraId="38E67FA5">
      <w:pPr>
        <w:spacing w:line="560" w:lineRule="exact"/>
        <w:ind w:firstLine="560" w:firstLineChars="200"/>
        <w:jc w:val="left"/>
        <w:rPr>
          <w:rFonts w:hint="eastAsia" w:ascii="仿宋_GB2312" w:hAnsi="仿宋_GB2312" w:eastAsia="仿宋_GB2312" w:cs="仿宋_GB2312"/>
          <w:sz w:val="28"/>
          <w:szCs w:val="28"/>
        </w:rPr>
      </w:pPr>
      <w:bookmarkStart w:id="1" w:name="OLE_LINK10"/>
      <w:r>
        <w:rPr>
          <w:rFonts w:hint="eastAsia" w:ascii="仿宋_GB2312" w:hAnsi="仿宋_GB2312" w:eastAsia="仿宋_GB2312" w:cs="仿宋_GB2312"/>
          <w:sz w:val="28"/>
          <w:szCs w:val="28"/>
        </w:rPr>
        <w:t>深圳建筑产业生态智谷总部基地</w:t>
      </w:r>
      <w:bookmarkEnd w:id="1"/>
      <w:r>
        <w:rPr>
          <w:rFonts w:hint="eastAsia" w:ascii="仿宋_GB2312" w:hAnsi="仿宋_GB2312" w:eastAsia="仿宋_GB2312" w:cs="仿宋_GB2312"/>
          <w:sz w:val="28"/>
          <w:szCs w:val="28"/>
        </w:rPr>
        <w:t>位于大运新城盐龙大道-如意路交叉口西北侧，项目用地面积9.3公顷，建筑面积37.6万平方米，项目分三期开发建设。其中一期用地面积为4.2公顷，建筑面积约17万平方米，建设内容包括研发办公、实验室、宿舍、配套商业、公共配套设施（含会展中心）等。预计形成年产值约100亿元，带来税收约2亿元，聚集就业人口4000人左右。</w:t>
      </w:r>
    </w:p>
    <w:p w14:paraId="67D5B6B4">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4319905" cy="4197350"/>
            <wp:effectExtent l="0" t="0" r="4445"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4319905" cy="4197350"/>
                    </a:xfrm>
                    <a:prstGeom prst="rect">
                      <a:avLst/>
                    </a:prstGeom>
                    <a:noFill/>
                    <a:ln>
                      <a:noFill/>
                    </a:ln>
                  </pic:spPr>
                </pic:pic>
              </a:graphicData>
            </a:graphic>
          </wp:inline>
        </w:drawing>
      </w:r>
    </w:p>
    <w:p w14:paraId="742D8F67">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项目区位图</w:t>
      </w:r>
    </w:p>
    <w:p w14:paraId="3C8E55CF">
      <w:pPr>
        <w:spacing w:line="56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本项目北邻鹰嘴路，西接鹰晖路，南邻清辉路，东侧为清耀路，总用地面积4</w:t>
      </w:r>
      <w:r>
        <w:rPr>
          <w:rFonts w:ascii="仿宋_GB2312" w:hAnsi="仿宋_GB2312" w:eastAsia="仿宋_GB2312" w:cs="仿宋_GB2312"/>
          <w:sz w:val="28"/>
          <w:szCs w:val="28"/>
        </w:rPr>
        <w:t>2381.32</w:t>
      </w:r>
      <w:r>
        <w:rPr>
          <w:rFonts w:hint="eastAsia" w:ascii="仿宋_GB2312" w:hAnsi="仿宋_GB2312" w:eastAsia="仿宋_GB2312" w:cs="仿宋_GB2312"/>
          <w:sz w:val="28"/>
          <w:szCs w:val="28"/>
        </w:rPr>
        <w:t>平方米，总建筑面积2</w:t>
      </w:r>
      <w:r>
        <w:rPr>
          <w:rFonts w:ascii="仿宋_GB2312" w:hAnsi="仿宋_GB2312" w:eastAsia="仿宋_GB2312" w:cs="仿宋_GB2312"/>
          <w:sz w:val="28"/>
          <w:szCs w:val="28"/>
        </w:rPr>
        <w:t>48911</w:t>
      </w:r>
      <w:r>
        <w:rPr>
          <w:rFonts w:hint="eastAsia" w:ascii="仿宋_GB2312" w:hAnsi="仿宋_GB2312" w:eastAsia="仿宋_GB2312" w:cs="仿宋_GB2312"/>
          <w:sz w:val="28"/>
          <w:szCs w:val="28"/>
        </w:rPr>
        <w:t>平方米，其中总规定建筑面积169850平方米,包括研发用房118895平方米,商业3200平方米,食堂6000平方米，配套设施3400平方米。规定容积率4</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01。</w:t>
      </w:r>
    </w:p>
    <w:p w14:paraId="41549D83">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共有1</w:t>
      </w:r>
      <w:r>
        <w:rPr>
          <w:rFonts w:ascii="仿宋_GB2312" w:hAnsi="仿宋_GB2312" w:eastAsia="仿宋_GB2312" w:cs="仿宋_GB2312"/>
          <w:sz w:val="28"/>
          <w:szCs w:val="28"/>
        </w:rPr>
        <w:t>0</w:t>
      </w:r>
      <w:r>
        <w:rPr>
          <w:rFonts w:hint="eastAsia" w:ascii="仿宋_GB2312" w:hAnsi="仿宋_GB2312" w:eastAsia="仿宋_GB2312" w:cs="仿宋_GB2312"/>
          <w:sz w:val="28"/>
          <w:szCs w:val="28"/>
        </w:rPr>
        <w:t>栋单体建筑，全部按照三星级标准建设，地上1栋一单元190.15米，为超高层研发用房塔楼；1栋二单元92.25 米，为高层研发用房塔楼；三单元15.2米高，为多层研发用房塔楼；1栋四单元7.15 米高，为多层高商业；1栋五单元32.65米高，为高层研发用房塔楼；1栋六单元78.60米高，为高层宿舍塔楼；1栋七单元87.60米高，为高层宿舍塔楼；1栋八单元、九单元10.2米高，为单多层商业和食堂搭楼；1栋十单元18.45米高，为多层塔楼，功能为展览；裙房2层高,功能为宿舍大堂、商业、配套设施:地下共4层地下室,其中两层为半地下室。地下室功能为商业、食堂</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地下车库及设备用房。</w:t>
      </w:r>
    </w:p>
    <w:p w14:paraId="16D756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lang w:eastAsia="zh-CN"/>
        </w:rPr>
      </w:pPr>
      <w:bookmarkStart w:id="2" w:name="OLE_LINK9"/>
      <w:r>
        <w:rPr>
          <w:rFonts w:hint="eastAsia" w:ascii="仿宋_GB2312" w:hAnsi="仿宋_GB2312" w:eastAsia="仿宋_GB2312" w:cs="仿宋_GB2312"/>
          <w:sz w:val="28"/>
          <w:szCs w:val="28"/>
          <w:lang w:eastAsia="zh-CN"/>
        </w:rPr>
        <w:drawing>
          <wp:inline distT="0" distB="0" distL="114300" distR="114300">
            <wp:extent cx="5482590" cy="3136900"/>
            <wp:effectExtent l="0" t="0" r="3810" b="6350"/>
            <wp:docPr id="7" name="图片 2" descr="6e746054-59d0-4827-81d4-fe0db6cfc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6e746054-59d0-4827-81d4-fe0db6cfc989"/>
                    <pic:cNvPicPr>
                      <a:picLocks noChangeAspect="1"/>
                    </pic:cNvPicPr>
                  </pic:nvPicPr>
                  <pic:blipFill>
                    <a:blip r:embed="rId8"/>
                    <a:stretch>
                      <a:fillRect/>
                    </a:stretch>
                  </pic:blipFill>
                  <pic:spPr>
                    <a:xfrm>
                      <a:off x="0" y="0"/>
                      <a:ext cx="5482590" cy="3136900"/>
                    </a:xfrm>
                    <a:prstGeom prst="rect">
                      <a:avLst/>
                    </a:prstGeom>
                    <a:noFill/>
                    <a:ln>
                      <a:noFill/>
                    </a:ln>
                  </pic:spPr>
                </pic:pic>
              </a:graphicData>
            </a:graphic>
          </wp:inline>
        </w:drawing>
      </w:r>
    </w:p>
    <w:p w14:paraId="4A3CF0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项目用地区位示意</w:t>
      </w:r>
    </w:p>
    <w:p w14:paraId="451ECA3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485765" cy="3792855"/>
            <wp:effectExtent l="0" t="0" r="635" b="17145"/>
            <wp:docPr id="6" name="图片 3" descr="d3df2b91-cfdf-4236-aa8c-6d3d691ac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d3df2b91-cfdf-4236-aa8c-6d3d691ac09c"/>
                    <pic:cNvPicPr>
                      <a:picLocks noChangeAspect="1"/>
                    </pic:cNvPicPr>
                  </pic:nvPicPr>
                  <pic:blipFill>
                    <a:blip r:embed="rId9"/>
                    <a:stretch>
                      <a:fillRect/>
                    </a:stretch>
                  </pic:blipFill>
                  <pic:spPr>
                    <a:xfrm>
                      <a:off x="0" y="0"/>
                      <a:ext cx="5485765" cy="3792855"/>
                    </a:xfrm>
                    <a:prstGeom prst="rect">
                      <a:avLst/>
                    </a:prstGeom>
                    <a:noFill/>
                    <a:ln>
                      <a:noFill/>
                    </a:ln>
                  </pic:spPr>
                </pic:pic>
              </a:graphicData>
            </a:graphic>
          </wp:inline>
        </w:drawing>
      </w:r>
    </w:p>
    <w:p w14:paraId="6DFB091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项目各栋位置示意</w:t>
      </w:r>
    </w:p>
    <w:p w14:paraId="50B6EB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4972050" cy="3076575"/>
            <wp:effectExtent l="0" t="0" r="0" b="9525"/>
            <wp:docPr id="5" name="图片 4" descr="bfd005d3-aa02-41d4-a25b-1782f5f03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bfd005d3-aa02-41d4-a25b-1782f5f03db9"/>
                    <pic:cNvPicPr>
                      <a:picLocks noChangeAspect="1"/>
                    </pic:cNvPicPr>
                  </pic:nvPicPr>
                  <pic:blipFill>
                    <a:blip r:embed="rId10"/>
                    <a:srcRect t="4922" b="11398"/>
                    <a:stretch>
                      <a:fillRect/>
                    </a:stretch>
                  </pic:blipFill>
                  <pic:spPr>
                    <a:xfrm>
                      <a:off x="0" y="0"/>
                      <a:ext cx="4972050" cy="3076575"/>
                    </a:xfrm>
                    <a:prstGeom prst="rect">
                      <a:avLst/>
                    </a:prstGeom>
                    <a:noFill/>
                    <a:ln>
                      <a:noFill/>
                    </a:ln>
                  </pic:spPr>
                </pic:pic>
              </a:graphicData>
            </a:graphic>
          </wp:inline>
        </w:drawing>
      </w:r>
    </w:p>
    <w:p w14:paraId="35031C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项目高度示意</w:t>
      </w:r>
    </w:p>
    <w:bookmarkEnd w:id="2"/>
    <w:p w14:paraId="5AF2541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drawing>
          <wp:inline distT="0" distB="0" distL="114300" distR="114300">
            <wp:extent cx="4410075" cy="3181350"/>
            <wp:effectExtent l="0" t="0" r="9525" b="0"/>
            <wp:docPr id="9" name="图片 5" descr="4dba7c73-8e90-4c54-aabb-a1443faa2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4dba7c73-8e90-4c54-aabb-a1443faa24d6"/>
                    <pic:cNvPicPr>
                      <a:picLocks noChangeAspect="1"/>
                    </pic:cNvPicPr>
                  </pic:nvPicPr>
                  <pic:blipFill>
                    <a:blip r:embed="rId11"/>
                    <a:stretch>
                      <a:fillRect/>
                    </a:stretch>
                  </pic:blipFill>
                  <pic:spPr>
                    <a:xfrm>
                      <a:off x="0" y="0"/>
                      <a:ext cx="4410075" cy="3181350"/>
                    </a:xfrm>
                    <a:prstGeom prst="rect">
                      <a:avLst/>
                    </a:prstGeom>
                    <a:noFill/>
                    <a:ln>
                      <a:noFill/>
                    </a:ln>
                  </pic:spPr>
                </pic:pic>
              </a:graphicData>
            </a:graphic>
          </wp:inline>
        </w:drawing>
      </w:r>
    </w:p>
    <w:p w14:paraId="5F6BF92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项目立面效果</w:t>
      </w:r>
    </w:p>
    <w:p w14:paraId="1BFBDFBA">
      <w:pPr>
        <w:spacing w:line="560" w:lineRule="exact"/>
        <w:ind w:firstLine="560" w:firstLineChars="200"/>
        <w:jc w:val="left"/>
        <w:rPr>
          <w:rFonts w:hint="eastAsia" w:ascii="仿宋_GB2312" w:hAnsi="仿宋_GB2312" w:eastAsia="仿宋_GB2312" w:cs="仿宋_GB2312"/>
          <w:sz w:val="28"/>
          <w:szCs w:val="28"/>
        </w:rPr>
      </w:pPr>
    </w:p>
    <w:p w14:paraId="20B7F92E">
      <w:pPr>
        <w:jc w:val="left"/>
        <w:rPr>
          <w:rFonts w:hint="eastAsia" w:ascii="黑体" w:hAnsi="黑体" w:eastAsia="黑体" w:cs="黑体"/>
          <w:sz w:val="32"/>
          <w:szCs w:val="32"/>
        </w:rPr>
      </w:pPr>
      <w:r>
        <w:rPr>
          <w:rFonts w:hint="eastAsia" w:ascii="黑体" w:hAnsi="黑体" w:eastAsia="黑体" w:cs="黑体"/>
          <w:sz w:val="32"/>
          <w:szCs w:val="32"/>
        </w:rPr>
        <w:t>二、项目概况</w:t>
      </w:r>
    </w:p>
    <w:p w14:paraId="45B1D44B">
      <w:pPr>
        <w:spacing w:line="56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本项目</w:t>
      </w:r>
      <w:r>
        <w:rPr>
          <w:rFonts w:ascii="仿宋_GB2312" w:hAnsi="仿宋_GB2312" w:eastAsia="仿宋_GB2312" w:cs="仿宋_GB2312"/>
          <w:sz w:val="28"/>
          <w:szCs w:val="28"/>
        </w:rPr>
        <w:t>依据现行国家标准《绿色建筑评价标准》（GB/T50378-2019）、《深圳市</w:t>
      </w:r>
      <w:r>
        <w:rPr>
          <w:rFonts w:hint="eastAsia" w:ascii="仿宋_GB2312" w:hAnsi="仿宋_GB2312" w:eastAsia="仿宋_GB2312" w:cs="仿宋_GB2312"/>
          <w:sz w:val="28"/>
          <w:szCs w:val="28"/>
        </w:rPr>
        <w:t>经济特区</w:t>
      </w:r>
      <w:r>
        <w:rPr>
          <w:rFonts w:ascii="仿宋_GB2312" w:hAnsi="仿宋_GB2312" w:eastAsia="仿宋_GB2312" w:cs="仿宋_GB2312"/>
          <w:sz w:val="28"/>
          <w:szCs w:val="28"/>
        </w:rPr>
        <w:t>绿色建筑</w:t>
      </w:r>
      <w:r>
        <w:rPr>
          <w:rFonts w:hint="eastAsia" w:ascii="仿宋_GB2312" w:hAnsi="仿宋_GB2312" w:eastAsia="仿宋_GB2312" w:cs="仿宋_GB2312"/>
          <w:sz w:val="28"/>
          <w:szCs w:val="28"/>
        </w:rPr>
        <w:t>条例</w:t>
      </w:r>
      <w:r>
        <w:rPr>
          <w:rFonts w:ascii="仿宋_GB2312" w:hAnsi="仿宋_GB2312" w:eastAsia="仿宋_GB2312" w:cs="仿宋_GB2312"/>
          <w:sz w:val="28"/>
          <w:szCs w:val="28"/>
        </w:rPr>
        <w:t>》，结合项目实际情况对安全耐久、健康舒适、生活便利、资源节约、环境宜居等方面的绿色建筑方案措施进行等级判定，根据自评结果，本项目按照国家绿色建筑</w:t>
      </w: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星级的目标实施。</w:t>
      </w:r>
    </w:p>
    <w:p w14:paraId="69F65927">
      <w:pPr>
        <w:spacing w:line="560" w:lineRule="exact"/>
        <w:ind w:firstLine="560" w:firstLineChars="200"/>
        <w:jc w:val="left"/>
        <w:rPr>
          <w:rFonts w:ascii="仿宋_GB2312" w:hAnsi="仿宋_GB2312" w:eastAsia="仿宋_GB2312" w:cs="仿宋_GB2312"/>
          <w:sz w:val="28"/>
          <w:szCs w:val="28"/>
        </w:rPr>
      </w:pPr>
      <w:r>
        <w:rPr>
          <w:rFonts w:ascii="仿宋_GB2312" w:hAnsi="仿宋_GB2312" w:eastAsia="仿宋_GB2312" w:cs="仿宋_GB2312"/>
          <w:sz w:val="28"/>
          <w:szCs w:val="28"/>
        </w:rPr>
        <w:t>项目通过</w:t>
      </w:r>
      <w:r>
        <w:rPr>
          <w:rFonts w:hint="eastAsia" w:ascii="仿宋_GB2312" w:hAnsi="仿宋_GB2312" w:eastAsia="仿宋_GB2312" w:cs="仿宋_GB2312"/>
          <w:sz w:val="28"/>
          <w:szCs w:val="28"/>
        </w:rPr>
        <w:t>：</w:t>
      </w:r>
    </w:p>
    <w:p w14:paraId="3DFA980D">
      <w:pPr>
        <w:spacing w:line="560" w:lineRule="exact"/>
        <w:ind w:firstLine="560" w:firstLineChars="200"/>
        <w:jc w:val="left"/>
        <w:rPr>
          <w:rFonts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设置高性能光伏发电系统，项目共设置约1</w:t>
      </w:r>
      <w:r>
        <w:rPr>
          <w:rFonts w:ascii="仿宋_GB2312" w:hAnsi="仿宋_GB2312" w:eastAsia="仿宋_GB2312" w:cs="仿宋_GB2312"/>
          <w:sz w:val="28"/>
          <w:szCs w:val="28"/>
        </w:rPr>
        <w:t>.6Mk</w:t>
      </w:r>
      <w:r>
        <w:rPr>
          <w:rFonts w:hint="eastAsia" w:ascii="仿宋_GB2312" w:hAnsi="仿宋_GB2312" w:eastAsia="仿宋_GB2312" w:cs="仿宋_GB2312"/>
          <w:sz w:val="28"/>
          <w:szCs w:val="28"/>
        </w:rPr>
        <w:t>p的光伏发电系统经并网后进入建筑配电系统；</w:t>
      </w:r>
    </w:p>
    <w:p w14:paraId="5EEEEC46">
      <w:pPr>
        <w:spacing w:line="560" w:lineRule="exact"/>
        <w:ind w:firstLine="560" w:firstLineChars="200"/>
        <w:jc w:val="left"/>
        <w:rPr>
          <w:rFonts w:hint="eastAsia" w:ascii="仿宋_GB2312" w:hAnsi="仿宋_GB2312" w:eastAsia="仿宋_GB2312" w:cs="仿宋_GB2312"/>
          <w:sz w:val="28"/>
          <w:szCs w:val="28"/>
        </w:rPr>
      </w:pPr>
      <w:r>
        <w:rPr>
          <w:rFonts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高柔性光储直柔系统，项目在三四单元设置高柔性光储直柔先进配电系统，末端采用直流化空调及相关设备；</w:t>
      </w:r>
    </w:p>
    <w:p w14:paraId="2E5F688D">
      <w:pPr>
        <w:spacing w:line="560" w:lineRule="exact"/>
        <w:ind w:firstLine="560" w:firstLineChars="200"/>
        <w:jc w:val="left"/>
        <w:rPr>
          <w:rFonts w:ascii="仿宋_GB2312" w:hAnsi="仿宋_GB2312" w:eastAsia="仿宋_GB2312" w:cs="仿宋_GB2312"/>
          <w:sz w:val="28"/>
          <w:szCs w:val="28"/>
        </w:rPr>
      </w:pPr>
      <w:r>
        <w:rPr>
          <w:rFonts w:ascii="仿宋_GB2312" w:hAnsi="仿宋_GB2312" w:eastAsia="仿宋_GB2312" w:cs="仿宋_GB2312"/>
          <w:sz w:val="28"/>
          <w:szCs w:val="28"/>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M</w:t>
      </w:r>
      <w:r>
        <w:rPr>
          <w:rFonts w:ascii="仿宋_GB2312" w:hAnsi="仿宋_GB2312" w:eastAsia="仿宋_GB2312" w:cs="仿宋_GB2312"/>
          <w:sz w:val="28"/>
          <w:szCs w:val="28"/>
        </w:rPr>
        <w:t>IC</w:t>
      </w:r>
      <w:r>
        <w:rPr>
          <w:rFonts w:hint="eastAsia" w:ascii="仿宋_GB2312" w:hAnsi="仿宋_GB2312" w:eastAsia="仿宋_GB2312" w:cs="仿宋_GB2312"/>
          <w:sz w:val="28"/>
          <w:szCs w:val="28"/>
        </w:rPr>
        <w:t>模块化建造体系；</w:t>
      </w:r>
    </w:p>
    <w:p w14:paraId="5A617492">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项目六七单元宿舍采用M</w:t>
      </w:r>
      <w:r>
        <w:rPr>
          <w:rFonts w:ascii="仿宋_GB2312" w:hAnsi="仿宋_GB2312" w:eastAsia="仿宋_GB2312" w:cs="仿宋_GB2312"/>
          <w:sz w:val="28"/>
          <w:szCs w:val="28"/>
        </w:rPr>
        <w:t>IC</w:t>
      </w:r>
      <w:r>
        <w:rPr>
          <w:rFonts w:hint="eastAsia" w:ascii="仿宋_GB2312" w:hAnsi="仿宋_GB2312" w:eastAsia="仿宋_GB2312" w:cs="仿宋_GB2312"/>
          <w:sz w:val="28"/>
          <w:szCs w:val="28"/>
        </w:rPr>
        <w:t>先进模块化装配体系；</w:t>
      </w:r>
    </w:p>
    <w:p w14:paraId="6129ED75">
      <w:pPr>
        <w:spacing w:line="560" w:lineRule="exact"/>
        <w:ind w:firstLine="560" w:firstLineChars="200"/>
        <w:jc w:val="left"/>
        <w:rPr>
          <w:rFonts w:ascii="仿宋_GB2312" w:hAnsi="仿宋_GB2312" w:eastAsia="仿宋_GB2312" w:cs="仿宋_GB2312"/>
          <w:sz w:val="28"/>
          <w:szCs w:val="28"/>
        </w:rPr>
      </w:pPr>
      <w:r>
        <w:rPr>
          <w:rFonts w:ascii="仿宋_GB2312" w:hAnsi="仿宋_GB2312" w:eastAsia="仿宋_GB2312" w:cs="仿宋_GB2312"/>
          <w:sz w:val="28"/>
          <w:szCs w:val="28"/>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零碳木结构技术体系及近零能耗建筑；</w:t>
      </w:r>
    </w:p>
    <w:p w14:paraId="230DE90A">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项目三单元为近零能耗建筑，通过光储直柔，高效光伏、自然通风机自然采光等技术实现近零能耗目标；项目四单元为木结构建筑，实现全生命周期零碳建筑；</w:t>
      </w:r>
    </w:p>
    <w:p w14:paraId="1B22F6C3">
      <w:pPr>
        <w:spacing w:line="560" w:lineRule="exact"/>
        <w:ind w:firstLine="560" w:firstLineChars="200"/>
        <w:jc w:val="left"/>
        <w:rPr>
          <w:rFonts w:ascii="仿宋_GB2312" w:hAnsi="仿宋_GB2312" w:eastAsia="仿宋_GB2312" w:cs="仿宋_GB2312"/>
          <w:sz w:val="28"/>
          <w:szCs w:val="28"/>
        </w:rPr>
      </w:pPr>
      <w:r>
        <w:rPr>
          <w:rFonts w:ascii="仿宋_GB2312" w:hAnsi="仿宋_GB2312" w:eastAsia="仿宋_GB2312" w:cs="仿宋_GB2312"/>
          <w:sz w:val="28"/>
          <w:szCs w:val="28"/>
        </w:rPr>
        <w:t>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建筑B</w:t>
      </w:r>
      <w:r>
        <w:rPr>
          <w:rFonts w:ascii="仿宋_GB2312" w:hAnsi="仿宋_GB2312" w:eastAsia="仿宋_GB2312" w:cs="仿宋_GB2312"/>
          <w:sz w:val="28"/>
          <w:szCs w:val="28"/>
        </w:rPr>
        <w:t>IPV</w:t>
      </w:r>
      <w:r>
        <w:rPr>
          <w:rFonts w:hint="eastAsia" w:ascii="仿宋_GB2312" w:hAnsi="仿宋_GB2312" w:eastAsia="仿宋_GB2312" w:cs="仿宋_GB2312"/>
          <w:sz w:val="28"/>
          <w:szCs w:val="28"/>
        </w:rPr>
        <w:t>光伏幕墙发电系统等等；</w:t>
      </w:r>
    </w:p>
    <w:p w14:paraId="6C36A084">
      <w:pPr>
        <w:spacing w:line="56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以及其他绿色技术措施：如</w:t>
      </w:r>
      <w:r>
        <w:rPr>
          <w:rFonts w:ascii="仿宋_GB2312" w:hAnsi="仿宋_GB2312" w:eastAsia="仿宋_GB2312" w:cs="仿宋_GB2312"/>
          <w:sz w:val="28"/>
          <w:szCs w:val="28"/>
        </w:rPr>
        <w:t>采取提高阳台防护高度等人员安全防护措施、采用安全玻璃、选用耐</w:t>
      </w:r>
      <w:r>
        <w:rPr>
          <w:rFonts w:hint="eastAsia" w:ascii="仿宋_GB2312" w:hAnsi="仿宋_GB2312" w:eastAsia="仿宋_GB2312" w:cs="仿宋_GB2312"/>
          <w:sz w:val="28"/>
          <w:szCs w:val="28"/>
        </w:rPr>
        <w:t>腐蚀</w:t>
      </w:r>
      <w:r>
        <w:rPr>
          <w:rFonts w:ascii="仿宋_GB2312" w:hAnsi="仿宋_GB2312" w:eastAsia="仿宋_GB2312" w:cs="仿宋_GB2312"/>
          <w:sz w:val="28"/>
          <w:szCs w:val="28"/>
        </w:rPr>
        <w:t>、抗老化的管线管材提升建筑安全耐久性能；采取选用绿色装修建材、设置地下室CO监测点控制室内及地下室污染物浓度，制定水池水箱消杀计划，设置隔声</w:t>
      </w:r>
      <w:r>
        <w:rPr>
          <w:rFonts w:hint="eastAsia" w:ascii="仿宋_GB2312" w:hAnsi="仿宋_GB2312" w:eastAsia="仿宋_GB2312" w:cs="仿宋_GB2312"/>
          <w:sz w:val="28"/>
          <w:szCs w:val="28"/>
        </w:rPr>
        <w:t>楼板</w:t>
      </w:r>
      <w:r>
        <w:rPr>
          <w:rFonts w:ascii="仿宋_GB2312" w:hAnsi="仿宋_GB2312" w:eastAsia="仿宋_GB2312" w:cs="仿宋_GB2312"/>
          <w:sz w:val="28"/>
          <w:szCs w:val="28"/>
        </w:rPr>
        <w:t>等隔声措施，优化建筑空间和平面布局，改善自然通风效果，保障人员健康舒适生活条件；项目选址周边具备完善公共条件，公交场站点</w:t>
      </w:r>
      <w:r>
        <w:rPr>
          <w:rFonts w:hint="eastAsia" w:ascii="仿宋_GB2312" w:hAnsi="仿宋_GB2312" w:eastAsia="仿宋_GB2312" w:cs="仿宋_GB2312"/>
          <w:sz w:val="28"/>
          <w:szCs w:val="28"/>
        </w:rPr>
        <w:t>步</w:t>
      </w:r>
      <w:r>
        <w:rPr>
          <w:rFonts w:ascii="仿宋_GB2312" w:hAnsi="仿宋_GB2312" w:eastAsia="仿宋_GB2312" w:cs="仿宋_GB2312"/>
          <w:sz w:val="28"/>
          <w:szCs w:val="28"/>
        </w:rPr>
        <w:t>行400m可达，项目内外公共区域满足无障碍出行要求，同时设置远传计量水表监测项目管控用水提供项目生活便利条件；项目在满足用地规划条件基础下，</w:t>
      </w:r>
      <w:r>
        <w:rPr>
          <w:rFonts w:hint="eastAsia" w:ascii="仿宋_GB2312" w:hAnsi="仿宋_GB2312" w:eastAsia="仿宋_GB2312" w:cs="仿宋_GB2312"/>
          <w:sz w:val="28"/>
          <w:szCs w:val="28"/>
        </w:rPr>
        <w:t>节约用地</w:t>
      </w:r>
      <w:r>
        <w:rPr>
          <w:rFonts w:ascii="仿宋_GB2312" w:hAnsi="仿宋_GB2312" w:eastAsia="仿宋_GB2312" w:cs="仿宋_GB2312"/>
          <w:sz w:val="28"/>
          <w:szCs w:val="28"/>
        </w:rPr>
        <w:t>，充分开发地上地下空间，同时优化项目节能设计，较执行节能标准围护结构热工性能提升</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0%，降低建筑空调负荷，同时采取一级节水器具、喷灌等高效节水灌溉方式节约资源；项目通过海绵城市规划场地地表，雨水径流控制率达70%，同时室外除夜间路灯照明外，不设泛光照明，节约电量减少光污染建设宜居环境</w:t>
      </w:r>
      <w:r>
        <w:rPr>
          <w:rFonts w:hint="eastAsia" w:ascii="仿宋_GB2312" w:hAnsi="仿宋_GB2312" w:eastAsia="仿宋_GB2312" w:cs="仿宋_GB2312"/>
          <w:sz w:val="28"/>
          <w:szCs w:val="28"/>
        </w:rPr>
        <w:t>等等措施</w:t>
      </w:r>
      <w:r>
        <w:rPr>
          <w:rFonts w:ascii="仿宋_GB2312" w:hAnsi="仿宋_GB2312" w:eastAsia="仿宋_GB2312" w:cs="仿宋_GB2312"/>
          <w:sz w:val="28"/>
          <w:szCs w:val="28"/>
        </w:rPr>
        <w:t>。</w:t>
      </w:r>
    </w:p>
    <w:p w14:paraId="72A4B869">
      <w:pPr>
        <w:spacing w:line="560" w:lineRule="exact"/>
        <w:ind w:firstLine="560" w:firstLineChars="200"/>
        <w:jc w:val="left"/>
        <w:rPr>
          <w:rFonts w:ascii="仿宋_GB2312" w:hAnsi="仿宋_GB2312" w:eastAsia="仿宋_GB2312" w:cs="仿宋_GB2312"/>
          <w:sz w:val="28"/>
          <w:szCs w:val="28"/>
        </w:rPr>
      </w:pPr>
      <w:r>
        <w:rPr>
          <w:rFonts w:ascii="仿宋_GB2312" w:hAnsi="仿宋_GB2312" w:eastAsia="仿宋_GB2312" w:cs="仿宋_GB2312"/>
          <w:sz w:val="28"/>
          <w:szCs w:val="28"/>
        </w:rPr>
        <w:t>各</w:t>
      </w:r>
      <w:r>
        <w:rPr>
          <w:rFonts w:hint="eastAsia" w:ascii="仿宋_GB2312" w:hAnsi="仿宋_GB2312" w:eastAsia="仿宋_GB2312" w:cs="仿宋_GB2312"/>
          <w:sz w:val="28"/>
          <w:szCs w:val="28"/>
        </w:rPr>
        <w:t>楼栋自评</w:t>
      </w:r>
      <w:r>
        <w:rPr>
          <w:rFonts w:ascii="仿宋_GB2312" w:hAnsi="仿宋_GB2312" w:eastAsia="仿宋_GB2312" w:cs="仿宋_GB2312"/>
          <w:sz w:val="28"/>
          <w:szCs w:val="28"/>
        </w:rPr>
        <w:t>得分情况见</w:t>
      </w:r>
      <w:r>
        <w:rPr>
          <w:rFonts w:hint="eastAsia" w:ascii="仿宋_GB2312" w:hAnsi="仿宋_GB2312" w:eastAsia="仿宋_GB2312" w:cs="仿宋_GB2312"/>
          <w:sz w:val="28"/>
          <w:szCs w:val="28"/>
        </w:rPr>
        <w:t>下表</w:t>
      </w:r>
      <w:r>
        <w:rPr>
          <w:rFonts w:ascii="仿宋_GB2312" w:hAnsi="仿宋_GB2312" w:eastAsia="仿宋_GB2312" w:cs="仿宋_GB2312"/>
          <w:sz w:val="28"/>
          <w:szCs w:val="28"/>
        </w:rPr>
        <w:t>：</w:t>
      </w:r>
    </w:p>
    <w:p w14:paraId="39279DC6">
      <w:pPr>
        <w:pStyle w:val="175"/>
      </w:pPr>
      <w:r>
        <w:t>表</w:t>
      </w:r>
      <w:r>
        <w:rPr>
          <w:rFonts w:hint="eastAsia"/>
        </w:rPr>
        <w:t>1-9 1栋一单元绿建得分情况</w:t>
      </w:r>
    </w:p>
    <w:tbl>
      <w:tblPr>
        <w:tblStyle w:val="54"/>
        <w:tblW w:w="0" w:type="auto"/>
        <w:tblInd w:w="2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235"/>
        <w:gridCol w:w="1014"/>
        <w:gridCol w:w="1013"/>
        <w:gridCol w:w="1013"/>
        <w:gridCol w:w="1013"/>
        <w:gridCol w:w="1013"/>
        <w:gridCol w:w="1018"/>
      </w:tblGrid>
      <w:tr w14:paraId="19F0C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81" w:type="dxa"/>
            <w:shd w:val="clear" w:color="auto" w:fill="FFFFFF"/>
            <w:noWrap w:val="0"/>
            <w:vAlign w:val="center"/>
          </w:tcPr>
          <w:p w14:paraId="36AAFB11">
            <w:pPr>
              <w:pStyle w:val="175"/>
              <w:spacing w:line="240" w:lineRule="auto"/>
            </w:pPr>
          </w:p>
        </w:tc>
        <w:tc>
          <w:tcPr>
            <w:tcW w:w="1235" w:type="dxa"/>
            <w:shd w:val="clear" w:color="auto" w:fill="FFFFFF"/>
            <w:noWrap w:val="0"/>
            <w:vAlign w:val="center"/>
          </w:tcPr>
          <w:p w14:paraId="504E587C">
            <w:pPr>
              <w:pStyle w:val="175"/>
              <w:spacing w:line="240" w:lineRule="auto"/>
            </w:pPr>
            <w:r>
              <w:t>控制项基础分值Q0</w:t>
            </w:r>
          </w:p>
        </w:tc>
        <w:tc>
          <w:tcPr>
            <w:tcW w:w="1014" w:type="dxa"/>
            <w:shd w:val="clear" w:color="auto" w:fill="FFFFFF"/>
            <w:noWrap w:val="0"/>
            <w:vAlign w:val="center"/>
          </w:tcPr>
          <w:p w14:paraId="4E4808B3">
            <w:pPr>
              <w:pStyle w:val="175"/>
              <w:spacing w:line="240" w:lineRule="auto"/>
            </w:pPr>
            <w:r>
              <w:t>安全耐久</w:t>
            </w:r>
          </w:p>
          <w:p w14:paraId="072AD937">
            <w:pPr>
              <w:pStyle w:val="175"/>
              <w:spacing w:line="240" w:lineRule="auto"/>
            </w:pPr>
            <w:r>
              <w:t>Q1</w:t>
            </w:r>
          </w:p>
        </w:tc>
        <w:tc>
          <w:tcPr>
            <w:tcW w:w="1013" w:type="dxa"/>
            <w:shd w:val="clear" w:color="auto" w:fill="FFFFFF"/>
            <w:noWrap w:val="0"/>
            <w:vAlign w:val="center"/>
          </w:tcPr>
          <w:p w14:paraId="34386CC2">
            <w:pPr>
              <w:pStyle w:val="175"/>
              <w:spacing w:line="240" w:lineRule="auto"/>
            </w:pPr>
            <w:r>
              <w:t>健康舒适</w:t>
            </w:r>
          </w:p>
          <w:p w14:paraId="092D0D75">
            <w:pPr>
              <w:pStyle w:val="175"/>
              <w:spacing w:line="240" w:lineRule="auto"/>
            </w:pPr>
            <w:r>
              <w:t>Q2</w:t>
            </w:r>
          </w:p>
        </w:tc>
        <w:tc>
          <w:tcPr>
            <w:tcW w:w="1013" w:type="dxa"/>
            <w:shd w:val="clear" w:color="auto" w:fill="FFFFFF"/>
            <w:noWrap w:val="0"/>
            <w:vAlign w:val="center"/>
          </w:tcPr>
          <w:p w14:paraId="69B3F892">
            <w:pPr>
              <w:pStyle w:val="175"/>
              <w:spacing w:line="240" w:lineRule="auto"/>
            </w:pPr>
            <w:r>
              <w:t>生活便利</w:t>
            </w:r>
          </w:p>
          <w:p w14:paraId="7266E85D">
            <w:pPr>
              <w:pStyle w:val="175"/>
              <w:spacing w:line="240" w:lineRule="auto"/>
            </w:pPr>
            <w:r>
              <w:t>Q3</w:t>
            </w:r>
          </w:p>
        </w:tc>
        <w:tc>
          <w:tcPr>
            <w:tcW w:w="1013" w:type="dxa"/>
            <w:shd w:val="clear" w:color="auto" w:fill="FFFFFF"/>
            <w:noWrap w:val="0"/>
            <w:vAlign w:val="center"/>
          </w:tcPr>
          <w:p w14:paraId="7EF22ADB">
            <w:pPr>
              <w:pStyle w:val="175"/>
              <w:spacing w:line="240" w:lineRule="auto"/>
            </w:pPr>
            <w:r>
              <w:t>资源节约</w:t>
            </w:r>
          </w:p>
          <w:p w14:paraId="432D793A">
            <w:pPr>
              <w:pStyle w:val="175"/>
              <w:spacing w:line="240" w:lineRule="auto"/>
            </w:pPr>
            <w:r>
              <w:t>Q4</w:t>
            </w:r>
          </w:p>
        </w:tc>
        <w:tc>
          <w:tcPr>
            <w:tcW w:w="1013" w:type="dxa"/>
            <w:shd w:val="clear" w:color="auto" w:fill="FFFFFF"/>
            <w:noWrap w:val="0"/>
            <w:vAlign w:val="center"/>
          </w:tcPr>
          <w:p w14:paraId="161E6AAC">
            <w:pPr>
              <w:pStyle w:val="175"/>
              <w:spacing w:line="240" w:lineRule="auto"/>
            </w:pPr>
            <w:r>
              <w:t>环境宜居</w:t>
            </w:r>
          </w:p>
          <w:p w14:paraId="4FD20014">
            <w:pPr>
              <w:pStyle w:val="175"/>
              <w:spacing w:line="240" w:lineRule="auto"/>
            </w:pPr>
            <w:r>
              <w:t>Q5</w:t>
            </w:r>
          </w:p>
        </w:tc>
        <w:tc>
          <w:tcPr>
            <w:tcW w:w="1018" w:type="dxa"/>
            <w:shd w:val="clear" w:color="auto" w:fill="FFFFFF"/>
            <w:noWrap w:val="0"/>
            <w:vAlign w:val="center"/>
          </w:tcPr>
          <w:p w14:paraId="320B12EB">
            <w:pPr>
              <w:pStyle w:val="175"/>
              <w:spacing w:line="240" w:lineRule="auto"/>
            </w:pPr>
            <w:r>
              <w:t>加分项</w:t>
            </w:r>
          </w:p>
          <w:p w14:paraId="2EE864BC">
            <w:pPr>
              <w:pStyle w:val="175"/>
              <w:spacing w:line="240" w:lineRule="auto"/>
            </w:pPr>
            <w:r>
              <w:t>QA</w:t>
            </w:r>
          </w:p>
        </w:tc>
      </w:tr>
      <w:tr w14:paraId="3E140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81" w:type="dxa"/>
            <w:shd w:val="clear" w:color="auto" w:fill="FFFFFF"/>
            <w:noWrap/>
            <w:vAlign w:val="bottom"/>
          </w:tcPr>
          <w:p w14:paraId="66DF2257">
            <w:pPr>
              <w:pStyle w:val="175"/>
              <w:spacing w:line="240" w:lineRule="auto"/>
            </w:pPr>
            <w:r>
              <w:t>预评价分值</w:t>
            </w:r>
          </w:p>
        </w:tc>
        <w:tc>
          <w:tcPr>
            <w:tcW w:w="1235" w:type="dxa"/>
            <w:shd w:val="clear" w:color="auto" w:fill="FFFFFF"/>
            <w:noWrap w:val="0"/>
            <w:vAlign w:val="center"/>
          </w:tcPr>
          <w:p w14:paraId="782CF125">
            <w:pPr>
              <w:pStyle w:val="175"/>
              <w:spacing w:line="240" w:lineRule="auto"/>
            </w:pPr>
            <w:r>
              <w:t>400</w:t>
            </w:r>
          </w:p>
        </w:tc>
        <w:tc>
          <w:tcPr>
            <w:tcW w:w="1014" w:type="dxa"/>
            <w:shd w:val="clear" w:color="auto" w:fill="FFFFFF"/>
            <w:noWrap w:val="0"/>
            <w:vAlign w:val="center"/>
          </w:tcPr>
          <w:p w14:paraId="4AAA96A5">
            <w:pPr>
              <w:pStyle w:val="175"/>
              <w:spacing w:line="240" w:lineRule="auto"/>
            </w:pPr>
            <w:r>
              <w:t>100</w:t>
            </w:r>
          </w:p>
        </w:tc>
        <w:tc>
          <w:tcPr>
            <w:tcW w:w="1013" w:type="dxa"/>
            <w:shd w:val="clear" w:color="auto" w:fill="FFFFFF"/>
            <w:noWrap w:val="0"/>
            <w:vAlign w:val="center"/>
          </w:tcPr>
          <w:p w14:paraId="721CDB6D">
            <w:pPr>
              <w:pStyle w:val="175"/>
              <w:spacing w:line="240" w:lineRule="auto"/>
            </w:pPr>
            <w:r>
              <w:t>100</w:t>
            </w:r>
          </w:p>
        </w:tc>
        <w:tc>
          <w:tcPr>
            <w:tcW w:w="1013" w:type="dxa"/>
            <w:shd w:val="clear" w:color="auto" w:fill="FFFFFF"/>
            <w:noWrap w:val="0"/>
            <w:vAlign w:val="center"/>
          </w:tcPr>
          <w:p w14:paraId="5409CC64">
            <w:pPr>
              <w:pStyle w:val="175"/>
              <w:spacing w:line="240" w:lineRule="auto"/>
            </w:pPr>
            <w:r>
              <w:t>70</w:t>
            </w:r>
          </w:p>
        </w:tc>
        <w:tc>
          <w:tcPr>
            <w:tcW w:w="1013" w:type="dxa"/>
            <w:shd w:val="clear" w:color="auto" w:fill="FFFFFF"/>
            <w:noWrap w:val="0"/>
            <w:vAlign w:val="center"/>
          </w:tcPr>
          <w:p w14:paraId="283E1535">
            <w:pPr>
              <w:pStyle w:val="175"/>
              <w:spacing w:line="240" w:lineRule="auto"/>
            </w:pPr>
            <w:r>
              <w:t>200</w:t>
            </w:r>
          </w:p>
        </w:tc>
        <w:tc>
          <w:tcPr>
            <w:tcW w:w="1013" w:type="dxa"/>
            <w:shd w:val="clear" w:color="auto" w:fill="FFFFFF"/>
            <w:noWrap w:val="0"/>
            <w:vAlign w:val="center"/>
          </w:tcPr>
          <w:p w14:paraId="6FCF0E62">
            <w:pPr>
              <w:pStyle w:val="175"/>
              <w:spacing w:line="240" w:lineRule="auto"/>
            </w:pPr>
            <w:r>
              <w:t>100</w:t>
            </w:r>
          </w:p>
        </w:tc>
        <w:tc>
          <w:tcPr>
            <w:tcW w:w="1018" w:type="dxa"/>
            <w:shd w:val="clear" w:color="auto" w:fill="FFFFFF"/>
            <w:noWrap w:val="0"/>
            <w:vAlign w:val="center"/>
          </w:tcPr>
          <w:p w14:paraId="3DE65E8E">
            <w:pPr>
              <w:pStyle w:val="175"/>
              <w:spacing w:line="240" w:lineRule="auto"/>
            </w:pPr>
            <w:r>
              <w:t>100</w:t>
            </w:r>
          </w:p>
        </w:tc>
      </w:tr>
      <w:tr w14:paraId="4A32D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81" w:type="dxa"/>
            <w:shd w:val="clear" w:color="auto" w:fill="FFFFFF"/>
            <w:noWrap/>
            <w:vAlign w:val="center"/>
          </w:tcPr>
          <w:p w14:paraId="60ABAF85">
            <w:pPr>
              <w:pStyle w:val="175"/>
              <w:spacing w:line="240" w:lineRule="auto"/>
            </w:pPr>
            <w:r>
              <w:t>自评得分</w:t>
            </w:r>
          </w:p>
        </w:tc>
        <w:tc>
          <w:tcPr>
            <w:tcW w:w="1235" w:type="dxa"/>
            <w:shd w:val="clear" w:color="auto" w:fill="FFFFFF"/>
            <w:noWrap w:val="0"/>
            <w:vAlign w:val="top"/>
          </w:tcPr>
          <w:p w14:paraId="17538951">
            <w:pPr>
              <w:pStyle w:val="175"/>
              <w:spacing w:line="240" w:lineRule="auto"/>
            </w:pPr>
            <w:r>
              <w:t>400</w:t>
            </w:r>
          </w:p>
        </w:tc>
        <w:tc>
          <w:tcPr>
            <w:tcW w:w="1014" w:type="dxa"/>
            <w:shd w:val="clear" w:color="auto" w:fill="FFFFFF"/>
            <w:noWrap w:val="0"/>
            <w:vAlign w:val="center"/>
          </w:tcPr>
          <w:p w14:paraId="54E25D3B">
            <w:pPr>
              <w:pStyle w:val="175"/>
              <w:spacing w:line="240" w:lineRule="auto"/>
            </w:pPr>
            <w:r>
              <w:rPr>
                <w:rFonts w:hint="eastAsia"/>
              </w:rPr>
              <w:t>93</w:t>
            </w:r>
          </w:p>
        </w:tc>
        <w:tc>
          <w:tcPr>
            <w:tcW w:w="1013" w:type="dxa"/>
            <w:shd w:val="clear" w:color="auto" w:fill="FFFFFF"/>
            <w:noWrap w:val="0"/>
            <w:vAlign w:val="center"/>
          </w:tcPr>
          <w:p w14:paraId="3B3DB2FB">
            <w:pPr>
              <w:pStyle w:val="175"/>
              <w:spacing w:line="240" w:lineRule="auto"/>
            </w:pPr>
            <w:r>
              <w:rPr>
                <w:rFonts w:hint="eastAsia"/>
              </w:rPr>
              <w:t>82</w:t>
            </w:r>
          </w:p>
        </w:tc>
        <w:tc>
          <w:tcPr>
            <w:tcW w:w="1013" w:type="dxa"/>
            <w:shd w:val="clear" w:color="auto" w:fill="FFFFFF"/>
            <w:noWrap w:val="0"/>
            <w:vAlign w:val="center"/>
          </w:tcPr>
          <w:p w14:paraId="010D789B">
            <w:pPr>
              <w:pStyle w:val="175"/>
              <w:spacing w:line="240" w:lineRule="auto"/>
            </w:pPr>
            <w:r>
              <w:rPr>
                <w:rFonts w:hint="eastAsia"/>
              </w:rPr>
              <w:t>60</w:t>
            </w:r>
          </w:p>
        </w:tc>
        <w:tc>
          <w:tcPr>
            <w:tcW w:w="1013" w:type="dxa"/>
            <w:shd w:val="clear" w:color="auto" w:fill="FFFFFF"/>
            <w:noWrap w:val="0"/>
            <w:vAlign w:val="center"/>
          </w:tcPr>
          <w:p w14:paraId="72582E8B">
            <w:pPr>
              <w:pStyle w:val="175"/>
              <w:spacing w:line="240" w:lineRule="auto"/>
            </w:pPr>
            <w:r>
              <w:rPr>
                <w:rFonts w:hint="eastAsia"/>
              </w:rPr>
              <w:t>147</w:t>
            </w:r>
          </w:p>
        </w:tc>
        <w:tc>
          <w:tcPr>
            <w:tcW w:w="1013" w:type="dxa"/>
            <w:shd w:val="clear" w:color="auto" w:fill="FFFFFF"/>
            <w:noWrap w:val="0"/>
            <w:vAlign w:val="center"/>
          </w:tcPr>
          <w:p w14:paraId="3E417F89">
            <w:pPr>
              <w:pStyle w:val="175"/>
              <w:spacing w:line="240" w:lineRule="auto"/>
            </w:pPr>
            <w:r>
              <w:rPr>
                <w:rFonts w:hint="eastAsia"/>
              </w:rPr>
              <w:t>57</w:t>
            </w:r>
          </w:p>
        </w:tc>
        <w:tc>
          <w:tcPr>
            <w:tcW w:w="1018" w:type="dxa"/>
            <w:shd w:val="clear" w:color="auto" w:fill="FFFFFF"/>
            <w:noWrap w:val="0"/>
            <w:vAlign w:val="center"/>
          </w:tcPr>
          <w:p w14:paraId="0EA125C7">
            <w:pPr>
              <w:pStyle w:val="175"/>
              <w:spacing w:line="240" w:lineRule="auto"/>
            </w:pPr>
            <w:r>
              <w:rPr>
                <w:rFonts w:hint="eastAsia"/>
              </w:rPr>
              <w:t>22</w:t>
            </w:r>
          </w:p>
        </w:tc>
      </w:tr>
      <w:tr w14:paraId="05F74E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81" w:type="dxa"/>
            <w:shd w:val="clear" w:color="auto" w:fill="FFFFFF"/>
            <w:noWrap/>
            <w:vAlign w:val="bottom"/>
          </w:tcPr>
          <w:p w14:paraId="347D54E0">
            <w:pPr>
              <w:pStyle w:val="175"/>
              <w:spacing w:line="240" w:lineRule="auto"/>
            </w:pPr>
            <w:r>
              <w:t>总得分Q</w:t>
            </w:r>
          </w:p>
        </w:tc>
        <w:tc>
          <w:tcPr>
            <w:tcW w:w="7319" w:type="dxa"/>
            <w:gridSpan w:val="7"/>
            <w:shd w:val="clear" w:color="auto" w:fill="FFFFFF"/>
            <w:noWrap w:val="0"/>
            <w:vAlign w:val="top"/>
          </w:tcPr>
          <w:p w14:paraId="3E346743">
            <w:pPr>
              <w:pStyle w:val="175"/>
              <w:spacing w:line="240" w:lineRule="auto"/>
            </w:pPr>
            <w:r>
              <w:rPr>
                <w:rFonts w:hint="eastAsia"/>
              </w:rPr>
              <w:t>86.1</w:t>
            </w:r>
          </w:p>
        </w:tc>
      </w:tr>
      <w:tr w14:paraId="04100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81" w:type="dxa"/>
            <w:shd w:val="clear" w:color="auto" w:fill="FFFFFF"/>
            <w:noWrap/>
            <w:vAlign w:val="bottom"/>
          </w:tcPr>
          <w:p w14:paraId="66DDEE88">
            <w:pPr>
              <w:pStyle w:val="175"/>
              <w:spacing w:line="240" w:lineRule="auto"/>
            </w:pPr>
            <w:r>
              <w:t>自评星级</w:t>
            </w:r>
          </w:p>
        </w:tc>
        <w:tc>
          <w:tcPr>
            <w:tcW w:w="7319" w:type="dxa"/>
            <w:gridSpan w:val="7"/>
            <w:shd w:val="clear" w:color="auto" w:fill="FFFFFF"/>
            <w:noWrap w:val="0"/>
            <w:vAlign w:val="top"/>
          </w:tcPr>
          <w:p w14:paraId="0D55A4F3">
            <w:pPr>
              <w:pStyle w:val="175"/>
              <w:spacing w:line="240" w:lineRule="auto"/>
            </w:pPr>
            <w:r>
              <w:rPr>
                <w:rFonts w:hint="eastAsia"/>
              </w:rPr>
              <w:t>三</w:t>
            </w:r>
            <w:r>
              <w:t>星级</w:t>
            </w:r>
          </w:p>
        </w:tc>
      </w:tr>
    </w:tbl>
    <w:p w14:paraId="745294D4">
      <w:pPr>
        <w:pStyle w:val="175"/>
      </w:pPr>
    </w:p>
    <w:p w14:paraId="6CFF444D">
      <w:pPr>
        <w:pStyle w:val="175"/>
      </w:pPr>
      <w:r>
        <w:t>表</w:t>
      </w:r>
      <w:r>
        <w:rPr>
          <w:rFonts w:hint="eastAsia"/>
        </w:rPr>
        <w:t>1-10 1栋二</w:t>
      </w:r>
      <w:r>
        <w:rPr>
          <w:rFonts w:hint="eastAsia"/>
          <w:lang w:eastAsia="zh-CN"/>
        </w:rPr>
        <w:t>、</w:t>
      </w:r>
      <w:r>
        <w:rPr>
          <w:rFonts w:hint="eastAsia"/>
        </w:rPr>
        <w:t>五</w:t>
      </w:r>
      <w:r>
        <w:rPr>
          <w:rFonts w:hint="eastAsia"/>
          <w:lang w:eastAsia="zh-CN"/>
        </w:rPr>
        <w:t>、</w:t>
      </w:r>
      <w:r>
        <w:rPr>
          <w:rFonts w:hint="eastAsia"/>
        </w:rPr>
        <w:t>八</w:t>
      </w:r>
      <w:r>
        <w:rPr>
          <w:rFonts w:hint="eastAsia"/>
          <w:lang w:eastAsia="zh-CN"/>
        </w:rPr>
        <w:t>、</w:t>
      </w:r>
      <w:r>
        <w:rPr>
          <w:rFonts w:hint="eastAsia"/>
        </w:rPr>
        <w:t>九单元绿建得分情况</w:t>
      </w:r>
    </w:p>
    <w:tbl>
      <w:tblPr>
        <w:tblStyle w:val="54"/>
        <w:tblW w:w="0" w:type="auto"/>
        <w:tblInd w:w="2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235"/>
        <w:gridCol w:w="1014"/>
        <w:gridCol w:w="1013"/>
        <w:gridCol w:w="1013"/>
        <w:gridCol w:w="1013"/>
        <w:gridCol w:w="1013"/>
        <w:gridCol w:w="1018"/>
      </w:tblGrid>
      <w:tr w14:paraId="077E6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81" w:type="dxa"/>
            <w:shd w:val="clear" w:color="auto" w:fill="FFFFFF"/>
            <w:noWrap w:val="0"/>
            <w:vAlign w:val="center"/>
          </w:tcPr>
          <w:p w14:paraId="2A3AC237">
            <w:pPr>
              <w:pStyle w:val="175"/>
              <w:spacing w:line="240" w:lineRule="auto"/>
            </w:pPr>
          </w:p>
        </w:tc>
        <w:tc>
          <w:tcPr>
            <w:tcW w:w="1235" w:type="dxa"/>
            <w:shd w:val="clear" w:color="auto" w:fill="FFFFFF"/>
            <w:noWrap w:val="0"/>
            <w:vAlign w:val="center"/>
          </w:tcPr>
          <w:p w14:paraId="02A37AB7">
            <w:pPr>
              <w:pStyle w:val="175"/>
              <w:spacing w:line="240" w:lineRule="auto"/>
            </w:pPr>
            <w:r>
              <w:t>控制项基础分值Q0</w:t>
            </w:r>
          </w:p>
        </w:tc>
        <w:tc>
          <w:tcPr>
            <w:tcW w:w="1014" w:type="dxa"/>
            <w:shd w:val="clear" w:color="auto" w:fill="FFFFFF"/>
            <w:noWrap w:val="0"/>
            <w:vAlign w:val="center"/>
          </w:tcPr>
          <w:p w14:paraId="479CE0FA">
            <w:pPr>
              <w:pStyle w:val="175"/>
              <w:spacing w:line="240" w:lineRule="auto"/>
            </w:pPr>
            <w:r>
              <w:t>安全耐久</w:t>
            </w:r>
          </w:p>
          <w:p w14:paraId="46887339">
            <w:pPr>
              <w:pStyle w:val="175"/>
              <w:spacing w:line="240" w:lineRule="auto"/>
            </w:pPr>
            <w:r>
              <w:t>Q1</w:t>
            </w:r>
          </w:p>
        </w:tc>
        <w:tc>
          <w:tcPr>
            <w:tcW w:w="1013" w:type="dxa"/>
            <w:shd w:val="clear" w:color="auto" w:fill="FFFFFF"/>
            <w:noWrap w:val="0"/>
            <w:vAlign w:val="center"/>
          </w:tcPr>
          <w:p w14:paraId="035B2481">
            <w:pPr>
              <w:pStyle w:val="175"/>
              <w:spacing w:line="240" w:lineRule="auto"/>
            </w:pPr>
            <w:r>
              <w:t>健康舒适</w:t>
            </w:r>
          </w:p>
          <w:p w14:paraId="3E33B9D2">
            <w:pPr>
              <w:pStyle w:val="175"/>
              <w:spacing w:line="240" w:lineRule="auto"/>
            </w:pPr>
            <w:r>
              <w:t>Q2</w:t>
            </w:r>
          </w:p>
        </w:tc>
        <w:tc>
          <w:tcPr>
            <w:tcW w:w="1013" w:type="dxa"/>
            <w:shd w:val="clear" w:color="auto" w:fill="FFFFFF"/>
            <w:noWrap w:val="0"/>
            <w:vAlign w:val="center"/>
          </w:tcPr>
          <w:p w14:paraId="49DEDBD5">
            <w:pPr>
              <w:pStyle w:val="175"/>
              <w:spacing w:line="240" w:lineRule="auto"/>
            </w:pPr>
            <w:r>
              <w:t>生活便利</w:t>
            </w:r>
          </w:p>
          <w:p w14:paraId="7B12E2B5">
            <w:pPr>
              <w:pStyle w:val="175"/>
              <w:spacing w:line="240" w:lineRule="auto"/>
            </w:pPr>
            <w:r>
              <w:t>Q3</w:t>
            </w:r>
          </w:p>
        </w:tc>
        <w:tc>
          <w:tcPr>
            <w:tcW w:w="1013" w:type="dxa"/>
            <w:shd w:val="clear" w:color="auto" w:fill="FFFFFF"/>
            <w:noWrap w:val="0"/>
            <w:vAlign w:val="center"/>
          </w:tcPr>
          <w:p w14:paraId="02BC9E3D">
            <w:pPr>
              <w:pStyle w:val="175"/>
              <w:spacing w:line="240" w:lineRule="auto"/>
            </w:pPr>
            <w:r>
              <w:t>资源节约</w:t>
            </w:r>
          </w:p>
          <w:p w14:paraId="2F2D4150">
            <w:pPr>
              <w:pStyle w:val="175"/>
              <w:spacing w:line="240" w:lineRule="auto"/>
            </w:pPr>
            <w:r>
              <w:t>Q4</w:t>
            </w:r>
          </w:p>
        </w:tc>
        <w:tc>
          <w:tcPr>
            <w:tcW w:w="1013" w:type="dxa"/>
            <w:shd w:val="clear" w:color="auto" w:fill="FFFFFF"/>
            <w:noWrap w:val="0"/>
            <w:vAlign w:val="center"/>
          </w:tcPr>
          <w:p w14:paraId="4749867F">
            <w:pPr>
              <w:pStyle w:val="175"/>
              <w:spacing w:line="240" w:lineRule="auto"/>
            </w:pPr>
            <w:r>
              <w:t>环境宜居</w:t>
            </w:r>
          </w:p>
          <w:p w14:paraId="4BC64039">
            <w:pPr>
              <w:pStyle w:val="175"/>
              <w:spacing w:line="240" w:lineRule="auto"/>
            </w:pPr>
            <w:r>
              <w:t>Q5</w:t>
            </w:r>
          </w:p>
        </w:tc>
        <w:tc>
          <w:tcPr>
            <w:tcW w:w="1018" w:type="dxa"/>
            <w:shd w:val="clear" w:color="auto" w:fill="FFFFFF"/>
            <w:noWrap w:val="0"/>
            <w:vAlign w:val="center"/>
          </w:tcPr>
          <w:p w14:paraId="053C56F5">
            <w:pPr>
              <w:pStyle w:val="175"/>
              <w:spacing w:line="240" w:lineRule="auto"/>
            </w:pPr>
            <w:r>
              <w:t>加分项</w:t>
            </w:r>
          </w:p>
          <w:p w14:paraId="72E9C39B">
            <w:pPr>
              <w:pStyle w:val="175"/>
              <w:spacing w:line="240" w:lineRule="auto"/>
            </w:pPr>
            <w:r>
              <w:t>QA</w:t>
            </w:r>
          </w:p>
        </w:tc>
      </w:tr>
      <w:tr w14:paraId="51803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81" w:type="dxa"/>
            <w:shd w:val="clear" w:color="auto" w:fill="FFFFFF"/>
            <w:noWrap/>
            <w:vAlign w:val="bottom"/>
          </w:tcPr>
          <w:p w14:paraId="52D9FBF6">
            <w:pPr>
              <w:pStyle w:val="175"/>
              <w:spacing w:line="240" w:lineRule="auto"/>
            </w:pPr>
            <w:r>
              <w:t>预评价分值</w:t>
            </w:r>
          </w:p>
        </w:tc>
        <w:tc>
          <w:tcPr>
            <w:tcW w:w="1235" w:type="dxa"/>
            <w:shd w:val="clear" w:color="auto" w:fill="FFFFFF"/>
            <w:noWrap w:val="0"/>
            <w:vAlign w:val="center"/>
          </w:tcPr>
          <w:p w14:paraId="269AB8BB">
            <w:pPr>
              <w:pStyle w:val="175"/>
              <w:spacing w:line="240" w:lineRule="auto"/>
            </w:pPr>
            <w:r>
              <w:t>400</w:t>
            </w:r>
          </w:p>
        </w:tc>
        <w:tc>
          <w:tcPr>
            <w:tcW w:w="1014" w:type="dxa"/>
            <w:shd w:val="clear" w:color="auto" w:fill="FFFFFF"/>
            <w:noWrap w:val="0"/>
            <w:vAlign w:val="center"/>
          </w:tcPr>
          <w:p w14:paraId="318C67D2">
            <w:pPr>
              <w:pStyle w:val="175"/>
              <w:spacing w:line="240" w:lineRule="auto"/>
            </w:pPr>
            <w:r>
              <w:t>100</w:t>
            </w:r>
          </w:p>
        </w:tc>
        <w:tc>
          <w:tcPr>
            <w:tcW w:w="1013" w:type="dxa"/>
            <w:shd w:val="clear" w:color="auto" w:fill="FFFFFF"/>
            <w:noWrap w:val="0"/>
            <w:vAlign w:val="center"/>
          </w:tcPr>
          <w:p w14:paraId="194F052E">
            <w:pPr>
              <w:pStyle w:val="175"/>
              <w:spacing w:line="240" w:lineRule="auto"/>
            </w:pPr>
            <w:r>
              <w:t>100</w:t>
            </w:r>
          </w:p>
        </w:tc>
        <w:tc>
          <w:tcPr>
            <w:tcW w:w="1013" w:type="dxa"/>
            <w:shd w:val="clear" w:color="auto" w:fill="FFFFFF"/>
            <w:noWrap w:val="0"/>
            <w:vAlign w:val="center"/>
          </w:tcPr>
          <w:p w14:paraId="3927DEEF">
            <w:pPr>
              <w:pStyle w:val="175"/>
              <w:spacing w:line="240" w:lineRule="auto"/>
            </w:pPr>
            <w:r>
              <w:t>70</w:t>
            </w:r>
          </w:p>
        </w:tc>
        <w:tc>
          <w:tcPr>
            <w:tcW w:w="1013" w:type="dxa"/>
            <w:shd w:val="clear" w:color="auto" w:fill="FFFFFF"/>
            <w:noWrap w:val="0"/>
            <w:vAlign w:val="center"/>
          </w:tcPr>
          <w:p w14:paraId="52B7191E">
            <w:pPr>
              <w:pStyle w:val="175"/>
              <w:spacing w:line="240" w:lineRule="auto"/>
            </w:pPr>
            <w:r>
              <w:t>200</w:t>
            </w:r>
          </w:p>
        </w:tc>
        <w:tc>
          <w:tcPr>
            <w:tcW w:w="1013" w:type="dxa"/>
            <w:shd w:val="clear" w:color="auto" w:fill="FFFFFF"/>
            <w:noWrap w:val="0"/>
            <w:vAlign w:val="center"/>
          </w:tcPr>
          <w:p w14:paraId="2204B51B">
            <w:pPr>
              <w:pStyle w:val="175"/>
              <w:spacing w:line="240" w:lineRule="auto"/>
            </w:pPr>
            <w:r>
              <w:t>100</w:t>
            </w:r>
          </w:p>
        </w:tc>
        <w:tc>
          <w:tcPr>
            <w:tcW w:w="1018" w:type="dxa"/>
            <w:shd w:val="clear" w:color="auto" w:fill="FFFFFF"/>
            <w:noWrap w:val="0"/>
            <w:vAlign w:val="center"/>
          </w:tcPr>
          <w:p w14:paraId="6645B1A3">
            <w:pPr>
              <w:pStyle w:val="175"/>
              <w:spacing w:line="240" w:lineRule="auto"/>
            </w:pPr>
            <w:r>
              <w:t>100</w:t>
            </w:r>
          </w:p>
        </w:tc>
      </w:tr>
      <w:tr w14:paraId="2E0B7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81" w:type="dxa"/>
            <w:shd w:val="clear" w:color="auto" w:fill="FFFFFF"/>
            <w:noWrap/>
            <w:vAlign w:val="center"/>
          </w:tcPr>
          <w:p w14:paraId="51F9432E">
            <w:pPr>
              <w:pStyle w:val="175"/>
              <w:spacing w:line="240" w:lineRule="auto"/>
            </w:pPr>
            <w:r>
              <w:t>自评得分</w:t>
            </w:r>
          </w:p>
        </w:tc>
        <w:tc>
          <w:tcPr>
            <w:tcW w:w="1235" w:type="dxa"/>
            <w:shd w:val="clear" w:color="auto" w:fill="FFFFFF"/>
            <w:noWrap w:val="0"/>
            <w:vAlign w:val="top"/>
          </w:tcPr>
          <w:p w14:paraId="56BDE50E">
            <w:pPr>
              <w:pStyle w:val="175"/>
              <w:spacing w:line="240" w:lineRule="auto"/>
            </w:pPr>
            <w:r>
              <w:t>400</w:t>
            </w:r>
          </w:p>
        </w:tc>
        <w:tc>
          <w:tcPr>
            <w:tcW w:w="1014" w:type="dxa"/>
            <w:shd w:val="clear" w:color="auto" w:fill="FFFFFF"/>
            <w:noWrap w:val="0"/>
            <w:vAlign w:val="center"/>
          </w:tcPr>
          <w:p w14:paraId="4890785F">
            <w:pPr>
              <w:pStyle w:val="175"/>
              <w:spacing w:line="240" w:lineRule="auto"/>
            </w:pPr>
            <w:r>
              <w:rPr>
                <w:rFonts w:hint="eastAsia"/>
              </w:rPr>
              <w:t>83</w:t>
            </w:r>
          </w:p>
        </w:tc>
        <w:tc>
          <w:tcPr>
            <w:tcW w:w="1013" w:type="dxa"/>
            <w:shd w:val="clear" w:color="auto" w:fill="FFFFFF"/>
            <w:noWrap w:val="0"/>
            <w:vAlign w:val="center"/>
          </w:tcPr>
          <w:p w14:paraId="71835CAE">
            <w:pPr>
              <w:pStyle w:val="175"/>
              <w:spacing w:line="240" w:lineRule="auto"/>
            </w:pPr>
            <w:r>
              <w:rPr>
                <w:rFonts w:hint="eastAsia"/>
              </w:rPr>
              <w:t>84</w:t>
            </w:r>
          </w:p>
        </w:tc>
        <w:tc>
          <w:tcPr>
            <w:tcW w:w="1013" w:type="dxa"/>
            <w:shd w:val="clear" w:color="auto" w:fill="FFFFFF"/>
            <w:noWrap w:val="0"/>
            <w:vAlign w:val="center"/>
          </w:tcPr>
          <w:p w14:paraId="5420073C">
            <w:pPr>
              <w:pStyle w:val="175"/>
              <w:spacing w:line="240" w:lineRule="auto"/>
            </w:pPr>
            <w:r>
              <w:rPr>
                <w:rFonts w:hint="eastAsia"/>
              </w:rPr>
              <w:t>63</w:t>
            </w:r>
          </w:p>
        </w:tc>
        <w:tc>
          <w:tcPr>
            <w:tcW w:w="1013" w:type="dxa"/>
            <w:shd w:val="clear" w:color="auto" w:fill="FFFFFF"/>
            <w:noWrap w:val="0"/>
            <w:vAlign w:val="center"/>
          </w:tcPr>
          <w:p w14:paraId="08623B95">
            <w:pPr>
              <w:pStyle w:val="175"/>
              <w:spacing w:line="240" w:lineRule="auto"/>
            </w:pPr>
            <w:r>
              <w:rPr>
                <w:rFonts w:hint="eastAsia"/>
              </w:rPr>
              <w:t>146</w:t>
            </w:r>
          </w:p>
        </w:tc>
        <w:tc>
          <w:tcPr>
            <w:tcW w:w="1013" w:type="dxa"/>
            <w:shd w:val="clear" w:color="auto" w:fill="FFFFFF"/>
            <w:noWrap w:val="0"/>
            <w:vAlign w:val="center"/>
          </w:tcPr>
          <w:p w14:paraId="1BFBD78B">
            <w:pPr>
              <w:pStyle w:val="175"/>
              <w:spacing w:line="240" w:lineRule="auto"/>
            </w:pPr>
            <w:r>
              <w:rPr>
                <w:rFonts w:hint="eastAsia"/>
              </w:rPr>
              <w:t>57</w:t>
            </w:r>
          </w:p>
        </w:tc>
        <w:tc>
          <w:tcPr>
            <w:tcW w:w="1018" w:type="dxa"/>
            <w:shd w:val="clear" w:color="auto" w:fill="FFFFFF"/>
            <w:noWrap w:val="0"/>
            <w:vAlign w:val="center"/>
          </w:tcPr>
          <w:p w14:paraId="4451D9F8">
            <w:pPr>
              <w:pStyle w:val="175"/>
              <w:spacing w:line="240" w:lineRule="auto"/>
            </w:pPr>
            <w:r>
              <w:rPr>
                <w:rFonts w:hint="eastAsia"/>
              </w:rPr>
              <w:t>22</w:t>
            </w:r>
          </w:p>
        </w:tc>
      </w:tr>
      <w:tr w14:paraId="6A8B4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81" w:type="dxa"/>
            <w:shd w:val="clear" w:color="auto" w:fill="FFFFFF"/>
            <w:noWrap/>
            <w:vAlign w:val="bottom"/>
          </w:tcPr>
          <w:p w14:paraId="04877BD5">
            <w:pPr>
              <w:pStyle w:val="175"/>
              <w:spacing w:line="240" w:lineRule="auto"/>
            </w:pPr>
            <w:r>
              <w:t>总得分Q</w:t>
            </w:r>
          </w:p>
        </w:tc>
        <w:tc>
          <w:tcPr>
            <w:tcW w:w="7319" w:type="dxa"/>
            <w:gridSpan w:val="7"/>
            <w:shd w:val="clear" w:color="auto" w:fill="FFFFFF"/>
            <w:noWrap w:val="0"/>
            <w:vAlign w:val="top"/>
          </w:tcPr>
          <w:p w14:paraId="53D07453">
            <w:pPr>
              <w:pStyle w:val="175"/>
              <w:spacing w:line="240" w:lineRule="auto"/>
            </w:pPr>
            <w:r>
              <w:rPr>
                <w:rFonts w:hint="eastAsia"/>
              </w:rPr>
              <w:t>85.5</w:t>
            </w:r>
          </w:p>
        </w:tc>
      </w:tr>
      <w:tr w14:paraId="656D9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81" w:type="dxa"/>
            <w:shd w:val="clear" w:color="auto" w:fill="FFFFFF"/>
            <w:noWrap/>
            <w:vAlign w:val="bottom"/>
          </w:tcPr>
          <w:p w14:paraId="59851874">
            <w:pPr>
              <w:pStyle w:val="175"/>
              <w:spacing w:line="240" w:lineRule="auto"/>
            </w:pPr>
            <w:r>
              <w:t>自评星级</w:t>
            </w:r>
          </w:p>
        </w:tc>
        <w:tc>
          <w:tcPr>
            <w:tcW w:w="7319" w:type="dxa"/>
            <w:gridSpan w:val="7"/>
            <w:shd w:val="clear" w:color="auto" w:fill="FFFFFF"/>
            <w:noWrap w:val="0"/>
            <w:vAlign w:val="top"/>
          </w:tcPr>
          <w:p w14:paraId="183B48D1">
            <w:pPr>
              <w:pStyle w:val="175"/>
              <w:spacing w:line="240" w:lineRule="auto"/>
            </w:pPr>
            <w:r>
              <w:rPr>
                <w:rFonts w:hint="eastAsia"/>
              </w:rPr>
              <w:t>三</w:t>
            </w:r>
            <w:r>
              <w:t>星级</w:t>
            </w:r>
          </w:p>
        </w:tc>
      </w:tr>
    </w:tbl>
    <w:p w14:paraId="7B8FE148">
      <w:pPr>
        <w:pStyle w:val="175"/>
      </w:pPr>
    </w:p>
    <w:p w14:paraId="61C3AA6C">
      <w:pPr>
        <w:pStyle w:val="175"/>
      </w:pPr>
      <w:r>
        <w:t>表</w:t>
      </w:r>
      <w:r>
        <w:rPr>
          <w:rFonts w:hint="eastAsia"/>
        </w:rPr>
        <w:t>1-11 1栋三、四单元绿建得分情况</w:t>
      </w:r>
    </w:p>
    <w:tbl>
      <w:tblPr>
        <w:tblStyle w:val="54"/>
        <w:tblW w:w="0" w:type="auto"/>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35"/>
        <w:gridCol w:w="1014"/>
        <w:gridCol w:w="1014"/>
        <w:gridCol w:w="1014"/>
        <w:gridCol w:w="1014"/>
        <w:gridCol w:w="1014"/>
        <w:gridCol w:w="1014"/>
      </w:tblGrid>
      <w:tr w14:paraId="56F2E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03" w:type="dxa"/>
            <w:shd w:val="clear" w:color="auto" w:fill="FFFFFF"/>
            <w:noWrap w:val="0"/>
            <w:vAlign w:val="center"/>
          </w:tcPr>
          <w:p w14:paraId="4165295C">
            <w:pPr>
              <w:pStyle w:val="175"/>
              <w:spacing w:line="240" w:lineRule="auto"/>
            </w:pPr>
          </w:p>
        </w:tc>
        <w:tc>
          <w:tcPr>
            <w:tcW w:w="1235" w:type="dxa"/>
            <w:shd w:val="clear" w:color="auto" w:fill="FFFFFF"/>
            <w:noWrap w:val="0"/>
            <w:vAlign w:val="center"/>
          </w:tcPr>
          <w:p w14:paraId="0829D7E2">
            <w:pPr>
              <w:pStyle w:val="175"/>
              <w:spacing w:line="240" w:lineRule="auto"/>
            </w:pPr>
            <w:r>
              <w:t>控制项基础分值Q0</w:t>
            </w:r>
          </w:p>
        </w:tc>
        <w:tc>
          <w:tcPr>
            <w:tcW w:w="1014" w:type="dxa"/>
            <w:shd w:val="clear" w:color="auto" w:fill="FFFFFF"/>
            <w:noWrap w:val="0"/>
            <w:vAlign w:val="center"/>
          </w:tcPr>
          <w:p w14:paraId="280215B2">
            <w:pPr>
              <w:pStyle w:val="175"/>
              <w:spacing w:line="240" w:lineRule="auto"/>
            </w:pPr>
            <w:r>
              <w:t>安全耐久</w:t>
            </w:r>
          </w:p>
          <w:p w14:paraId="277E2AE5">
            <w:pPr>
              <w:pStyle w:val="175"/>
              <w:spacing w:line="240" w:lineRule="auto"/>
            </w:pPr>
            <w:r>
              <w:t>Q1</w:t>
            </w:r>
          </w:p>
        </w:tc>
        <w:tc>
          <w:tcPr>
            <w:tcW w:w="1014" w:type="dxa"/>
            <w:shd w:val="clear" w:color="auto" w:fill="FFFFFF"/>
            <w:noWrap w:val="0"/>
            <w:vAlign w:val="center"/>
          </w:tcPr>
          <w:p w14:paraId="58BE7261">
            <w:pPr>
              <w:pStyle w:val="175"/>
              <w:spacing w:line="240" w:lineRule="auto"/>
            </w:pPr>
            <w:r>
              <w:t>健康舒适</w:t>
            </w:r>
          </w:p>
          <w:p w14:paraId="2BDA06A3">
            <w:pPr>
              <w:pStyle w:val="175"/>
              <w:spacing w:line="240" w:lineRule="auto"/>
            </w:pPr>
            <w:r>
              <w:t>Q2</w:t>
            </w:r>
          </w:p>
        </w:tc>
        <w:tc>
          <w:tcPr>
            <w:tcW w:w="1014" w:type="dxa"/>
            <w:shd w:val="clear" w:color="auto" w:fill="FFFFFF"/>
            <w:noWrap w:val="0"/>
            <w:vAlign w:val="center"/>
          </w:tcPr>
          <w:p w14:paraId="44E7BF70">
            <w:pPr>
              <w:pStyle w:val="175"/>
              <w:spacing w:line="240" w:lineRule="auto"/>
            </w:pPr>
            <w:r>
              <w:t>生活便利</w:t>
            </w:r>
          </w:p>
          <w:p w14:paraId="5B66E623">
            <w:pPr>
              <w:pStyle w:val="175"/>
              <w:spacing w:line="240" w:lineRule="auto"/>
            </w:pPr>
            <w:r>
              <w:t>Q3</w:t>
            </w:r>
          </w:p>
        </w:tc>
        <w:tc>
          <w:tcPr>
            <w:tcW w:w="1014" w:type="dxa"/>
            <w:shd w:val="clear" w:color="auto" w:fill="FFFFFF"/>
            <w:noWrap w:val="0"/>
            <w:vAlign w:val="center"/>
          </w:tcPr>
          <w:p w14:paraId="69B47DD9">
            <w:pPr>
              <w:pStyle w:val="175"/>
              <w:spacing w:line="240" w:lineRule="auto"/>
            </w:pPr>
            <w:r>
              <w:t>资源节约</w:t>
            </w:r>
          </w:p>
          <w:p w14:paraId="0DA6064F">
            <w:pPr>
              <w:pStyle w:val="175"/>
              <w:spacing w:line="240" w:lineRule="auto"/>
            </w:pPr>
            <w:r>
              <w:t>Q4</w:t>
            </w:r>
          </w:p>
        </w:tc>
        <w:tc>
          <w:tcPr>
            <w:tcW w:w="1014" w:type="dxa"/>
            <w:shd w:val="clear" w:color="auto" w:fill="FFFFFF"/>
            <w:noWrap w:val="0"/>
            <w:vAlign w:val="center"/>
          </w:tcPr>
          <w:p w14:paraId="32F433AC">
            <w:pPr>
              <w:pStyle w:val="175"/>
              <w:spacing w:line="240" w:lineRule="auto"/>
            </w:pPr>
            <w:r>
              <w:t>环境宜居</w:t>
            </w:r>
          </w:p>
          <w:p w14:paraId="6D25F69C">
            <w:pPr>
              <w:pStyle w:val="175"/>
              <w:spacing w:line="240" w:lineRule="auto"/>
            </w:pPr>
            <w:r>
              <w:t>Q5</w:t>
            </w:r>
          </w:p>
        </w:tc>
        <w:tc>
          <w:tcPr>
            <w:tcW w:w="1014" w:type="dxa"/>
            <w:shd w:val="clear" w:color="auto" w:fill="FFFFFF"/>
            <w:noWrap w:val="0"/>
            <w:vAlign w:val="center"/>
          </w:tcPr>
          <w:p w14:paraId="4251FC0B">
            <w:pPr>
              <w:pStyle w:val="175"/>
              <w:spacing w:line="240" w:lineRule="auto"/>
            </w:pPr>
            <w:r>
              <w:t>加分项</w:t>
            </w:r>
          </w:p>
          <w:p w14:paraId="059B39FF">
            <w:pPr>
              <w:pStyle w:val="175"/>
              <w:spacing w:line="240" w:lineRule="auto"/>
            </w:pPr>
            <w:r>
              <w:t>QA</w:t>
            </w:r>
          </w:p>
        </w:tc>
      </w:tr>
      <w:tr w14:paraId="6BE82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bottom"/>
          </w:tcPr>
          <w:p w14:paraId="11DA0CDD">
            <w:pPr>
              <w:pStyle w:val="175"/>
              <w:spacing w:line="240" w:lineRule="auto"/>
            </w:pPr>
            <w:r>
              <w:t>预评价分值</w:t>
            </w:r>
          </w:p>
        </w:tc>
        <w:tc>
          <w:tcPr>
            <w:tcW w:w="1235" w:type="dxa"/>
            <w:shd w:val="clear" w:color="auto" w:fill="FFFFFF"/>
            <w:noWrap w:val="0"/>
            <w:vAlign w:val="center"/>
          </w:tcPr>
          <w:p w14:paraId="799F60C0">
            <w:pPr>
              <w:pStyle w:val="175"/>
              <w:spacing w:line="240" w:lineRule="auto"/>
            </w:pPr>
            <w:r>
              <w:t>400</w:t>
            </w:r>
          </w:p>
        </w:tc>
        <w:tc>
          <w:tcPr>
            <w:tcW w:w="1014" w:type="dxa"/>
            <w:shd w:val="clear" w:color="auto" w:fill="FFFFFF"/>
            <w:noWrap w:val="0"/>
            <w:vAlign w:val="center"/>
          </w:tcPr>
          <w:p w14:paraId="3E1403E8">
            <w:pPr>
              <w:pStyle w:val="175"/>
              <w:spacing w:line="240" w:lineRule="auto"/>
            </w:pPr>
            <w:r>
              <w:t>100</w:t>
            </w:r>
          </w:p>
        </w:tc>
        <w:tc>
          <w:tcPr>
            <w:tcW w:w="1014" w:type="dxa"/>
            <w:shd w:val="clear" w:color="auto" w:fill="FFFFFF"/>
            <w:noWrap w:val="0"/>
            <w:vAlign w:val="center"/>
          </w:tcPr>
          <w:p w14:paraId="073F31B4">
            <w:pPr>
              <w:pStyle w:val="175"/>
              <w:spacing w:line="240" w:lineRule="auto"/>
            </w:pPr>
            <w:r>
              <w:t>100</w:t>
            </w:r>
          </w:p>
        </w:tc>
        <w:tc>
          <w:tcPr>
            <w:tcW w:w="1014" w:type="dxa"/>
            <w:shd w:val="clear" w:color="auto" w:fill="FFFFFF"/>
            <w:noWrap w:val="0"/>
            <w:vAlign w:val="center"/>
          </w:tcPr>
          <w:p w14:paraId="65351081">
            <w:pPr>
              <w:pStyle w:val="175"/>
              <w:spacing w:line="240" w:lineRule="auto"/>
            </w:pPr>
            <w:r>
              <w:t>70</w:t>
            </w:r>
          </w:p>
        </w:tc>
        <w:tc>
          <w:tcPr>
            <w:tcW w:w="1014" w:type="dxa"/>
            <w:shd w:val="clear" w:color="auto" w:fill="FFFFFF"/>
            <w:noWrap w:val="0"/>
            <w:vAlign w:val="center"/>
          </w:tcPr>
          <w:p w14:paraId="7DDB205E">
            <w:pPr>
              <w:pStyle w:val="175"/>
              <w:spacing w:line="240" w:lineRule="auto"/>
            </w:pPr>
            <w:r>
              <w:t>200</w:t>
            </w:r>
          </w:p>
        </w:tc>
        <w:tc>
          <w:tcPr>
            <w:tcW w:w="1014" w:type="dxa"/>
            <w:shd w:val="clear" w:color="auto" w:fill="FFFFFF"/>
            <w:noWrap w:val="0"/>
            <w:vAlign w:val="center"/>
          </w:tcPr>
          <w:p w14:paraId="29B0F3B2">
            <w:pPr>
              <w:pStyle w:val="175"/>
              <w:spacing w:line="240" w:lineRule="auto"/>
            </w:pPr>
            <w:r>
              <w:t>100</w:t>
            </w:r>
          </w:p>
        </w:tc>
        <w:tc>
          <w:tcPr>
            <w:tcW w:w="1014" w:type="dxa"/>
            <w:shd w:val="clear" w:color="auto" w:fill="FFFFFF"/>
            <w:noWrap w:val="0"/>
            <w:vAlign w:val="center"/>
          </w:tcPr>
          <w:p w14:paraId="62258588">
            <w:pPr>
              <w:pStyle w:val="175"/>
              <w:spacing w:line="240" w:lineRule="auto"/>
            </w:pPr>
            <w:r>
              <w:t>100</w:t>
            </w:r>
          </w:p>
        </w:tc>
      </w:tr>
      <w:tr w14:paraId="24544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center"/>
          </w:tcPr>
          <w:p w14:paraId="5B22A8C4">
            <w:pPr>
              <w:pStyle w:val="175"/>
              <w:spacing w:line="240" w:lineRule="auto"/>
            </w:pPr>
            <w:r>
              <w:t>自评得分</w:t>
            </w:r>
          </w:p>
        </w:tc>
        <w:tc>
          <w:tcPr>
            <w:tcW w:w="1235" w:type="dxa"/>
            <w:shd w:val="clear" w:color="auto" w:fill="FFFFFF"/>
            <w:noWrap w:val="0"/>
            <w:vAlign w:val="top"/>
          </w:tcPr>
          <w:p w14:paraId="0A7A8C9D">
            <w:pPr>
              <w:pStyle w:val="175"/>
              <w:spacing w:line="240" w:lineRule="auto"/>
            </w:pPr>
            <w:r>
              <w:t>400</w:t>
            </w:r>
          </w:p>
        </w:tc>
        <w:tc>
          <w:tcPr>
            <w:tcW w:w="1014" w:type="dxa"/>
            <w:shd w:val="clear" w:color="auto" w:fill="FFFFFF"/>
            <w:noWrap w:val="0"/>
            <w:vAlign w:val="center"/>
          </w:tcPr>
          <w:p w14:paraId="62E83A12">
            <w:pPr>
              <w:pStyle w:val="175"/>
              <w:spacing w:line="240" w:lineRule="auto"/>
            </w:pPr>
            <w:r>
              <w:rPr>
                <w:rFonts w:hint="eastAsia"/>
              </w:rPr>
              <w:t>83</w:t>
            </w:r>
          </w:p>
        </w:tc>
        <w:tc>
          <w:tcPr>
            <w:tcW w:w="1014" w:type="dxa"/>
            <w:shd w:val="clear" w:color="auto" w:fill="FFFFFF"/>
            <w:noWrap w:val="0"/>
            <w:vAlign w:val="center"/>
          </w:tcPr>
          <w:p w14:paraId="0EC3FA1C">
            <w:pPr>
              <w:pStyle w:val="175"/>
              <w:spacing w:line="240" w:lineRule="auto"/>
            </w:pPr>
            <w:r>
              <w:rPr>
                <w:rFonts w:hint="eastAsia"/>
              </w:rPr>
              <w:t>84</w:t>
            </w:r>
          </w:p>
        </w:tc>
        <w:tc>
          <w:tcPr>
            <w:tcW w:w="1014" w:type="dxa"/>
            <w:shd w:val="clear" w:color="auto" w:fill="FFFFFF"/>
            <w:noWrap w:val="0"/>
            <w:vAlign w:val="center"/>
          </w:tcPr>
          <w:p w14:paraId="423A7517">
            <w:pPr>
              <w:pStyle w:val="175"/>
              <w:spacing w:line="240" w:lineRule="auto"/>
            </w:pPr>
            <w:r>
              <w:rPr>
                <w:rFonts w:hint="eastAsia"/>
              </w:rPr>
              <w:t>60</w:t>
            </w:r>
          </w:p>
        </w:tc>
        <w:tc>
          <w:tcPr>
            <w:tcW w:w="1014" w:type="dxa"/>
            <w:shd w:val="clear" w:color="auto" w:fill="FFFFFF"/>
            <w:noWrap w:val="0"/>
            <w:vAlign w:val="center"/>
          </w:tcPr>
          <w:p w14:paraId="4653C20F">
            <w:pPr>
              <w:pStyle w:val="175"/>
              <w:spacing w:line="240" w:lineRule="auto"/>
            </w:pPr>
            <w:r>
              <w:rPr>
                <w:rFonts w:hint="eastAsia"/>
              </w:rPr>
              <w:t>152</w:t>
            </w:r>
          </w:p>
        </w:tc>
        <w:tc>
          <w:tcPr>
            <w:tcW w:w="1014" w:type="dxa"/>
            <w:shd w:val="clear" w:color="auto" w:fill="FFFFFF"/>
            <w:noWrap w:val="0"/>
            <w:vAlign w:val="center"/>
          </w:tcPr>
          <w:p w14:paraId="66BE4440">
            <w:pPr>
              <w:pStyle w:val="175"/>
              <w:spacing w:line="240" w:lineRule="auto"/>
            </w:pPr>
            <w:r>
              <w:rPr>
                <w:rFonts w:hint="eastAsia"/>
              </w:rPr>
              <w:t>57</w:t>
            </w:r>
          </w:p>
        </w:tc>
        <w:tc>
          <w:tcPr>
            <w:tcW w:w="1014" w:type="dxa"/>
            <w:shd w:val="clear" w:color="auto" w:fill="FFFFFF"/>
            <w:noWrap w:val="0"/>
            <w:vAlign w:val="center"/>
          </w:tcPr>
          <w:p w14:paraId="3290F98B">
            <w:pPr>
              <w:pStyle w:val="175"/>
              <w:spacing w:line="240" w:lineRule="auto"/>
            </w:pPr>
            <w:r>
              <w:rPr>
                <w:rFonts w:hint="eastAsia"/>
              </w:rPr>
              <w:t>32</w:t>
            </w:r>
          </w:p>
        </w:tc>
      </w:tr>
      <w:tr w14:paraId="45F18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bottom"/>
          </w:tcPr>
          <w:p w14:paraId="34330BB5">
            <w:pPr>
              <w:pStyle w:val="175"/>
              <w:spacing w:line="240" w:lineRule="auto"/>
            </w:pPr>
            <w:r>
              <w:t>总得分Q</w:t>
            </w:r>
          </w:p>
        </w:tc>
        <w:tc>
          <w:tcPr>
            <w:tcW w:w="7319" w:type="dxa"/>
            <w:gridSpan w:val="7"/>
            <w:shd w:val="clear" w:color="auto" w:fill="FFFFFF"/>
            <w:noWrap w:val="0"/>
            <w:vAlign w:val="top"/>
          </w:tcPr>
          <w:p w14:paraId="63245F21">
            <w:pPr>
              <w:pStyle w:val="175"/>
              <w:spacing w:line="240" w:lineRule="auto"/>
            </w:pPr>
            <w:r>
              <w:rPr>
                <w:rFonts w:hint="eastAsia"/>
              </w:rPr>
              <w:t>86.8</w:t>
            </w:r>
          </w:p>
        </w:tc>
      </w:tr>
      <w:tr w14:paraId="1BD46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bottom"/>
          </w:tcPr>
          <w:p w14:paraId="0995F7CC">
            <w:pPr>
              <w:pStyle w:val="175"/>
              <w:spacing w:line="240" w:lineRule="auto"/>
            </w:pPr>
            <w:r>
              <w:t>自评星级</w:t>
            </w:r>
          </w:p>
        </w:tc>
        <w:tc>
          <w:tcPr>
            <w:tcW w:w="7319" w:type="dxa"/>
            <w:gridSpan w:val="7"/>
            <w:shd w:val="clear" w:color="auto" w:fill="FFFFFF"/>
            <w:noWrap w:val="0"/>
            <w:vAlign w:val="top"/>
          </w:tcPr>
          <w:p w14:paraId="4919432B">
            <w:pPr>
              <w:pStyle w:val="175"/>
              <w:spacing w:line="240" w:lineRule="auto"/>
            </w:pPr>
            <w:r>
              <w:rPr>
                <w:rFonts w:hint="eastAsia"/>
              </w:rPr>
              <w:t>三</w:t>
            </w:r>
            <w:r>
              <w:t>星级</w:t>
            </w:r>
          </w:p>
        </w:tc>
      </w:tr>
    </w:tbl>
    <w:p w14:paraId="0EB1BEAC">
      <w:pPr>
        <w:pStyle w:val="175"/>
      </w:pPr>
    </w:p>
    <w:p w14:paraId="75C95B7A">
      <w:pPr>
        <w:pStyle w:val="175"/>
      </w:pPr>
      <w:r>
        <w:t>表</w:t>
      </w:r>
      <w:r>
        <w:rPr>
          <w:rFonts w:hint="eastAsia"/>
        </w:rPr>
        <w:t>1-12 1栋六、七单元绿建得分情况</w:t>
      </w:r>
    </w:p>
    <w:tbl>
      <w:tblPr>
        <w:tblStyle w:val="54"/>
        <w:tblW w:w="0" w:type="auto"/>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35"/>
        <w:gridCol w:w="1014"/>
        <w:gridCol w:w="1014"/>
        <w:gridCol w:w="1014"/>
        <w:gridCol w:w="1014"/>
        <w:gridCol w:w="1014"/>
        <w:gridCol w:w="1014"/>
      </w:tblGrid>
      <w:tr w14:paraId="5FA32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03" w:type="dxa"/>
            <w:shd w:val="clear" w:color="auto" w:fill="FFFFFF"/>
            <w:noWrap w:val="0"/>
            <w:vAlign w:val="center"/>
          </w:tcPr>
          <w:p w14:paraId="0C874A76">
            <w:pPr>
              <w:pStyle w:val="175"/>
              <w:spacing w:line="240" w:lineRule="auto"/>
            </w:pPr>
          </w:p>
        </w:tc>
        <w:tc>
          <w:tcPr>
            <w:tcW w:w="1235" w:type="dxa"/>
            <w:shd w:val="clear" w:color="auto" w:fill="FFFFFF"/>
            <w:noWrap w:val="0"/>
            <w:vAlign w:val="center"/>
          </w:tcPr>
          <w:p w14:paraId="06B0F68F">
            <w:pPr>
              <w:pStyle w:val="175"/>
              <w:spacing w:line="240" w:lineRule="auto"/>
            </w:pPr>
            <w:r>
              <w:t>控制项基础分值Q0</w:t>
            </w:r>
          </w:p>
        </w:tc>
        <w:tc>
          <w:tcPr>
            <w:tcW w:w="1014" w:type="dxa"/>
            <w:shd w:val="clear" w:color="auto" w:fill="FFFFFF"/>
            <w:noWrap w:val="0"/>
            <w:vAlign w:val="center"/>
          </w:tcPr>
          <w:p w14:paraId="06B9B1E7">
            <w:pPr>
              <w:pStyle w:val="175"/>
              <w:spacing w:line="240" w:lineRule="auto"/>
            </w:pPr>
            <w:r>
              <w:t>安全耐久</w:t>
            </w:r>
          </w:p>
          <w:p w14:paraId="38B4B873">
            <w:pPr>
              <w:pStyle w:val="175"/>
              <w:spacing w:line="240" w:lineRule="auto"/>
            </w:pPr>
            <w:r>
              <w:t>Q1</w:t>
            </w:r>
          </w:p>
        </w:tc>
        <w:tc>
          <w:tcPr>
            <w:tcW w:w="1014" w:type="dxa"/>
            <w:shd w:val="clear" w:color="auto" w:fill="FFFFFF"/>
            <w:noWrap w:val="0"/>
            <w:vAlign w:val="center"/>
          </w:tcPr>
          <w:p w14:paraId="387B60FF">
            <w:pPr>
              <w:pStyle w:val="175"/>
              <w:spacing w:line="240" w:lineRule="auto"/>
            </w:pPr>
            <w:r>
              <w:t>健康舒适</w:t>
            </w:r>
          </w:p>
          <w:p w14:paraId="166E4DB6">
            <w:pPr>
              <w:pStyle w:val="175"/>
              <w:spacing w:line="240" w:lineRule="auto"/>
            </w:pPr>
            <w:r>
              <w:t>Q2</w:t>
            </w:r>
          </w:p>
        </w:tc>
        <w:tc>
          <w:tcPr>
            <w:tcW w:w="1014" w:type="dxa"/>
            <w:shd w:val="clear" w:color="auto" w:fill="FFFFFF"/>
            <w:noWrap w:val="0"/>
            <w:vAlign w:val="center"/>
          </w:tcPr>
          <w:p w14:paraId="71326EEF">
            <w:pPr>
              <w:pStyle w:val="175"/>
              <w:spacing w:line="240" w:lineRule="auto"/>
            </w:pPr>
            <w:r>
              <w:t>生活便利</w:t>
            </w:r>
          </w:p>
          <w:p w14:paraId="66883F7D">
            <w:pPr>
              <w:pStyle w:val="175"/>
              <w:spacing w:line="240" w:lineRule="auto"/>
            </w:pPr>
            <w:r>
              <w:t>Q3</w:t>
            </w:r>
          </w:p>
        </w:tc>
        <w:tc>
          <w:tcPr>
            <w:tcW w:w="1014" w:type="dxa"/>
            <w:shd w:val="clear" w:color="auto" w:fill="FFFFFF"/>
            <w:noWrap w:val="0"/>
            <w:vAlign w:val="center"/>
          </w:tcPr>
          <w:p w14:paraId="25810359">
            <w:pPr>
              <w:pStyle w:val="175"/>
              <w:spacing w:line="240" w:lineRule="auto"/>
            </w:pPr>
            <w:r>
              <w:t>资源节约</w:t>
            </w:r>
          </w:p>
          <w:p w14:paraId="30F5C4F2">
            <w:pPr>
              <w:pStyle w:val="175"/>
              <w:spacing w:line="240" w:lineRule="auto"/>
            </w:pPr>
            <w:r>
              <w:t>Q4</w:t>
            </w:r>
          </w:p>
        </w:tc>
        <w:tc>
          <w:tcPr>
            <w:tcW w:w="1014" w:type="dxa"/>
            <w:shd w:val="clear" w:color="auto" w:fill="FFFFFF"/>
            <w:noWrap w:val="0"/>
            <w:vAlign w:val="center"/>
          </w:tcPr>
          <w:p w14:paraId="5F45BB25">
            <w:pPr>
              <w:pStyle w:val="175"/>
              <w:spacing w:line="240" w:lineRule="auto"/>
            </w:pPr>
            <w:r>
              <w:t>环境宜居</w:t>
            </w:r>
          </w:p>
          <w:p w14:paraId="13F5DABE">
            <w:pPr>
              <w:pStyle w:val="175"/>
              <w:spacing w:line="240" w:lineRule="auto"/>
            </w:pPr>
            <w:r>
              <w:t>Q5</w:t>
            </w:r>
          </w:p>
        </w:tc>
        <w:tc>
          <w:tcPr>
            <w:tcW w:w="1014" w:type="dxa"/>
            <w:shd w:val="clear" w:color="auto" w:fill="FFFFFF"/>
            <w:noWrap w:val="0"/>
            <w:vAlign w:val="center"/>
          </w:tcPr>
          <w:p w14:paraId="5CAD9C45">
            <w:pPr>
              <w:pStyle w:val="175"/>
              <w:spacing w:line="240" w:lineRule="auto"/>
            </w:pPr>
            <w:r>
              <w:t>加分项</w:t>
            </w:r>
          </w:p>
          <w:p w14:paraId="614F5450">
            <w:pPr>
              <w:pStyle w:val="175"/>
              <w:spacing w:line="240" w:lineRule="auto"/>
            </w:pPr>
            <w:r>
              <w:t>QA</w:t>
            </w:r>
          </w:p>
        </w:tc>
      </w:tr>
      <w:tr w14:paraId="02344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bottom"/>
          </w:tcPr>
          <w:p w14:paraId="6AEAF963">
            <w:pPr>
              <w:pStyle w:val="175"/>
              <w:spacing w:line="240" w:lineRule="auto"/>
            </w:pPr>
            <w:r>
              <w:t>预评价分值</w:t>
            </w:r>
          </w:p>
        </w:tc>
        <w:tc>
          <w:tcPr>
            <w:tcW w:w="1235" w:type="dxa"/>
            <w:shd w:val="clear" w:color="auto" w:fill="FFFFFF"/>
            <w:noWrap w:val="0"/>
            <w:vAlign w:val="center"/>
          </w:tcPr>
          <w:p w14:paraId="6778397C">
            <w:pPr>
              <w:pStyle w:val="175"/>
              <w:spacing w:line="240" w:lineRule="auto"/>
            </w:pPr>
            <w:r>
              <w:t>400</w:t>
            </w:r>
          </w:p>
        </w:tc>
        <w:tc>
          <w:tcPr>
            <w:tcW w:w="1014" w:type="dxa"/>
            <w:shd w:val="clear" w:color="auto" w:fill="FFFFFF"/>
            <w:noWrap w:val="0"/>
            <w:vAlign w:val="center"/>
          </w:tcPr>
          <w:p w14:paraId="6FCDB734">
            <w:pPr>
              <w:pStyle w:val="175"/>
              <w:spacing w:line="240" w:lineRule="auto"/>
            </w:pPr>
            <w:r>
              <w:t>100</w:t>
            </w:r>
          </w:p>
        </w:tc>
        <w:tc>
          <w:tcPr>
            <w:tcW w:w="1014" w:type="dxa"/>
            <w:shd w:val="clear" w:color="auto" w:fill="FFFFFF"/>
            <w:noWrap w:val="0"/>
            <w:vAlign w:val="center"/>
          </w:tcPr>
          <w:p w14:paraId="50043F2B">
            <w:pPr>
              <w:pStyle w:val="175"/>
              <w:spacing w:line="240" w:lineRule="auto"/>
            </w:pPr>
            <w:r>
              <w:t>100</w:t>
            </w:r>
          </w:p>
        </w:tc>
        <w:tc>
          <w:tcPr>
            <w:tcW w:w="1014" w:type="dxa"/>
            <w:shd w:val="clear" w:color="auto" w:fill="FFFFFF"/>
            <w:noWrap w:val="0"/>
            <w:vAlign w:val="center"/>
          </w:tcPr>
          <w:p w14:paraId="519310AD">
            <w:pPr>
              <w:pStyle w:val="175"/>
              <w:spacing w:line="240" w:lineRule="auto"/>
            </w:pPr>
            <w:r>
              <w:t>70</w:t>
            </w:r>
          </w:p>
        </w:tc>
        <w:tc>
          <w:tcPr>
            <w:tcW w:w="1014" w:type="dxa"/>
            <w:shd w:val="clear" w:color="auto" w:fill="FFFFFF"/>
            <w:noWrap w:val="0"/>
            <w:vAlign w:val="center"/>
          </w:tcPr>
          <w:p w14:paraId="37F9E51E">
            <w:pPr>
              <w:pStyle w:val="175"/>
              <w:spacing w:line="240" w:lineRule="auto"/>
            </w:pPr>
            <w:r>
              <w:t>200</w:t>
            </w:r>
          </w:p>
        </w:tc>
        <w:tc>
          <w:tcPr>
            <w:tcW w:w="1014" w:type="dxa"/>
            <w:shd w:val="clear" w:color="auto" w:fill="FFFFFF"/>
            <w:noWrap w:val="0"/>
            <w:vAlign w:val="center"/>
          </w:tcPr>
          <w:p w14:paraId="2D404232">
            <w:pPr>
              <w:pStyle w:val="175"/>
              <w:spacing w:line="240" w:lineRule="auto"/>
            </w:pPr>
            <w:r>
              <w:t>100</w:t>
            </w:r>
          </w:p>
        </w:tc>
        <w:tc>
          <w:tcPr>
            <w:tcW w:w="1014" w:type="dxa"/>
            <w:shd w:val="clear" w:color="auto" w:fill="FFFFFF"/>
            <w:noWrap w:val="0"/>
            <w:vAlign w:val="center"/>
          </w:tcPr>
          <w:p w14:paraId="5DDC6809">
            <w:pPr>
              <w:pStyle w:val="175"/>
              <w:spacing w:line="240" w:lineRule="auto"/>
            </w:pPr>
            <w:r>
              <w:t>100</w:t>
            </w:r>
          </w:p>
        </w:tc>
      </w:tr>
      <w:tr w14:paraId="1E62F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center"/>
          </w:tcPr>
          <w:p w14:paraId="0D7D7B6D">
            <w:pPr>
              <w:pStyle w:val="175"/>
              <w:spacing w:line="240" w:lineRule="auto"/>
            </w:pPr>
            <w:r>
              <w:t>自评得分</w:t>
            </w:r>
          </w:p>
        </w:tc>
        <w:tc>
          <w:tcPr>
            <w:tcW w:w="1235" w:type="dxa"/>
            <w:shd w:val="clear" w:color="auto" w:fill="FFFFFF"/>
            <w:noWrap w:val="0"/>
            <w:vAlign w:val="top"/>
          </w:tcPr>
          <w:p w14:paraId="5B5CA201">
            <w:pPr>
              <w:pStyle w:val="175"/>
              <w:spacing w:line="240" w:lineRule="auto"/>
            </w:pPr>
            <w:r>
              <w:t>400</w:t>
            </w:r>
          </w:p>
        </w:tc>
        <w:tc>
          <w:tcPr>
            <w:tcW w:w="1014" w:type="dxa"/>
            <w:shd w:val="clear" w:color="auto" w:fill="FFFFFF"/>
            <w:noWrap w:val="0"/>
            <w:vAlign w:val="center"/>
          </w:tcPr>
          <w:p w14:paraId="5AEA296B">
            <w:pPr>
              <w:pStyle w:val="175"/>
              <w:spacing w:line="240" w:lineRule="auto"/>
            </w:pPr>
            <w:r>
              <w:rPr>
                <w:rFonts w:hint="eastAsia"/>
              </w:rPr>
              <w:t>76</w:t>
            </w:r>
          </w:p>
        </w:tc>
        <w:tc>
          <w:tcPr>
            <w:tcW w:w="1014" w:type="dxa"/>
            <w:shd w:val="clear" w:color="auto" w:fill="FFFFFF"/>
            <w:noWrap w:val="0"/>
            <w:vAlign w:val="center"/>
          </w:tcPr>
          <w:p w14:paraId="7AD91D24">
            <w:pPr>
              <w:pStyle w:val="175"/>
              <w:spacing w:line="240" w:lineRule="auto"/>
            </w:pPr>
            <w:r>
              <w:rPr>
                <w:rFonts w:hint="eastAsia"/>
              </w:rPr>
              <w:t>71</w:t>
            </w:r>
          </w:p>
        </w:tc>
        <w:tc>
          <w:tcPr>
            <w:tcW w:w="1014" w:type="dxa"/>
            <w:shd w:val="clear" w:color="auto" w:fill="FFFFFF"/>
            <w:noWrap w:val="0"/>
            <w:vAlign w:val="center"/>
          </w:tcPr>
          <w:p w14:paraId="2E9A8885">
            <w:pPr>
              <w:pStyle w:val="175"/>
              <w:spacing w:line="240" w:lineRule="auto"/>
            </w:pPr>
            <w:r>
              <w:rPr>
                <w:rFonts w:hint="eastAsia"/>
              </w:rPr>
              <w:t>57</w:t>
            </w:r>
          </w:p>
        </w:tc>
        <w:tc>
          <w:tcPr>
            <w:tcW w:w="1014" w:type="dxa"/>
            <w:shd w:val="clear" w:color="auto" w:fill="FFFFFF"/>
            <w:noWrap w:val="0"/>
            <w:vAlign w:val="center"/>
          </w:tcPr>
          <w:p w14:paraId="257F47AF">
            <w:pPr>
              <w:pStyle w:val="175"/>
              <w:spacing w:line="240" w:lineRule="auto"/>
            </w:pPr>
            <w:r>
              <w:rPr>
                <w:rFonts w:hint="eastAsia"/>
              </w:rPr>
              <w:t>168</w:t>
            </w:r>
          </w:p>
        </w:tc>
        <w:tc>
          <w:tcPr>
            <w:tcW w:w="1014" w:type="dxa"/>
            <w:shd w:val="clear" w:color="auto" w:fill="FFFFFF"/>
            <w:noWrap w:val="0"/>
            <w:vAlign w:val="center"/>
          </w:tcPr>
          <w:p w14:paraId="45EDCA7B">
            <w:pPr>
              <w:pStyle w:val="175"/>
              <w:spacing w:line="240" w:lineRule="auto"/>
            </w:pPr>
            <w:r>
              <w:rPr>
                <w:rFonts w:hint="eastAsia"/>
              </w:rPr>
              <w:t>57</w:t>
            </w:r>
          </w:p>
        </w:tc>
        <w:tc>
          <w:tcPr>
            <w:tcW w:w="1014" w:type="dxa"/>
            <w:shd w:val="clear" w:color="auto" w:fill="FFFFFF"/>
            <w:noWrap w:val="0"/>
            <w:vAlign w:val="center"/>
          </w:tcPr>
          <w:p w14:paraId="2E1E917E">
            <w:pPr>
              <w:pStyle w:val="175"/>
              <w:spacing w:line="240" w:lineRule="auto"/>
            </w:pPr>
            <w:r>
              <w:rPr>
                <w:rFonts w:hint="eastAsia"/>
              </w:rPr>
              <w:t>22</w:t>
            </w:r>
          </w:p>
        </w:tc>
      </w:tr>
      <w:tr w14:paraId="65DA1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bottom"/>
          </w:tcPr>
          <w:p w14:paraId="4A05290A">
            <w:pPr>
              <w:pStyle w:val="175"/>
              <w:spacing w:line="240" w:lineRule="auto"/>
            </w:pPr>
            <w:r>
              <w:t>总得分Q</w:t>
            </w:r>
          </w:p>
        </w:tc>
        <w:tc>
          <w:tcPr>
            <w:tcW w:w="7319" w:type="dxa"/>
            <w:gridSpan w:val="7"/>
            <w:shd w:val="clear" w:color="auto" w:fill="FFFFFF"/>
            <w:noWrap w:val="0"/>
            <w:vAlign w:val="top"/>
          </w:tcPr>
          <w:p w14:paraId="383DB81D">
            <w:pPr>
              <w:pStyle w:val="175"/>
              <w:spacing w:line="240" w:lineRule="auto"/>
            </w:pPr>
            <w:r>
              <w:rPr>
                <w:rFonts w:hint="eastAsia"/>
              </w:rPr>
              <w:t>85.1</w:t>
            </w:r>
          </w:p>
        </w:tc>
      </w:tr>
      <w:tr w14:paraId="2F269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bottom"/>
          </w:tcPr>
          <w:p w14:paraId="7A5F51D5">
            <w:pPr>
              <w:pStyle w:val="175"/>
              <w:spacing w:line="240" w:lineRule="auto"/>
            </w:pPr>
            <w:r>
              <w:t>自评星级</w:t>
            </w:r>
          </w:p>
        </w:tc>
        <w:tc>
          <w:tcPr>
            <w:tcW w:w="7319" w:type="dxa"/>
            <w:gridSpan w:val="7"/>
            <w:shd w:val="clear" w:color="auto" w:fill="FFFFFF"/>
            <w:noWrap w:val="0"/>
            <w:vAlign w:val="top"/>
          </w:tcPr>
          <w:p w14:paraId="2FA9C3BE">
            <w:pPr>
              <w:pStyle w:val="175"/>
              <w:spacing w:line="240" w:lineRule="auto"/>
            </w:pPr>
            <w:r>
              <w:rPr>
                <w:rFonts w:hint="eastAsia"/>
              </w:rPr>
              <w:t>三</w:t>
            </w:r>
            <w:r>
              <w:t>星级</w:t>
            </w:r>
          </w:p>
        </w:tc>
      </w:tr>
    </w:tbl>
    <w:p w14:paraId="76B2026F">
      <w:pPr>
        <w:pStyle w:val="175"/>
      </w:pPr>
    </w:p>
    <w:p w14:paraId="6B9098EA">
      <w:pPr>
        <w:pStyle w:val="175"/>
      </w:pPr>
      <w:r>
        <w:t>表</w:t>
      </w:r>
      <w:r>
        <w:rPr>
          <w:rFonts w:hint="eastAsia"/>
        </w:rPr>
        <w:t>1-13 1栋十单元绿建得分情况</w:t>
      </w:r>
    </w:p>
    <w:tbl>
      <w:tblPr>
        <w:tblStyle w:val="54"/>
        <w:tblW w:w="0" w:type="auto"/>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35"/>
        <w:gridCol w:w="1014"/>
        <w:gridCol w:w="1014"/>
        <w:gridCol w:w="1014"/>
        <w:gridCol w:w="1014"/>
        <w:gridCol w:w="1014"/>
        <w:gridCol w:w="1014"/>
      </w:tblGrid>
      <w:tr w14:paraId="70E4C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03" w:type="dxa"/>
            <w:shd w:val="clear" w:color="auto" w:fill="FFFFFF"/>
            <w:noWrap w:val="0"/>
            <w:vAlign w:val="center"/>
          </w:tcPr>
          <w:p w14:paraId="1E2DB772">
            <w:pPr>
              <w:pStyle w:val="175"/>
              <w:spacing w:line="240" w:lineRule="auto"/>
            </w:pPr>
          </w:p>
        </w:tc>
        <w:tc>
          <w:tcPr>
            <w:tcW w:w="1235" w:type="dxa"/>
            <w:shd w:val="clear" w:color="auto" w:fill="FFFFFF"/>
            <w:noWrap w:val="0"/>
            <w:vAlign w:val="center"/>
          </w:tcPr>
          <w:p w14:paraId="6EF04916">
            <w:pPr>
              <w:pStyle w:val="175"/>
              <w:spacing w:line="240" w:lineRule="auto"/>
            </w:pPr>
            <w:r>
              <w:t>控制项基础分值Q0</w:t>
            </w:r>
          </w:p>
        </w:tc>
        <w:tc>
          <w:tcPr>
            <w:tcW w:w="1014" w:type="dxa"/>
            <w:shd w:val="clear" w:color="auto" w:fill="FFFFFF"/>
            <w:noWrap w:val="0"/>
            <w:vAlign w:val="center"/>
          </w:tcPr>
          <w:p w14:paraId="697E7A5B">
            <w:pPr>
              <w:pStyle w:val="175"/>
              <w:spacing w:line="240" w:lineRule="auto"/>
            </w:pPr>
            <w:r>
              <w:t>安全耐久</w:t>
            </w:r>
          </w:p>
          <w:p w14:paraId="465FE879">
            <w:pPr>
              <w:pStyle w:val="175"/>
              <w:spacing w:line="240" w:lineRule="auto"/>
            </w:pPr>
            <w:r>
              <w:t>Q1</w:t>
            </w:r>
          </w:p>
        </w:tc>
        <w:tc>
          <w:tcPr>
            <w:tcW w:w="1014" w:type="dxa"/>
            <w:shd w:val="clear" w:color="auto" w:fill="FFFFFF"/>
            <w:noWrap w:val="0"/>
            <w:vAlign w:val="center"/>
          </w:tcPr>
          <w:p w14:paraId="2C3822A2">
            <w:pPr>
              <w:pStyle w:val="175"/>
              <w:spacing w:line="240" w:lineRule="auto"/>
            </w:pPr>
            <w:r>
              <w:t>健康舒适</w:t>
            </w:r>
          </w:p>
          <w:p w14:paraId="1D257C39">
            <w:pPr>
              <w:pStyle w:val="175"/>
              <w:spacing w:line="240" w:lineRule="auto"/>
            </w:pPr>
            <w:r>
              <w:t>Q2</w:t>
            </w:r>
          </w:p>
        </w:tc>
        <w:tc>
          <w:tcPr>
            <w:tcW w:w="1014" w:type="dxa"/>
            <w:shd w:val="clear" w:color="auto" w:fill="FFFFFF"/>
            <w:noWrap w:val="0"/>
            <w:vAlign w:val="center"/>
          </w:tcPr>
          <w:p w14:paraId="59C0F30F">
            <w:pPr>
              <w:pStyle w:val="175"/>
              <w:spacing w:line="240" w:lineRule="auto"/>
            </w:pPr>
            <w:r>
              <w:t>生活便利</w:t>
            </w:r>
          </w:p>
          <w:p w14:paraId="2307BB16">
            <w:pPr>
              <w:pStyle w:val="175"/>
              <w:spacing w:line="240" w:lineRule="auto"/>
            </w:pPr>
            <w:r>
              <w:t>Q3</w:t>
            </w:r>
          </w:p>
        </w:tc>
        <w:tc>
          <w:tcPr>
            <w:tcW w:w="1014" w:type="dxa"/>
            <w:shd w:val="clear" w:color="auto" w:fill="FFFFFF"/>
            <w:noWrap w:val="0"/>
            <w:vAlign w:val="center"/>
          </w:tcPr>
          <w:p w14:paraId="1B9B9DC5">
            <w:pPr>
              <w:pStyle w:val="175"/>
              <w:spacing w:line="240" w:lineRule="auto"/>
            </w:pPr>
            <w:r>
              <w:t>资源节约</w:t>
            </w:r>
          </w:p>
          <w:p w14:paraId="5627B41F">
            <w:pPr>
              <w:pStyle w:val="175"/>
              <w:spacing w:line="240" w:lineRule="auto"/>
            </w:pPr>
            <w:r>
              <w:t>Q4</w:t>
            </w:r>
          </w:p>
        </w:tc>
        <w:tc>
          <w:tcPr>
            <w:tcW w:w="1014" w:type="dxa"/>
            <w:shd w:val="clear" w:color="auto" w:fill="FFFFFF"/>
            <w:noWrap w:val="0"/>
            <w:vAlign w:val="center"/>
          </w:tcPr>
          <w:p w14:paraId="563DFC08">
            <w:pPr>
              <w:pStyle w:val="175"/>
              <w:spacing w:line="240" w:lineRule="auto"/>
            </w:pPr>
            <w:r>
              <w:t>环境宜居</w:t>
            </w:r>
          </w:p>
          <w:p w14:paraId="697F7229">
            <w:pPr>
              <w:pStyle w:val="175"/>
              <w:spacing w:line="240" w:lineRule="auto"/>
            </w:pPr>
            <w:r>
              <w:t>Q5</w:t>
            </w:r>
          </w:p>
        </w:tc>
        <w:tc>
          <w:tcPr>
            <w:tcW w:w="1014" w:type="dxa"/>
            <w:shd w:val="clear" w:color="auto" w:fill="FFFFFF"/>
            <w:noWrap w:val="0"/>
            <w:vAlign w:val="center"/>
          </w:tcPr>
          <w:p w14:paraId="64D50A85">
            <w:pPr>
              <w:pStyle w:val="175"/>
              <w:spacing w:line="240" w:lineRule="auto"/>
            </w:pPr>
            <w:r>
              <w:t>加分项</w:t>
            </w:r>
          </w:p>
          <w:p w14:paraId="025FA418">
            <w:pPr>
              <w:pStyle w:val="175"/>
              <w:spacing w:line="240" w:lineRule="auto"/>
            </w:pPr>
            <w:r>
              <w:t>QA</w:t>
            </w:r>
          </w:p>
        </w:tc>
      </w:tr>
      <w:tr w14:paraId="0785B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bottom"/>
          </w:tcPr>
          <w:p w14:paraId="7F00FC4A">
            <w:pPr>
              <w:pStyle w:val="175"/>
              <w:spacing w:line="240" w:lineRule="auto"/>
            </w:pPr>
            <w:r>
              <w:t>预评价分值</w:t>
            </w:r>
          </w:p>
        </w:tc>
        <w:tc>
          <w:tcPr>
            <w:tcW w:w="1235" w:type="dxa"/>
            <w:shd w:val="clear" w:color="auto" w:fill="FFFFFF"/>
            <w:noWrap w:val="0"/>
            <w:vAlign w:val="center"/>
          </w:tcPr>
          <w:p w14:paraId="2FA89E16">
            <w:pPr>
              <w:pStyle w:val="175"/>
              <w:spacing w:line="240" w:lineRule="auto"/>
            </w:pPr>
            <w:r>
              <w:t>400</w:t>
            </w:r>
          </w:p>
        </w:tc>
        <w:tc>
          <w:tcPr>
            <w:tcW w:w="1014" w:type="dxa"/>
            <w:shd w:val="clear" w:color="auto" w:fill="FFFFFF"/>
            <w:noWrap w:val="0"/>
            <w:vAlign w:val="center"/>
          </w:tcPr>
          <w:p w14:paraId="78E8192B">
            <w:pPr>
              <w:pStyle w:val="175"/>
              <w:spacing w:line="240" w:lineRule="auto"/>
            </w:pPr>
            <w:r>
              <w:t>100</w:t>
            </w:r>
          </w:p>
        </w:tc>
        <w:tc>
          <w:tcPr>
            <w:tcW w:w="1014" w:type="dxa"/>
            <w:shd w:val="clear" w:color="auto" w:fill="FFFFFF"/>
            <w:noWrap w:val="0"/>
            <w:vAlign w:val="center"/>
          </w:tcPr>
          <w:p w14:paraId="7767F9AB">
            <w:pPr>
              <w:pStyle w:val="175"/>
              <w:spacing w:line="240" w:lineRule="auto"/>
            </w:pPr>
            <w:r>
              <w:t>100</w:t>
            </w:r>
          </w:p>
        </w:tc>
        <w:tc>
          <w:tcPr>
            <w:tcW w:w="1014" w:type="dxa"/>
            <w:shd w:val="clear" w:color="auto" w:fill="FFFFFF"/>
            <w:noWrap w:val="0"/>
            <w:vAlign w:val="center"/>
          </w:tcPr>
          <w:p w14:paraId="6F18DA54">
            <w:pPr>
              <w:pStyle w:val="175"/>
              <w:spacing w:line="240" w:lineRule="auto"/>
            </w:pPr>
            <w:r>
              <w:t>70</w:t>
            </w:r>
          </w:p>
        </w:tc>
        <w:tc>
          <w:tcPr>
            <w:tcW w:w="1014" w:type="dxa"/>
            <w:shd w:val="clear" w:color="auto" w:fill="FFFFFF"/>
            <w:noWrap w:val="0"/>
            <w:vAlign w:val="center"/>
          </w:tcPr>
          <w:p w14:paraId="233A3D45">
            <w:pPr>
              <w:pStyle w:val="175"/>
              <w:spacing w:line="240" w:lineRule="auto"/>
            </w:pPr>
            <w:r>
              <w:t>200</w:t>
            </w:r>
          </w:p>
        </w:tc>
        <w:tc>
          <w:tcPr>
            <w:tcW w:w="1014" w:type="dxa"/>
            <w:shd w:val="clear" w:color="auto" w:fill="FFFFFF"/>
            <w:noWrap w:val="0"/>
            <w:vAlign w:val="center"/>
          </w:tcPr>
          <w:p w14:paraId="75F91061">
            <w:pPr>
              <w:pStyle w:val="175"/>
              <w:spacing w:line="240" w:lineRule="auto"/>
            </w:pPr>
            <w:r>
              <w:t>100</w:t>
            </w:r>
          </w:p>
        </w:tc>
        <w:tc>
          <w:tcPr>
            <w:tcW w:w="1014" w:type="dxa"/>
            <w:shd w:val="clear" w:color="auto" w:fill="FFFFFF"/>
            <w:noWrap w:val="0"/>
            <w:vAlign w:val="center"/>
          </w:tcPr>
          <w:p w14:paraId="4D59B19F">
            <w:pPr>
              <w:pStyle w:val="175"/>
              <w:spacing w:line="240" w:lineRule="auto"/>
            </w:pPr>
            <w:r>
              <w:t>100</w:t>
            </w:r>
          </w:p>
        </w:tc>
      </w:tr>
      <w:tr w14:paraId="07705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center"/>
          </w:tcPr>
          <w:p w14:paraId="775F70A3">
            <w:pPr>
              <w:pStyle w:val="175"/>
              <w:spacing w:line="240" w:lineRule="auto"/>
            </w:pPr>
            <w:r>
              <w:t>自评得分</w:t>
            </w:r>
          </w:p>
        </w:tc>
        <w:tc>
          <w:tcPr>
            <w:tcW w:w="1235" w:type="dxa"/>
            <w:shd w:val="clear" w:color="auto" w:fill="FFFFFF"/>
            <w:noWrap w:val="0"/>
            <w:vAlign w:val="top"/>
          </w:tcPr>
          <w:p w14:paraId="15AD38E5">
            <w:pPr>
              <w:pStyle w:val="175"/>
              <w:spacing w:line="240" w:lineRule="auto"/>
            </w:pPr>
            <w:r>
              <w:t>400</w:t>
            </w:r>
          </w:p>
        </w:tc>
        <w:tc>
          <w:tcPr>
            <w:tcW w:w="1014" w:type="dxa"/>
            <w:shd w:val="clear" w:color="auto" w:fill="FFFFFF"/>
            <w:noWrap w:val="0"/>
            <w:vAlign w:val="center"/>
          </w:tcPr>
          <w:p w14:paraId="1412F60F">
            <w:pPr>
              <w:pStyle w:val="175"/>
              <w:spacing w:line="240" w:lineRule="auto"/>
            </w:pPr>
            <w:r>
              <w:rPr>
                <w:rFonts w:hint="eastAsia"/>
              </w:rPr>
              <w:t>83</w:t>
            </w:r>
          </w:p>
        </w:tc>
        <w:tc>
          <w:tcPr>
            <w:tcW w:w="1014" w:type="dxa"/>
            <w:shd w:val="clear" w:color="auto" w:fill="FFFFFF"/>
            <w:noWrap w:val="0"/>
            <w:vAlign w:val="center"/>
          </w:tcPr>
          <w:p w14:paraId="7410C1FF">
            <w:pPr>
              <w:pStyle w:val="175"/>
              <w:spacing w:line="240" w:lineRule="auto"/>
            </w:pPr>
            <w:r>
              <w:rPr>
                <w:rFonts w:hint="eastAsia"/>
              </w:rPr>
              <w:t>86</w:t>
            </w:r>
          </w:p>
        </w:tc>
        <w:tc>
          <w:tcPr>
            <w:tcW w:w="1014" w:type="dxa"/>
            <w:shd w:val="clear" w:color="auto" w:fill="FFFFFF"/>
            <w:noWrap w:val="0"/>
            <w:vAlign w:val="center"/>
          </w:tcPr>
          <w:p w14:paraId="42617B39">
            <w:pPr>
              <w:pStyle w:val="175"/>
              <w:spacing w:line="240" w:lineRule="auto"/>
            </w:pPr>
            <w:r>
              <w:rPr>
                <w:rFonts w:hint="eastAsia"/>
              </w:rPr>
              <w:t>60</w:t>
            </w:r>
          </w:p>
        </w:tc>
        <w:tc>
          <w:tcPr>
            <w:tcW w:w="1014" w:type="dxa"/>
            <w:shd w:val="clear" w:color="auto" w:fill="FFFFFF"/>
            <w:noWrap w:val="0"/>
            <w:vAlign w:val="center"/>
          </w:tcPr>
          <w:p w14:paraId="5FE58B6A">
            <w:pPr>
              <w:pStyle w:val="175"/>
              <w:spacing w:line="240" w:lineRule="auto"/>
            </w:pPr>
            <w:r>
              <w:rPr>
                <w:rFonts w:hint="eastAsia"/>
              </w:rPr>
              <w:t>148</w:t>
            </w:r>
          </w:p>
        </w:tc>
        <w:tc>
          <w:tcPr>
            <w:tcW w:w="1014" w:type="dxa"/>
            <w:shd w:val="clear" w:color="auto" w:fill="FFFFFF"/>
            <w:noWrap w:val="0"/>
            <w:vAlign w:val="center"/>
          </w:tcPr>
          <w:p w14:paraId="2F91D92C">
            <w:pPr>
              <w:pStyle w:val="175"/>
              <w:spacing w:line="240" w:lineRule="auto"/>
            </w:pPr>
            <w:r>
              <w:rPr>
                <w:rFonts w:hint="eastAsia"/>
              </w:rPr>
              <w:t>57</w:t>
            </w:r>
          </w:p>
        </w:tc>
        <w:tc>
          <w:tcPr>
            <w:tcW w:w="1014" w:type="dxa"/>
            <w:shd w:val="clear" w:color="auto" w:fill="FFFFFF"/>
            <w:noWrap w:val="0"/>
            <w:vAlign w:val="center"/>
          </w:tcPr>
          <w:p w14:paraId="6FB6B2B5">
            <w:pPr>
              <w:pStyle w:val="175"/>
              <w:spacing w:line="240" w:lineRule="auto"/>
            </w:pPr>
            <w:r>
              <w:rPr>
                <w:rFonts w:hint="eastAsia"/>
              </w:rPr>
              <w:t>32</w:t>
            </w:r>
          </w:p>
        </w:tc>
      </w:tr>
      <w:tr w14:paraId="20796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bottom"/>
          </w:tcPr>
          <w:p w14:paraId="605751E4">
            <w:pPr>
              <w:pStyle w:val="175"/>
              <w:spacing w:line="240" w:lineRule="auto"/>
            </w:pPr>
            <w:r>
              <w:t>总得分Q</w:t>
            </w:r>
          </w:p>
        </w:tc>
        <w:tc>
          <w:tcPr>
            <w:tcW w:w="7319" w:type="dxa"/>
            <w:gridSpan w:val="7"/>
            <w:shd w:val="clear" w:color="auto" w:fill="FFFFFF"/>
            <w:noWrap w:val="0"/>
            <w:vAlign w:val="top"/>
          </w:tcPr>
          <w:p w14:paraId="14B2850A">
            <w:pPr>
              <w:pStyle w:val="175"/>
              <w:spacing w:line="240" w:lineRule="auto"/>
            </w:pPr>
            <w:r>
              <w:rPr>
                <w:rFonts w:hint="eastAsia"/>
              </w:rPr>
              <w:t>86.6</w:t>
            </w:r>
          </w:p>
        </w:tc>
      </w:tr>
      <w:tr w14:paraId="39400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3" w:type="dxa"/>
            <w:shd w:val="clear" w:color="auto" w:fill="FFFFFF"/>
            <w:noWrap/>
            <w:vAlign w:val="bottom"/>
          </w:tcPr>
          <w:p w14:paraId="54A8D8CA">
            <w:pPr>
              <w:pStyle w:val="175"/>
              <w:spacing w:line="240" w:lineRule="auto"/>
            </w:pPr>
            <w:r>
              <w:t>自评星级</w:t>
            </w:r>
          </w:p>
        </w:tc>
        <w:tc>
          <w:tcPr>
            <w:tcW w:w="7319" w:type="dxa"/>
            <w:gridSpan w:val="7"/>
            <w:shd w:val="clear" w:color="auto" w:fill="FFFFFF"/>
            <w:noWrap w:val="0"/>
            <w:vAlign w:val="top"/>
          </w:tcPr>
          <w:p w14:paraId="72772B18">
            <w:pPr>
              <w:pStyle w:val="175"/>
              <w:spacing w:line="240" w:lineRule="auto"/>
            </w:pPr>
            <w:r>
              <w:rPr>
                <w:rFonts w:hint="eastAsia"/>
              </w:rPr>
              <w:t>三</w:t>
            </w:r>
            <w:r>
              <w:t>星级</w:t>
            </w:r>
          </w:p>
        </w:tc>
      </w:tr>
    </w:tbl>
    <w:p w14:paraId="2B83E0E9">
      <w:pPr>
        <w:spacing w:line="560" w:lineRule="exact"/>
        <w:ind w:firstLine="560" w:firstLineChars="200"/>
        <w:jc w:val="left"/>
        <w:rPr>
          <w:rFonts w:hint="eastAsia" w:ascii="仿宋_GB2312" w:hAnsi="仿宋_GB2312" w:eastAsia="仿宋_GB2312" w:cs="仿宋_GB2312"/>
          <w:sz w:val="28"/>
          <w:szCs w:val="28"/>
        </w:rPr>
      </w:pPr>
    </w:p>
    <w:p w14:paraId="525E64DF">
      <w:pPr>
        <w:numPr>
          <w:ilvl w:val="0"/>
          <w:numId w:val="3"/>
        </w:numPr>
        <w:jc w:val="left"/>
        <w:rPr>
          <w:rFonts w:hint="eastAsia" w:ascii="黑体" w:hAnsi="黑体" w:eastAsia="黑体" w:cs="黑体"/>
          <w:sz w:val="32"/>
          <w:szCs w:val="32"/>
        </w:rPr>
      </w:pPr>
      <w:r>
        <w:rPr>
          <w:rFonts w:hint="eastAsia" w:ascii="黑体" w:hAnsi="黑体" w:eastAsia="黑体" w:cs="黑体"/>
          <w:sz w:val="32"/>
          <w:szCs w:val="32"/>
        </w:rPr>
        <w:t>服务内容</w:t>
      </w:r>
    </w:p>
    <w:p w14:paraId="1248E87B">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本次项目服务主要为绿色建筑三星级的形式审查，专业审查，现场核验及报告编制，工作范围为深圳建筑产业生态智谷总部基地一期。</w:t>
      </w:r>
    </w:p>
    <w:p w14:paraId="6971A69A">
      <w:pPr>
        <w:spacing w:line="560" w:lineRule="exact"/>
        <w:ind w:firstLine="560" w:firstLineChars="200"/>
        <w:jc w:val="left"/>
        <w:rPr>
          <w:rFonts w:hint="eastAsia" w:ascii="仿宋_GB2312" w:hAnsi="仿宋_GB2312" w:eastAsia="仿宋_GB2312" w:cs="仿宋_GB2312"/>
          <w:sz w:val="28"/>
          <w:szCs w:val="28"/>
        </w:rPr>
      </w:pPr>
    </w:p>
    <w:p w14:paraId="7AE1DDFB">
      <w:pPr>
        <w:numPr>
          <w:ilvl w:val="0"/>
          <w:numId w:val="3"/>
        </w:numPr>
        <w:jc w:val="left"/>
        <w:rPr>
          <w:rFonts w:hint="eastAsia" w:ascii="黑体" w:hAnsi="黑体" w:eastAsia="黑体" w:cs="黑体"/>
          <w:sz w:val="32"/>
          <w:szCs w:val="32"/>
        </w:rPr>
      </w:pPr>
      <w:r>
        <w:rPr>
          <w:rFonts w:hint="eastAsia" w:ascii="黑体" w:hAnsi="黑体" w:eastAsia="黑体" w:cs="黑体"/>
          <w:sz w:val="32"/>
          <w:szCs w:val="32"/>
        </w:rPr>
        <w:t>成果要求</w:t>
      </w:r>
    </w:p>
    <w:p w14:paraId="5C9DAD19">
      <w:pPr>
        <w:spacing w:line="56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项目承接方所提交的所有成果应满足深圳市相关法规及标准规范的要求，应符合行政主管部门有关成果报批和管理的要求，包含但不限于项目工程竣工验收的要求。</w:t>
      </w:r>
    </w:p>
    <w:p w14:paraId="686B1E83">
      <w:pPr>
        <w:spacing w:line="560" w:lineRule="exact"/>
        <w:ind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各阶段提交成果除政府相关部门需要数量外，需另提供委托方不少于1套纸质文件及1 份电子文件，其中最终成果文件应不少于8 套纸质文件及8 份电子文件。</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tab/>
      </w:r>
    </w:p>
    <w:p w14:paraId="35B52EE5">
      <w:pPr>
        <w:spacing w:line="560" w:lineRule="exact"/>
        <w:ind w:firstLine="560" w:firstLineChars="200"/>
        <w:jc w:val="left"/>
        <w:rPr>
          <w:rFonts w:hint="eastAsia" w:ascii="仿宋_GB2312" w:hAnsi="仿宋_GB2312" w:eastAsia="仿宋_GB2312" w:cs="仿宋_GB2312"/>
          <w:sz w:val="28"/>
          <w:szCs w:val="28"/>
        </w:rPr>
      </w:pPr>
    </w:p>
    <w:p w14:paraId="2DB2C5F6">
      <w:pPr>
        <w:numPr>
          <w:ilvl w:val="0"/>
          <w:numId w:val="3"/>
        </w:numPr>
        <w:jc w:val="left"/>
        <w:rPr>
          <w:rFonts w:hint="eastAsia" w:ascii="黑体" w:hAnsi="黑体" w:eastAsia="黑体" w:cs="黑体"/>
          <w:sz w:val="32"/>
          <w:szCs w:val="32"/>
        </w:rPr>
      </w:pPr>
      <w:r>
        <w:rPr>
          <w:rFonts w:hint="eastAsia" w:ascii="黑体" w:hAnsi="黑体" w:eastAsia="黑体" w:cs="黑体"/>
          <w:sz w:val="32"/>
          <w:szCs w:val="32"/>
        </w:rPr>
        <w:t>工作要求</w:t>
      </w:r>
    </w:p>
    <w:p w14:paraId="02DD7CAA">
      <w:pPr>
        <w:spacing w:line="56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项目承接方需在施工周期内密切配合委托方，及时发现现场存在的问题，针对问题提出解决方案，并协助业主解决问题。</w:t>
      </w:r>
    </w:p>
    <w:p w14:paraId="0705F352">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进度方面要无条件配合业主完成项目施工及竣工验收的相关要求。</w:t>
      </w:r>
    </w:p>
    <w:p w14:paraId="1C2C10F3">
      <w:pPr>
        <w:pStyle w:val="174"/>
        <w:ind w:firstLine="420" w:firstLineChars="0"/>
        <w:rPr>
          <w:rFonts w:hint="eastAsia" w:ascii="仿宋" w:hAnsi="仿宋" w:eastAsia="仿宋" w:cs="Times New Roman"/>
          <w:b w:val="0"/>
          <w:bCs w:val="0"/>
          <w:sz w:val="24"/>
          <w:szCs w:val="24"/>
        </w:rPr>
      </w:pPr>
    </w:p>
    <w:p w14:paraId="1B405116">
      <w:pPr>
        <w:rPr>
          <w:rFonts w:hint="eastAsia" w:ascii="仿宋_GB2312" w:hAnsi="Times New Roman" w:eastAsia="仿宋_GB2312" w:cs="Times New Roman"/>
          <w:b/>
          <w:bCs/>
          <w:color w:val="auto"/>
          <w:sz w:val="30"/>
          <w:szCs w:val="30"/>
        </w:rPr>
      </w:pPr>
      <w:r>
        <w:rPr>
          <w:rFonts w:hint="eastAsia" w:ascii="仿宋_GB2312" w:hAnsi="Times New Roman" w:eastAsia="仿宋_GB2312" w:cs="Times New Roman"/>
          <w:b/>
          <w:bCs/>
          <w:color w:val="auto"/>
          <w:sz w:val="30"/>
          <w:szCs w:val="30"/>
        </w:rPr>
        <w:br w:type="page"/>
      </w:r>
    </w:p>
    <w:p w14:paraId="7EFD823D">
      <w:pPr>
        <w:spacing w:line="500" w:lineRule="exact"/>
        <w:rPr>
          <w:rFonts w:ascii="仿宋_GB2312" w:hAnsi="Times New Roman" w:eastAsia="仿宋_GB2312" w:cs="Times New Roman"/>
          <w:b/>
          <w:bCs/>
          <w:color w:val="auto"/>
          <w:sz w:val="30"/>
          <w:szCs w:val="30"/>
        </w:rPr>
      </w:pPr>
      <w:r>
        <w:rPr>
          <w:rFonts w:hint="eastAsia" w:ascii="仿宋_GB2312" w:hAnsi="Times New Roman" w:eastAsia="仿宋_GB2312" w:cs="Times New Roman"/>
          <w:b/>
          <w:bCs/>
          <w:color w:val="auto"/>
          <w:sz w:val="30"/>
          <w:szCs w:val="30"/>
        </w:rPr>
        <w:t>附件</w:t>
      </w:r>
      <w:r>
        <w:rPr>
          <w:rFonts w:hint="eastAsia" w:ascii="仿宋_GB2312" w:hAnsi="Times New Roman" w:eastAsia="仿宋_GB2312" w:cs="Times New Roman"/>
          <w:b/>
          <w:bCs/>
          <w:color w:val="auto"/>
          <w:sz w:val="30"/>
          <w:szCs w:val="30"/>
          <w:lang w:val="en-US" w:eastAsia="zh-CN"/>
        </w:rPr>
        <w:t>二</w:t>
      </w:r>
      <w:r>
        <w:rPr>
          <w:rFonts w:hint="eastAsia" w:ascii="仿宋_GB2312" w:hAnsi="Times New Roman" w:eastAsia="仿宋_GB2312" w:cs="Times New Roman"/>
          <w:b/>
          <w:bCs/>
          <w:color w:val="auto"/>
          <w:sz w:val="30"/>
          <w:szCs w:val="30"/>
        </w:rPr>
        <w:t>：响应文件一览表</w:t>
      </w:r>
    </w:p>
    <w:p w14:paraId="6EBA8DAC">
      <w:pPr>
        <w:widowControl/>
        <w:spacing w:line="560" w:lineRule="exact"/>
        <w:jc w:val="center"/>
        <w:rPr>
          <w:rFonts w:ascii="仿宋" w:hAnsi="仿宋" w:eastAsia="仿宋" w:cs="宋体"/>
          <w:b/>
          <w:color w:val="auto"/>
          <w:kern w:val="0"/>
          <w:sz w:val="30"/>
          <w:szCs w:val="30"/>
        </w:rPr>
      </w:pPr>
    </w:p>
    <w:p w14:paraId="6A1F05B2">
      <w:pPr>
        <w:widowControl/>
        <w:spacing w:line="560" w:lineRule="exact"/>
        <w:jc w:val="center"/>
        <w:rPr>
          <w:rFonts w:ascii="仿宋" w:hAnsi="仿宋" w:eastAsia="仿宋" w:cs="宋体"/>
          <w:color w:val="auto"/>
          <w:kern w:val="0"/>
          <w:sz w:val="30"/>
          <w:szCs w:val="30"/>
        </w:rPr>
      </w:pPr>
      <w:r>
        <w:rPr>
          <w:rFonts w:ascii="仿宋" w:hAnsi="仿宋" w:eastAsia="仿宋" w:cs="宋体"/>
          <w:b/>
          <w:color w:val="auto"/>
          <w:kern w:val="0"/>
          <w:sz w:val="30"/>
          <w:szCs w:val="30"/>
        </w:rPr>
        <w:t>响应文件要求一览表</w:t>
      </w:r>
    </w:p>
    <w:tbl>
      <w:tblPr>
        <w:tblStyle w:val="54"/>
        <w:tblW w:w="9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3478"/>
        <w:gridCol w:w="4518"/>
      </w:tblGrid>
      <w:tr w14:paraId="41B5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035" w:type="dxa"/>
            <w:vAlign w:val="center"/>
          </w:tcPr>
          <w:p w14:paraId="3883A643">
            <w:pPr>
              <w:spacing w:line="360" w:lineRule="exact"/>
              <w:jc w:val="center"/>
              <w:rPr>
                <w:rFonts w:ascii="宋体" w:hAnsi="宋体" w:eastAsia="宋体" w:cs="Times New Roman"/>
                <w:color w:val="auto"/>
                <w:sz w:val="24"/>
                <w:szCs w:val="24"/>
              </w:rPr>
            </w:pPr>
            <w:r>
              <w:rPr>
                <w:rFonts w:hint="eastAsia" w:ascii="宋体" w:hAnsi="宋体" w:eastAsia="宋体" w:cs="Times New Roman"/>
                <w:color w:val="auto"/>
                <w:sz w:val="24"/>
                <w:szCs w:val="24"/>
              </w:rPr>
              <w:t>序号</w:t>
            </w:r>
          </w:p>
        </w:tc>
        <w:tc>
          <w:tcPr>
            <w:tcW w:w="3478" w:type="dxa"/>
            <w:vAlign w:val="center"/>
          </w:tcPr>
          <w:p w14:paraId="1042EBE1">
            <w:pPr>
              <w:spacing w:line="360" w:lineRule="exact"/>
              <w:jc w:val="center"/>
              <w:rPr>
                <w:rFonts w:ascii="宋体" w:hAnsi="宋体" w:eastAsia="宋体" w:cs="Times New Roman"/>
                <w:color w:val="auto"/>
                <w:sz w:val="24"/>
                <w:szCs w:val="24"/>
              </w:rPr>
            </w:pPr>
            <w:r>
              <w:rPr>
                <w:rFonts w:ascii="宋体" w:hAnsi="宋体" w:eastAsia="宋体" w:cs="Times New Roman"/>
                <w:color w:val="auto"/>
                <w:sz w:val="24"/>
                <w:szCs w:val="24"/>
              </w:rPr>
              <w:t>文件名称</w:t>
            </w:r>
          </w:p>
        </w:tc>
        <w:tc>
          <w:tcPr>
            <w:tcW w:w="4518" w:type="dxa"/>
            <w:vAlign w:val="center"/>
          </w:tcPr>
          <w:p w14:paraId="0997E9FC">
            <w:pPr>
              <w:spacing w:line="360" w:lineRule="exact"/>
              <w:jc w:val="center"/>
              <w:rPr>
                <w:rFonts w:ascii="宋体" w:hAnsi="宋体" w:eastAsia="宋体" w:cs="Times New Roman"/>
                <w:color w:val="auto"/>
                <w:sz w:val="24"/>
                <w:szCs w:val="24"/>
              </w:rPr>
            </w:pPr>
            <w:r>
              <w:rPr>
                <w:rFonts w:ascii="宋体" w:hAnsi="宋体" w:eastAsia="宋体" w:cs="Times New Roman"/>
                <w:color w:val="auto"/>
                <w:sz w:val="24"/>
                <w:szCs w:val="24"/>
              </w:rPr>
              <w:t>要求说明</w:t>
            </w:r>
          </w:p>
        </w:tc>
      </w:tr>
      <w:tr w14:paraId="4F54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35" w:type="dxa"/>
            <w:vAlign w:val="center"/>
          </w:tcPr>
          <w:p w14:paraId="26A016AD">
            <w:pPr>
              <w:spacing w:line="360" w:lineRule="exact"/>
              <w:jc w:val="center"/>
              <w:rPr>
                <w:rFonts w:ascii="宋体" w:hAnsi="宋体" w:eastAsia="宋体" w:cs="Times New Roman"/>
                <w:color w:val="auto"/>
                <w:szCs w:val="21"/>
              </w:rPr>
            </w:pPr>
            <w:r>
              <w:rPr>
                <w:rFonts w:hint="eastAsia" w:ascii="宋体" w:hAnsi="宋体" w:eastAsia="宋体" w:cs="Times New Roman"/>
                <w:color w:val="auto"/>
                <w:szCs w:val="21"/>
              </w:rPr>
              <w:t>1</w:t>
            </w:r>
          </w:p>
        </w:tc>
        <w:tc>
          <w:tcPr>
            <w:tcW w:w="3478" w:type="dxa"/>
            <w:vAlign w:val="center"/>
          </w:tcPr>
          <w:p w14:paraId="43EB333D">
            <w:pPr>
              <w:adjustRightInd w:val="0"/>
              <w:snapToGrid w:val="0"/>
              <w:spacing w:line="580" w:lineRule="exact"/>
              <w:jc w:val="left"/>
              <w:rPr>
                <w:rFonts w:ascii="宋体" w:hAnsi="宋体" w:eastAsia="宋体" w:cs="Times New Roman"/>
                <w:color w:val="auto"/>
                <w:szCs w:val="21"/>
              </w:rPr>
            </w:pPr>
            <w:r>
              <w:rPr>
                <w:rFonts w:hint="eastAsia" w:ascii="宋体" w:hAnsi="宋体" w:eastAsia="宋体" w:cs="Times New Roman"/>
                <w:color w:val="auto"/>
                <w:szCs w:val="21"/>
              </w:rPr>
              <w:t>基本情况资料</w:t>
            </w:r>
          </w:p>
        </w:tc>
        <w:tc>
          <w:tcPr>
            <w:tcW w:w="4518" w:type="dxa"/>
            <w:vAlign w:val="center"/>
          </w:tcPr>
          <w:p w14:paraId="44CA486B">
            <w:pPr>
              <w:adjustRightInd w:val="0"/>
              <w:snapToGrid w:val="0"/>
              <w:spacing w:line="280" w:lineRule="exact"/>
              <w:jc w:val="left"/>
              <w:rPr>
                <w:rFonts w:hint="default" w:ascii="宋体" w:hAnsi="宋体" w:cs="Times New Roman" w:eastAsiaTheme="minorEastAsia"/>
                <w:color w:val="auto"/>
                <w:szCs w:val="21"/>
                <w:lang w:val="en-US" w:eastAsia="zh-CN"/>
              </w:rPr>
            </w:pPr>
            <w:r>
              <w:rPr>
                <w:rFonts w:hint="eastAsia" w:ascii="宋体" w:hAnsi="宋体"/>
                <w:color w:val="auto"/>
                <w:szCs w:val="21"/>
                <w:highlight w:val="none"/>
              </w:rPr>
              <w:t>提供营业执照复印件</w:t>
            </w:r>
            <w:r>
              <w:rPr>
                <w:rFonts w:hint="eastAsia" w:ascii="宋体" w:hAnsi="宋体"/>
                <w:color w:val="auto"/>
                <w:szCs w:val="21"/>
                <w:highlight w:val="none"/>
                <w:lang w:eastAsia="zh-CN"/>
              </w:rPr>
              <w:t>、</w:t>
            </w:r>
            <w:r>
              <w:rPr>
                <w:rFonts w:hint="eastAsia" w:ascii="宋体" w:hAnsi="宋体"/>
                <w:color w:val="auto"/>
                <w:szCs w:val="21"/>
                <w:highlight w:val="none"/>
              </w:rPr>
              <w:t>法定代表人证明书及身份证复印件、法定代表人授权委托书及身份证复印件</w:t>
            </w:r>
            <w:r>
              <w:rPr>
                <w:rFonts w:hint="eastAsia" w:ascii="宋体" w:hAnsi="宋体"/>
                <w:color w:val="auto"/>
                <w:szCs w:val="21"/>
                <w:highlight w:val="none"/>
                <w:lang w:val="en-US" w:eastAsia="zh-CN"/>
              </w:rPr>
              <w:t>加盖公章。</w:t>
            </w:r>
          </w:p>
        </w:tc>
      </w:tr>
      <w:tr w14:paraId="3923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35" w:type="dxa"/>
            <w:vAlign w:val="center"/>
          </w:tcPr>
          <w:p w14:paraId="301FD9EB">
            <w:pPr>
              <w:spacing w:line="360" w:lineRule="exact"/>
              <w:jc w:val="center"/>
              <w:rPr>
                <w:rFonts w:hint="eastAsia" w:ascii="宋体" w:hAnsi="宋体" w:eastAsia="宋体" w:cs="Times New Roman"/>
                <w:color w:val="auto"/>
                <w:szCs w:val="21"/>
                <w:lang w:val="en-US" w:eastAsia="zh-CN"/>
              </w:rPr>
            </w:pPr>
            <w:r>
              <w:rPr>
                <w:rFonts w:hint="eastAsia" w:ascii="宋体" w:hAnsi="宋体" w:cs="Times New Roman"/>
                <w:color w:val="auto"/>
                <w:szCs w:val="21"/>
                <w:lang w:val="en-US" w:eastAsia="zh-CN"/>
              </w:rPr>
              <w:t>2</w:t>
            </w:r>
          </w:p>
        </w:tc>
        <w:tc>
          <w:tcPr>
            <w:tcW w:w="3478" w:type="dxa"/>
            <w:vAlign w:val="center"/>
          </w:tcPr>
          <w:p w14:paraId="36C17A28">
            <w:pPr>
              <w:adjustRightInd w:val="0"/>
              <w:snapToGrid w:val="0"/>
              <w:spacing w:line="580" w:lineRule="exact"/>
              <w:jc w:val="left"/>
              <w:rPr>
                <w:rFonts w:ascii="宋体" w:hAnsi="宋体" w:eastAsia="宋体" w:cs="Times New Roman"/>
                <w:color w:val="auto"/>
                <w:szCs w:val="21"/>
              </w:rPr>
            </w:pPr>
            <w:r>
              <w:rPr>
                <w:rFonts w:hint="eastAsia" w:ascii="宋体" w:hAnsi="宋体" w:eastAsia="宋体" w:cs="Times New Roman"/>
                <w:color w:val="auto"/>
                <w:szCs w:val="21"/>
              </w:rPr>
              <w:t>承诺函</w:t>
            </w:r>
          </w:p>
        </w:tc>
        <w:tc>
          <w:tcPr>
            <w:tcW w:w="4518" w:type="dxa"/>
            <w:vAlign w:val="center"/>
          </w:tcPr>
          <w:p w14:paraId="79F1718F">
            <w:pPr>
              <w:spacing w:line="280" w:lineRule="exact"/>
              <w:jc w:val="left"/>
              <w:rPr>
                <w:rFonts w:hint="default" w:ascii="宋体" w:hAnsi="宋体" w:eastAsia="宋体" w:cs="Times New Roman"/>
                <w:color w:val="auto"/>
                <w:szCs w:val="21"/>
                <w:lang w:val="en-US" w:eastAsia="zh-CN"/>
              </w:rPr>
            </w:pPr>
            <w:r>
              <w:rPr>
                <w:rFonts w:hint="eastAsia" w:ascii="宋体" w:hAnsi="宋体" w:eastAsia="宋体" w:cs="仿宋"/>
                <w:color w:val="auto"/>
                <w:szCs w:val="21"/>
              </w:rPr>
              <w:t>报价不得超过</w:t>
            </w:r>
            <w:r>
              <w:rPr>
                <w:rFonts w:hint="eastAsia" w:ascii="宋体" w:hAnsi="宋体" w:cs="仿宋"/>
                <w:color w:val="auto"/>
                <w:szCs w:val="21"/>
                <w:lang w:val="en-US" w:eastAsia="zh-CN"/>
              </w:rPr>
              <w:t>投标报价</w:t>
            </w:r>
            <w:r>
              <w:rPr>
                <w:rFonts w:hint="eastAsia" w:ascii="宋体" w:hAnsi="宋体" w:eastAsia="宋体" w:cs="仿宋"/>
                <w:color w:val="auto"/>
                <w:szCs w:val="21"/>
              </w:rPr>
              <w:t>上限价，保留小数点后</w:t>
            </w:r>
            <w:r>
              <w:rPr>
                <w:rFonts w:hint="eastAsia" w:ascii="宋体" w:hAnsi="宋体" w:eastAsia="宋体" w:cs="仿宋"/>
                <w:color w:val="auto"/>
                <w:szCs w:val="21"/>
                <w:lang w:val="en-US" w:eastAsia="zh-CN"/>
              </w:rPr>
              <w:t>2</w:t>
            </w:r>
            <w:r>
              <w:rPr>
                <w:rFonts w:hint="eastAsia" w:ascii="宋体" w:hAnsi="宋体" w:eastAsia="宋体" w:cs="仿宋"/>
                <w:color w:val="auto"/>
                <w:szCs w:val="21"/>
              </w:rPr>
              <w:t>位，</w:t>
            </w:r>
            <w:r>
              <w:rPr>
                <w:rFonts w:hint="eastAsia" w:ascii="宋体" w:hAnsi="宋体" w:eastAsia="宋体" w:cs="仿宋"/>
                <w:color w:val="auto"/>
                <w:szCs w:val="21"/>
                <w:lang w:val="en-US" w:eastAsia="zh-CN"/>
              </w:rPr>
              <w:t>加盖公章</w:t>
            </w:r>
            <w:r>
              <w:rPr>
                <w:rFonts w:hint="eastAsia" w:ascii="宋体" w:hAnsi="宋体" w:cs="仿宋"/>
                <w:color w:val="auto"/>
                <w:szCs w:val="21"/>
                <w:lang w:val="en-US" w:eastAsia="zh-CN"/>
              </w:rPr>
              <w:t>。</w:t>
            </w:r>
          </w:p>
        </w:tc>
      </w:tr>
      <w:tr w14:paraId="6BD2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35" w:type="dxa"/>
            <w:vAlign w:val="center"/>
          </w:tcPr>
          <w:p w14:paraId="0B1E5282">
            <w:pPr>
              <w:spacing w:line="360" w:lineRule="exact"/>
              <w:jc w:val="center"/>
              <w:rPr>
                <w:rFonts w:hint="eastAsia" w:ascii="宋体" w:hAnsi="宋体" w:eastAsia="宋体" w:cs="Times New Roman"/>
                <w:color w:val="auto"/>
                <w:szCs w:val="21"/>
                <w:lang w:val="en-US" w:eastAsia="zh-CN"/>
              </w:rPr>
            </w:pPr>
            <w:r>
              <w:rPr>
                <w:rFonts w:hint="eastAsia" w:ascii="宋体" w:hAnsi="宋体" w:cs="Times New Roman"/>
                <w:color w:val="auto"/>
                <w:szCs w:val="21"/>
                <w:lang w:val="en-US" w:eastAsia="zh-CN"/>
              </w:rPr>
              <w:t>3</w:t>
            </w:r>
          </w:p>
        </w:tc>
        <w:tc>
          <w:tcPr>
            <w:tcW w:w="3478" w:type="dxa"/>
            <w:vAlign w:val="center"/>
          </w:tcPr>
          <w:p w14:paraId="7816F9D6">
            <w:pPr>
              <w:spacing w:line="360" w:lineRule="exact"/>
              <w:jc w:val="left"/>
              <w:rPr>
                <w:rFonts w:hint="eastAsia" w:ascii="宋体" w:hAnsi="宋体" w:eastAsia="宋体" w:cs="宋体"/>
                <w:color w:val="auto"/>
                <w:kern w:val="0"/>
                <w:szCs w:val="21"/>
              </w:rPr>
            </w:pPr>
            <w:r>
              <w:rPr>
                <w:rFonts w:hint="eastAsia" w:ascii="宋体" w:hAnsi="宋体" w:eastAsia="宋体" w:cs="宋体"/>
                <w:color w:val="auto"/>
                <w:kern w:val="0"/>
                <w:szCs w:val="21"/>
              </w:rPr>
              <w:t>龙岗区进一步规范政商交往行为告知书</w:t>
            </w:r>
          </w:p>
        </w:tc>
        <w:tc>
          <w:tcPr>
            <w:tcW w:w="4518" w:type="dxa"/>
            <w:vAlign w:val="center"/>
          </w:tcPr>
          <w:p w14:paraId="716D4E36">
            <w:pPr>
              <w:spacing w:line="280" w:lineRule="exact"/>
              <w:jc w:val="left"/>
              <w:rPr>
                <w:rFonts w:hint="eastAsia" w:ascii="宋体" w:hAnsi="宋体" w:eastAsia="宋体" w:cs="Times New Roman"/>
                <w:color w:val="auto"/>
                <w:szCs w:val="21"/>
              </w:rPr>
            </w:pPr>
            <w:r>
              <w:rPr>
                <w:rFonts w:hint="eastAsia" w:ascii="宋体" w:hAnsi="宋体" w:eastAsia="宋体" w:cs="Times New Roman"/>
                <w:color w:val="auto"/>
                <w:szCs w:val="21"/>
              </w:rPr>
              <w:t>提供法定代表人或者法定代表人授权人签字版</w:t>
            </w:r>
            <w:r>
              <w:rPr>
                <w:rFonts w:hint="eastAsia" w:ascii="宋体" w:hAnsi="宋体" w:eastAsia="宋体" w:cs="Times New Roman"/>
                <w:color w:val="auto"/>
                <w:szCs w:val="21"/>
                <w:lang w:eastAsia="zh-CN"/>
              </w:rPr>
              <w:t>，</w:t>
            </w:r>
            <w:r>
              <w:rPr>
                <w:rFonts w:hint="eastAsia" w:ascii="宋体" w:hAnsi="宋体" w:cs="Times New Roman"/>
                <w:color w:val="auto"/>
                <w:szCs w:val="21"/>
                <w:lang w:val="en-US" w:eastAsia="zh-CN"/>
              </w:rPr>
              <w:t>并</w:t>
            </w:r>
            <w:r>
              <w:rPr>
                <w:rFonts w:hint="eastAsia" w:ascii="宋体" w:hAnsi="宋体" w:eastAsia="宋体" w:cs="Times New Roman"/>
                <w:color w:val="auto"/>
                <w:szCs w:val="21"/>
                <w:lang w:val="en-US" w:eastAsia="zh-CN"/>
              </w:rPr>
              <w:t>加盖公章。</w:t>
            </w:r>
          </w:p>
          <w:p w14:paraId="45C902A8">
            <w:pPr>
              <w:spacing w:line="280" w:lineRule="exact"/>
              <w:jc w:val="left"/>
              <w:rPr>
                <w:rFonts w:hint="eastAsia" w:ascii="宋体" w:hAnsi="宋体" w:eastAsia="宋体" w:cs="Times New Roman"/>
                <w:color w:val="auto"/>
                <w:szCs w:val="21"/>
                <w:lang w:eastAsia="zh-CN"/>
              </w:rPr>
            </w:pPr>
            <w:r>
              <w:rPr>
                <w:rFonts w:hint="eastAsia" w:ascii="宋体" w:hAnsi="宋体" w:eastAsia="宋体" w:cs="Times New Roman"/>
                <w:color w:val="auto"/>
                <w:szCs w:val="21"/>
              </w:rPr>
              <w:t>格式见后附件</w:t>
            </w:r>
            <w:r>
              <w:rPr>
                <w:rFonts w:hint="eastAsia" w:ascii="宋体" w:hAnsi="宋体" w:cs="Times New Roman"/>
                <w:color w:val="auto"/>
                <w:szCs w:val="21"/>
                <w:lang w:eastAsia="zh-CN"/>
              </w:rPr>
              <w:t>。</w:t>
            </w:r>
          </w:p>
        </w:tc>
      </w:tr>
      <w:tr w14:paraId="7BD8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35" w:type="dxa"/>
            <w:vAlign w:val="center"/>
          </w:tcPr>
          <w:p w14:paraId="3A1F90F8">
            <w:pPr>
              <w:spacing w:line="360" w:lineRule="exact"/>
              <w:jc w:val="center"/>
              <w:rPr>
                <w:rFonts w:hint="default" w:ascii="宋体" w:hAnsi="宋体" w:cs="Times New Roman"/>
                <w:color w:val="auto"/>
                <w:szCs w:val="21"/>
                <w:lang w:val="en-US" w:eastAsia="zh-CN"/>
              </w:rPr>
            </w:pPr>
            <w:r>
              <w:rPr>
                <w:rFonts w:hint="eastAsia" w:ascii="宋体" w:hAnsi="宋体" w:cs="Times New Roman"/>
                <w:color w:val="auto"/>
                <w:szCs w:val="21"/>
                <w:lang w:val="en-US" w:eastAsia="zh-CN"/>
              </w:rPr>
              <w:t>4</w:t>
            </w:r>
          </w:p>
        </w:tc>
        <w:tc>
          <w:tcPr>
            <w:tcW w:w="3478" w:type="dxa"/>
            <w:vAlign w:val="center"/>
          </w:tcPr>
          <w:p w14:paraId="7E6A4A4C">
            <w:pPr>
              <w:spacing w:line="360" w:lineRule="exact"/>
              <w:jc w:val="left"/>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企业实力</w:t>
            </w:r>
          </w:p>
        </w:tc>
        <w:tc>
          <w:tcPr>
            <w:tcW w:w="4518" w:type="dxa"/>
            <w:vAlign w:val="center"/>
          </w:tcPr>
          <w:p w14:paraId="5D00A28A">
            <w:pPr>
              <w:spacing w:line="280" w:lineRule="exact"/>
              <w:jc w:val="left"/>
              <w:rPr>
                <w:rFonts w:hint="default" w:ascii="宋体" w:hAnsi="宋体" w:eastAsia="宋体" w:cs="Times New Roman"/>
                <w:color w:val="auto"/>
                <w:szCs w:val="21"/>
                <w:lang w:val="en-US" w:eastAsia="zh-CN"/>
              </w:rPr>
            </w:pPr>
            <w:r>
              <w:rPr>
                <w:rFonts w:hint="eastAsia" w:ascii="宋体" w:hAnsi="宋体" w:cs="Times New Roman"/>
                <w:color w:val="auto"/>
                <w:szCs w:val="21"/>
                <w:lang w:val="en-US" w:eastAsia="zh-CN"/>
              </w:rPr>
              <w:t>根据附件综合评分表要求的证明材料提供。</w:t>
            </w:r>
          </w:p>
        </w:tc>
      </w:tr>
      <w:tr w14:paraId="2A16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35" w:type="dxa"/>
            <w:vAlign w:val="center"/>
          </w:tcPr>
          <w:p w14:paraId="442E96E7">
            <w:pPr>
              <w:spacing w:line="360" w:lineRule="exact"/>
              <w:jc w:val="center"/>
              <w:rPr>
                <w:rFonts w:hint="default" w:ascii="宋体" w:hAnsi="宋体" w:eastAsia="宋体" w:cs="Times New Roman"/>
                <w:color w:val="auto"/>
                <w:szCs w:val="21"/>
                <w:lang w:val="en-US" w:eastAsia="zh-CN"/>
              </w:rPr>
            </w:pPr>
            <w:r>
              <w:rPr>
                <w:rFonts w:hint="eastAsia" w:ascii="宋体" w:hAnsi="宋体" w:cs="Times New Roman"/>
                <w:color w:val="auto"/>
                <w:szCs w:val="21"/>
                <w:lang w:val="en-US" w:eastAsia="zh-CN"/>
              </w:rPr>
              <w:t>5</w:t>
            </w:r>
          </w:p>
        </w:tc>
        <w:tc>
          <w:tcPr>
            <w:tcW w:w="3478" w:type="dxa"/>
            <w:vAlign w:val="center"/>
          </w:tcPr>
          <w:p w14:paraId="53D52703">
            <w:pPr>
              <w:spacing w:line="360" w:lineRule="exact"/>
              <w:jc w:val="left"/>
              <w:rPr>
                <w:rFonts w:ascii="宋体" w:hAnsi="宋体" w:eastAsia="宋体" w:cs="宋体"/>
                <w:color w:val="auto"/>
                <w:kern w:val="0"/>
                <w:szCs w:val="21"/>
              </w:rPr>
            </w:pPr>
            <w:r>
              <w:rPr>
                <w:rFonts w:hint="eastAsia" w:ascii="宋体" w:hAnsi="宋体" w:eastAsia="宋体" w:cs="宋体"/>
                <w:color w:val="auto"/>
                <w:kern w:val="0"/>
                <w:szCs w:val="21"/>
              </w:rPr>
              <w:t>报价人认为需要加以说明的其他内容</w:t>
            </w:r>
          </w:p>
        </w:tc>
        <w:tc>
          <w:tcPr>
            <w:tcW w:w="4518" w:type="dxa"/>
            <w:vAlign w:val="center"/>
          </w:tcPr>
          <w:p w14:paraId="5356173A">
            <w:pPr>
              <w:spacing w:line="280" w:lineRule="exact"/>
              <w:jc w:val="left"/>
              <w:rPr>
                <w:rFonts w:ascii="宋体" w:hAnsi="宋体" w:eastAsia="宋体" w:cs="Times New Roman"/>
                <w:color w:val="auto"/>
                <w:szCs w:val="21"/>
              </w:rPr>
            </w:pPr>
            <w:r>
              <w:rPr>
                <w:rFonts w:hint="eastAsia" w:ascii="宋体" w:hAnsi="宋体" w:eastAsia="宋体" w:cs="Times New Roman"/>
                <w:color w:val="auto"/>
                <w:szCs w:val="21"/>
              </w:rPr>
              <w:t>如有。</w:t>
            </w:r>
          </w:p>
        </w:tc>
      </w:tr>
    </w:tbl>
    <w:p w14:paraId="092CAB48">
      <w:pPr>
        <w:spacing w:line="240" w:lineRule="auto"/>
        <w:jc w:val="left"/>
        <w:rPr>
          <w:rFonts w:hint="eastAsia" w:ascii="方正小标宋简体" w:hAnsi="方正小标宋简体" w:eastAsia="方正小标宋简体" w:cs="方正小标宋简体"/>
          <w:sz w:val="44"/>
          <w:szCs w:val="44"/>
        </w:rPr>
      </w:pPr>
      <w:r>
        <w:rPr>
          <w:rFonts w:hint="eastAsia" w:ascii="仿宋_GB2312" w:hAnsi="Times New Roman" w:eastAsia="仿宋_GB2312" w:cs="Times New Roman"/>
          <w:color w:val="auto"/>
          <w:sz w:val="24"/>
          <w:szCs w:val="24"/>
        </w:rPr>
        <w:t>备注：以上提供资料均须加盖公章，未加盖公章资料视为无效资料。</w:t>
      </w:r>
    </w:p>
    <w:p w14:paraId="4FFF0C7B">
      <w:pPr>
        <w:spacing w:line="240" w:lineRule="auto"/>
        <w:jc w:val="left"/>
        <w:rPr>
          <w:rFonts w:hint="eastAsia" w:ascii="方正小标宋简体" w:hAnsi="方正小标宋简体" w:eastAsia="方正小标宋简体" w:cs="方正小标宋简体"/>
          <w:sz w:val="44"/>
          <w:szCs w:val="44"/>
          <w:lang w:eastAsia="zh-CN"/>
        </w:rPr>
      </w:pPr>
    </w:p>
    <w:p w14:paraId="31EA36E3">
      <w:pPr>
        <w:rPr>
          <w:rFonts w:hint="eastAsia" w:ascii="仿宋_GB2312" w:hAnsi="Times New Roman" w:eastAsia="仿宋_GB2312" w:cs="Times New Roman"/>
          <w:b/>
          <w:bCs/>
          <w:color w:val="auto"/>
          <w:sz w:val="30"/>
          <w:szCs w:val="30"/>
        </w:rPr>
      </w:pPr>
      <w:r>
        <w:rPr>
          <w:rFonts w:hint="eastAsia" w:ascii="仿宋_GB2312" w:hAnsi="Times New Roman" w:eastAsia="仿宋_GB2312" w:cs="Times New Roman"/>
          <w:b/>
          <w:bCs/>
          <w:color w:val="auto"/>
          <w:sz w:val="30"/>
          <w:szCs w:val="30"/>
        </w:rPr>
        <w:br w:type="page"/>
      </w:r>
    </w:p>
    <w:p w14:paraId="0372BB12">
      <w:pPr>
        <w:rPr>
          <w:rFonts w:ascii="仿宋_GB2312" w:hAnsi="Times New Roman" w:eastAsia="仿宋_GB2312" w:cs="Times New Roman"/>
          <w:b/>
          <w:bCs/>
          <w:color w:val="auto"/>
          <w:sz w:val="30"/>
          <w:szCs w:val="30"/>
        </w:rPr>
      </w:pPr>
      <w:r>
        <w:rPr>
          <w:rFonts w:hint="eastAsia" w:ascii="仿宋_GB2312" w:hAnsi="Times New Roman" w:eastAsia="仿宋_GB2312" w:cs="Times New Roman"/>
          <w:b/>
          <w:bCs/>
          <w:color w:val="auto"/>
          <w:sz w:val="30"/>
          <w:szCs w:val="30"/>
        </w:rPr>
        <w:t>附件</w:t>
      </w:r>
      <w:r>
        <w:rPr>
          <w:rFonts w:hint="eastAsia" w:ascii="仿宋_GB2312" w:hAnsi="Times New Roman" w:eastAsia="仿宋_GB2312" w:cs="Times New Roman"/>
          <w:b/>
          <w:bCs/>
          <w:color w:val="auto"/>
          <w:sz w:val="30"/>
          <w:szCs w:val="30"/>
          <w:lang w:val="en-US" w:eastAsia="zh-CN"/>
        </w:rPr>
        <w:t>三</w:t>
      </w:r>
      <w:r>
        <w:rPr>
          <w:rFonts w:hint="eastAsia" w:ascii="仿宋_GB2312" w:hAnsi="Times New Roman" w:eastAsia="仿宋_GB2312" w:cs="Times New Roman"/>
          <w:b/>
          <w:bCs/>
          <w:color w:val="auto"/>
          <w:sz w:val="30"/>
          <w:szCs w:val="30"/>
        </w:rPr>
        <w:t>：承诺函</w:t>
      </w:r>
    </w:p>
    <w:p w14:paraId="02136814">
      <w:pPr>
        <w:pStyle w:val="30"/>
        <w:spacing w:line="520" w:lineRule="exact"/>
        <w:jc w:val="center"/>
        <w:rPr>
          <w:rFonts w:hAnsi="宋体"/>
          <w:bCs/>
          <w:color w:val="auto"/>
          <w:sz w:val="24"/>
          <w:szCs w:val="24"/>
          <w:highlight w:val="none"/>
        </w:rPr>
      </w:pPr>
      <w:r>
        <w:rPr>
          <w:rFonts w:hint="eastAsia" w:hAnsi="宋体"/>
          <w:color w:val="auto"/>
          <w:sz w:val="36"/>
          <w:szCs w:val="36"/>
          <w:highlight w:val="none"/>
        </w:rPr>
        <w:t>承诺函</w:t>
      </w:r>
    </w:p>
    <w:p w14:paraId="680F1C25">
      <w:pPr>
        <w:pStyle w:val="30"/>
        <w:spacing w:line="360" w:lineRule="auto"/>
        <w:ind w:left="0" w:leftChars="0" w:firstLine="0" w:firstLineChars="0"/>
        <w:rPr>
          <w:rFonts w:hint="eastAsia" w:hAnsi="宋体"/>
          <w:bCs/>
          <w:color w:val="auto"/>
          <w:sz w:val="24"/>
          <w:szCs w:val="24"/>
          <w:highlight w:val="none"/>
        </w:rPr>
      </w:pPr>
    </w:p>
    <w:p w14:paraId="592C4C8C">
      <w:pPr>
        <w:pStyle w:val="30"/>
        <w:spacing w:line="360" w:lineRule="auto"/>
        <w:ind w:left="0" w:leftChars="0" w:firstLine="0" w:firstLineChars="0"/>
        <w:rPr>
          <w:rFonts w:hAnsi="宋体"/>
          <w:bCs/>
          <w:color w:val="auto"/>
          <w:sz w:val="24"/>
          <w:szCs w:val="24"/>
          <w:highlight w:val="none"/>
        </w:rPr>
      </w:pPr>
      <w:r>
        <w:rPr>
          <w:rFonts w:hint="eastAsia" w:hAnsi="宋体"/>
          <w:bCs/>
          <w:color w:val="auto"/>
          <w:sz w:val="24"/>
          <w:szCs w:val="24"/>
          <w:highlight w:val="none"/>
        </w:rPr>
        <w:t>致</w:t>
      </w:r>
      <w:r>
        <w:rPr>
          <w:rFonts w:hint="eastAsia" w:hAnsi="宋体"/>
          <w:bCs/>
          <w:color w:val="auto"/>
          <w:sz w:val="24"/>
          <w:szCs w:val="24"/>
          <w:highlight w:val="none"/>
          <w:lang w:val="en-US" w:eastAsia="zh-CN"/>
        </w:rPr>
        <w:t>委托人</w:t>
      </w:r>
      <w:r>
        <w:rPr>
          <w:rFonts w:hint="eastAsia" w:hAnsi="宋体"/>
          <w:bCs/>
          <w:color w:val="auto"/>
          <w:sz w:val="24"/>
          <w:szCs w:val="24"/>
          <w:highlight w:val="none"/>
          <w:lang w:eastAsia="zh-CN"/>
        </w:rPr>
        <w:t>：</w:t>
      </w:r>
      <w:r>
        <w:rPr>
          <w:rFonts w:hint="eastAsia" w:hAnsi="宋体"/>
          <w:color w:val="auto"/>
          <w:sz w:val="24"/>
          <w:szCs w:val="24"/>
          <w:highlight w:val="none"/>
          <w:u w:val="none"/>
        </w:rPr>
        <w:t>深圳市龙岗区城投绿色低碳新能源产业发展有限公司</w:t>
      </w:r>
    </w:p>
    <w:p w14:paraId="39FABF40">
      <w:pPr>
        <w:spacing w:line="360" w:lineRule="auto"/>
        <w:ind w:left="0" w:leftChars="0" w:firstLine="480" w:firstLineChars="200"/>
        <w:jc w:val="left"/>
        <w:rPr>
          <w:rFonts w:hint="eastAsia" w:hAnsi="宋体" w:eastAsia="宋体"/>
          <w:bCs/>
          <w:color w:val="auto"/>
          <w:sz w:val="24"/>
          <w:szCs w:val="24"/>
          <w:highlight w:val="none"/>
          <w:lang w:val="en-US" w:eastAsia="zh-CN"/>
        </w:rPr>
      </w:pPr>
      <w:r>
        <w:rPr>
          <w:rFonts w:hint="eastAsia" w:hAnsi="宋体"/>
          <w:bCs/>
          <w:color w:val="auto"/>
          <w:sz w:val="24"/>
          <w:szCs w:val="24"/>
          <w:highlight w:val="none"/>
        </w:rPr>
        <w:t>为了确保本项目工作顺利进行，我方将严格</w:t>
      </w:r>
      <w:r>
        <w:rPr>
          <w:rFonts w:hint="eastAsia" w:hAnsi="宋体"/>
          <w:bCs/>
          <w:color w:val="auto"/>
          <w:sz w:val="24"/>
          <w:szCs w:val="24"/>
          <w:highlight w:val="none"/>
          <w:lang w:val="en-US" w:eastAsia="zh-CN"/>
        </w:rPr>
        <w:t>遵守本项目涉及的相关</w:t>
      </w:r>
      <w:r>
        <w:rPr>
          <w:rFonts w:hint="eastAsia" w:hAnsi="宋体"/>
          <w:bCs/>
          <w:color w:val="auto"/>
          <w:sz w:val="24"/>
          <w:szCs w:val="24"/>
          <w:highlight w:val="none"/>
        </w:rPr>
        <w:t>法律法规，并完全接受</w:t>
      </w:r>
      <w:r>
        <w:rPr>
          <w:rFonts w:hint="eastAsia" w:hAnsi="宋体"/>
          <w:bCs/>
          <w:color w:val="auto"/>
          <w:sz w:val="24"/>
          <w:szCs w:val="24"/>
          <w:highlight w:val="none"/>
          <w:u w:val="single"/>
        </w:rPr>
        <w:t>深圳建筑产业生态智谷总部基地一期绿色建筑符合性评估</w:t>
      </w:r>
      <w:r>
        <w:rPr>
          <w:rFonts w:hint="eastAsia" w:hAnsi="宋体"/>
          <w:bCs/>
          <w:color w:val="auto"/>
          <w:sz w:val="24"/>
          <w:szCs w:val="24"/>
          <w:highlight w:val="none"/>
        </w:rPr>
        <w:t>服务采购的所有内容及要求</w:t>
      </w:r>
      <w:r>
        <w:rPr>
          <w:rFonts w:hint="eastAsia" w:hAnsi="宋体"/>
          <w:bCs/>
          <w:color w:val="auto"/>
          <w:sz w:val="24"/>
          <w:szCs w:val="24"/>
          <w:highlight w:val="none"/>
          <w:lang w:eastAsia="zh-CN"/>
        </w:rPr>
        <w:t>，</w:t>
      </w:r>
      <w:r>
        <w:rPr>
          <w:rFonts w:hint="eastAsia" w:hAnsi="宋体"/>
          <w:bCs/>
          <w:color w:val="auto"/>
          <w:sz w:val="24"/>
          <w:szCs w:val="24"/>
          <w:highlight w:val="none"/>
        </w:rPr>
        <w:t>为此作出如下承诺：</w:t>
      </w:r>
    </w:p>
    <w:p w14:paraId="4ECD3173">
      <w:pPr>
        <w:numPr>
          <w:ilvl w:val="0"/>
          <w:numId w:val="4"/>
        </w:numPr>
        <w:spacing w:line="360" w:lineRule="auto"/>
        <w:ind w:firstLine="482" w:firstLineChars="200"/>
        <w:rPr>
          <w:rFonts w:ascii="宋体" w:hAnsi="宋体" w:eastAsia="宋体" w:cs="Times New Roman"/>
          <w:b/>
          <w:color w:val="auto"/>
          <w:sz w:val="24"/>
          <w:szCs w:val="24"/>
        </w:rPr>
      </w:pPr>
      <w:r>
        <w:rPr>
          <w:rFonts w:hint="eastAsia" w:ascii="宋体" w:hAnsi="宋体" w:eastAsia="宋体" w:cs="Times New Roman"/>
          <w:b/>
          <w:bCs/>
          <w:color w:val="auto"/>
          <w:sz w:val="24"/>
          <w:szCs w:val="24"/>
        </w:rPr>
        <w:t>根</w:t>
      </w:r>
      <w:r>
        <w:rPr>
          <w:rFonts w:hint="eastAsia" w:ascii="宋体" w:hAnsi="宋体" w:eastAsia="宋体" w:cs="Times New Roman"/>
          <w:b/>
          <w:color w:val="auto"/>
          <w:sz w:val="24"/>
          <w:szCs w:val="24"/>
        </w:rPr>
        <w:t>据企业自身情况，理性报价，不会以低于成本的报价竞标，并愿以</w:t>
      </w:r>
      <w:r>
        <w:rPr>
          <w:rFonts w:hint="eastAsia" w:ascii="宋体" w:hAnsi="宋体" w:cs="Times New Roman"/>
          <w:b/>
          <w:color w:val="auto"/>
          <w:sz w:val="24"/>
          <w:szCs w:val="24"/>
          <w:u w:val="single"/>
          <w:lang w:val="en-US" w:eastAsia="zh-CN"/>
        </w:rPr>
        <w:t xml:space="preserve">    </w:t>
      </w:r>
      <w:r>
        <w:rPr>
          <w:rFonts w:hint="eastAsia" w:ascii="宋体" w:hAnsi="宋体" w:eastAsia="宋体" w:cs="Times New Roman"/>
          <w:b/>
          <w:color w:val="auto"/>
          <w:sz w:val="24"/>
          <w:szCs w:val="24"/>
        </w:rPr>
        <w:t>万元，按照</w:t>
      </w:r>
      <w:r>
        <w:rPr>
          <w:rFonts w:hint="eastAsia" w:ascii="宋体" w:hAnsi="宋体" w:cs="Times New Roman"/>
          <w:b/>
          <w:color w:val="auto"/>
          <w:sz w:val="24"/>
          <w:szCs w:val="24"/>
          <w:lang w:eastAsia="zh-CN"/>
        </w:rPr>
        <w:t>委托人</w:t>
      </w:r>
      <w:r>
        <w:rPr>
          <w:rFonts w:hint="eastAsia" w:ascii="宋体" w:hAnsi="宋体" w:eastAsia="宋体" w:cs="Times New Roman"/>
          <w:b/>
          <w:color w:val="auto"/>
          <w:sz w:val="24"/>
          <w:szCs w:val="24"/>
        </w:rPr>
        <w:t>要求承包本项目工作，并签署服务合同。否则，我方愿意承担任何风险。</w:t>
      </w:r>
    </w:p>
    <w:p w14:paraId="32978B29">
      <w:pPr>
        <w:numPr>
          <w:ilvl w:val="0"/>
          <w:numId w:val="4"/>
        </w:numPr>
        <w:spacing w:line="360" w:lineRule="auto"/>
        <w:ind w:firstLine="480" w:firstLineChars="200"/>
        <w:rPr>
          <w:rFonts w:ascii="宋体" w:hAnsi="宋体" w:eastAsia="宋体" w:cs="Times New Roman"/>
          <w:bCs/>
          <w:color w:val="auto"/>
          <w:sz w:val="24"/>
          <w:szCs w:val="24"/>
        </w:rPr>
      </w:pPr>
      <w:r>
        <w:rPr>
          <w:rFonts w:hint="eastAsia" w:ascii="宋体" w:hAnsi="宋体" w:eastAsia="宋体" w:cs="Times New Roman"/>
          <w:bCs/>
          <w:color w:val="auto"/>
          <w:sz w:val="24"/>
          <w:szCs w:val="24"/>
        </w:rPr>
        <w:t>一旦我方中选，将与委托单位友好合作，并以不低于自身已有同类工作案例中最优的质量标准、进度要求、团队配置执行委托工作任务，自觉接受委托单位的日常监管和履约评价，为委托单位提供优质、高效服务，确保承接工作质量。</w:t>
      </w:r>
    </w:p>
    <w:p w14:paraId="554DA5A1">
      <w:pPr>
        <w:numPr>
          <w:ilvl w:val="0"/>
          <w:numId w:val="4"/>
        </w:numPr>
        <w:spacing w:line="360" w:lineRule="auto"/>
        <w:ind w:firstLine="480" w:firstLineChars="200"/>
        <w:rPr>
          <w:rFonts w:ascii="宋体" w:hAnsi="宋体" w:eastAsia="宋体" w:cs="Times New Roman"/>
          <w:bCs/>
          <w:color w:val="auto"/>
          <w:sz w:val="24"/>
          <w:szCs w:val="24"/>
        </w:rPr>
      </w:pPr>
      <w:r>
        <w:rPr>
          <w:rFonts w:hint="eastAsia" w:ascii="宋体" w:hAnsi="宋体" w:eastAsia="宋体" w:cs="Times New Roman"/>
          <w:bCs/>
          <w:color w:val="auto"/>
          <w:sz w:val="24"/>
          <w:szCs w:val="24"/>
        </w:rPr>
        <w:t>我方承诺履行项目管理班子配备义务，不擅自更换</w:t>
      </w:r>
      <w:r>
        <w:rPr>
          <w:rFonts w:hint="eastAsia" w:ascii="宋体" w:hAnsi="宋体" w:cs="Times New Roman"/>
          <w:bCs/>
          <w:color w:val="auto"/>
          <w:sz w:val="24"/>
          <w:szCs w:val="24"/>
          <w:lang w:val="en-US" w:eastAsia="zh-CN"/>
        </w:rPr>
        <w:t>投标</w:t>
      </w:r>
      <w:r>
        <w:rPr>
          <w:rFonts w:hint="eastAsia" w:ascii="宋体" w:hAnsi="宋体" w:eastAsia="宋体" w:cs="Times New Roman"/>
          <w:bCs/>
          <w:color w:val="auto"/>
          <w:sz w:val="24"/>
          <w:szCs w:val="24"/>
        </w:rPr>
        <w:t>时的项目团队（注册执业人员），如不能继续履行职责确需更换的，所更换人员为我单位职工，其从业资格不低于</w:t>
      </w:r>
      <w:r>
        <w:rPr>
          <w:rFonts w:hint="eastAsia" w:ascii="宋体" w:hAnsi="宋体" w:cs="Times New Roman"/>
          <w:bCs/>
          <w:color w:val="auto"/>
          <w:sz w:val="24"/>
          <w:szCs w:val="24"/>
          <w:lang w:val="en-US" w:eastAsia="zh-CN"/>
        </w:rPr>
        <w:t>投标</w:t>
      </w:r>
      <w:r>
        <w:rPr>
          <w:rFonts w:hint="eastAsia" w:ascii="宋体" w:hAnsi="宋体" w:eastAsia="宋体" w:cs="Times New Roman"/>
          <w:bCs/>
          <w:color w:val="auto"/>
          <w:sz w:val="24"/>
          <w:szCs w:val="24"/>
        </w:rPr>
        <w:t>时承诺条件。</w:t>
      </w:r>
    </w:p>
    <w:p w14:paraId="0BD4E855">
      <w:pPr>
        <w:numPr>
          <w:ilvl w:val="0"/>
          <w:numId w:val="4"/>
        </w:numPr>
        <w:spacing w:line="360" w:lineRule="auto"/>
        <w:ind w:firstLine="480" w:firstLineChars="200"/>
        <w:rPr>
          <w:rFonts w:ascii="宋体" w:hAnsi="宋体" w:eastAsia="宋体" w:cs="Times New Roman"/>
          <w:bCs/>
          <w:color w:val="auto"/>
          <w:sz w:val="24"/>
          <w:szCs w:val="24"/>
        </w:rPr>
      </w:pPr>
      <w:r>
        <w:rPr>
          <w:rFonts w:hint="eastAsia" w:ascii="宋体" w:hAnsi="宋体" w:eastAsia="宋体" w:cs="Times New Roman"/>
          <w:bCs/>
          <w:color w:val="auto"/>
          <w:sz w:val="24"/>
          <w:szCs w:val="24"/>
        </w:rPr>
        <w:t>如果违反本承诺书中任何条款，我方愿意接受：</w:t>
      </w:r>
    </w:p>
    <w:p w14:paraId="260A5B01">
      <w:pPr>
        <w:spacing w:line="360" w:lineRule="auto"/>
        <w:ind w:firstLine="480" w:firstLineChars="200"/>
        <w:rPr>
          <w:rFonts w:ascii="宋体" w:hAnsi="宋体" w:eastAsia="宋体" w:cs="Times New Roman"/>
          <w:bCs/>
          <w:color w:val="auto"/>
          <w:sz w:val="24"/>
          <w:szCs w:val="24"/>
        </w:rPr>
      </w:pPr>
      <w:r>
        <w:rPr>
          <w:rFonts w:hint="eastAsia" w:ascii="宋体" w:hAnsi="宋体" w:eastAsia="宋体" w:cs="Times New Roman"/>
          <w:bCs/>
          <w:color w:val="auto"/>
          <w:sz w:val="24"/>
          <w:szCs w:val="24"/>
        </w:rPr>
        <w:t>（1）视作我方单方面违约，并按照合同规定向贵方支付违约金或解除合同；</w:t>
      </w:r>
    </w:p>
    <w:p w14:paraId="2EE4380C">
      <w:pPr>
        <w:spacing w:line="360" w:lineRule="auto"/>
        <w:ind w:firstLine="480" w:firstLineChars="200"/>
        <w:rPr>
          <w:rFonts w:ascii="宋体" w:hAnsi="宋体" w:eastAsia="宋体" w:cs="Times New Roman"/>
          <w:bCs/>
          <w:color w:val="auto"/>
          <w:sz w:val="24"/>
          <w:szCs w:val="24"/>
        </w:rPr>
      </w:pPr>
      <w:r>
        <w:rPr>
          <w:rFonts w:hint="eastAsia" w:ascii="宋体" w:hAnsi="宋体" w:eastAsia="宋体" w:cs="Times New Roman"/>
          <w:bCs/>
          <w:color w:val="auto"/>
          <w:sz w:val="24"/>
          <w:szCs w:val="24"/>
        </w:rPr>
        <w:t>（2）履约评价评定为合格及以下；</w:t>
      </w:r>
    </w:p>
    <w:p w14:paraId="460C55BA">
      <w:pPr>
        <w:spacing w:line="360" w:lineRule="auto"/>
        <w:ind w:firstLine="480" w:firstLineChars="200"/>
        <w:rPr>
          <w:rFonts w:ascii="宋体" w:hAnsi="宋体" w:eastAsia="宋体" w:cs="Times New Roman"/>
          <w:bCs/>
          <w:color w:val="auto"/>
          <w:sz w:val="24"/>
          <w:szCs w:val="24"/>
        </w:rPr>
      </w:pPr>
      <w:r>
        <w:rPr>
          <w:rFonts w:hint="eastAsia" w:ascii="宋体" w:hAnsi="宋体" w:eastAsia="宋体" w:cs="Times New Roman"/>
          <w:bCs/>
          <w:color w:val="auto"/>
          <w:sz w:val="24"/>
          <w:szCs w:val="24"/>
        </w:rPr>
        <w:t>（3）贵方今后可拒绝我方参与投标；</w:t>
      </w:r>
    </w:p>
    <w:p w14:paraId="0BBF50D1">
      <w:pPr>
        <w:spacing w:line="360" w:lineRule="auto"/>
        <w:ind w:firstLine="480" w:firstLineChars="200"/>
        <w:rPr>
          <w:rFonts w:ascii="宋体" w:hAnsi="宋体" w:eastAsia="宋体" w:cs="Times New Roman"/>
          <w:bCs/>
          <w:color w:val="auto"/>
          <w:sz w:val="24"/>
          <w:szCs w:val="24"/>
        </w:rPr>
      </w:pPr>
      <w:r>
        <w:rPr>
          <w:rFonts w:hint="eastAsia" w:ascii="宋体" w:hAnsi="宋体" w:eastAsia="宋体" w:cs="Times New Roman"/>
          <w:bCs/>
          <w:color w:val="auto"/>
          <w:sz w:val="24"/>
          <w:szCs w:val="24"/>
        </w:rPr>
        <w:t>（4）建设行政主管部门或相关主管部门的不良行为记录、行政处罚。</w:t>
      </w:r>
    </w:p>
    <w:p w14:paraId="29C30827">
      <w:pPr>
        <w:spacing w:line="600" w:lineRule="exact"/>
        <w:rPr>
          <w:rFonts w:ascii="宋体" w:hAnsi="宋体" w:eastAsia="宋体" w:cs="Times New Roman"/>
          <w:bCs/>
          <w:color w:val="auto"/>
          <w:sz w:val="24"/>
          <w:szCs w:val="24"/>
        </w:rPr>
      </w:pPr>
    </w:p>
    <w:p w14:paraId="18DECF7F">
      <w:pPr>
        <w:spacing w:line="600" w:lineRule="exact"/>
        <w:ind w:firstLine="3600" w:firstLineChars="1500"/>
        <w:rPr>
          <w:rFonts w:ascii="宋体" w:hAnsi="宋体" w:eastAsia="宋体" w:cs="Times New Roman"/>
          <w:bCs/>
          <w:color w:val="auto"/>
          <w:sz w:val="24"/>
          <w:szCs w:val="24"/>
        </w:rPr>
      </w:pPr>
      <w:r>
        <w:rPr>
          <w:rFonts w:hint="eastAsia" w:ascii="宋体" w:hAnsi="宋体" w:eastAsia="宋体" w:cs="Times New Roman"/>
          <w:bCs/>
          <w:color w:val="auto"/>
          <w:sz w:val="24"/>
          <w:szCs w:val="24"/>
        </w:rPr>
        <w:t>承诺单位（盖章）：</w:t>
      </w:r>
    </w:p>
    <w:p w14:paraId="03804E12">
      <w:pPr>
        <w:spacing w:line="600" w:lineRule="exact"/>
        <w:ind w:firstLine="3600" w:firstLineChars="1500"/>
        <w:rPr>
          <w:rFonts w:ascii="宋体" w:hAnsi="宋体" w:eastAsia="宋体" w:cs="Times New Roman"/>
          <w:bCs/>
          <w:color w:val="auto"/>
          <w:sz w:val="24"/>
          <w:szCs w:val="24"/>
        </w:rPr>
      </w:pPr>
      <w:r>
        <w:rPr>
          <w:rFonts w:hint="eastAsia" w:ascii="宋体" w:hAnsi="宋体" w:eastAsia="宋体" w:cs="Times New Roman"/>
          <w:bCs/>
          <w:color w:val="auto"/>
          <w:sz w:val="24"/>
          <w:szCs w:val="24"/>
        </w:rPr>
        <w:t>法定代表人或授权</w:t>
      </w:r>
      <w:r>
        <w:rPr>
          <w:rFonts w:hint="eastAsia" w:ascii="宋体" w:hAnsi="宋体" w:cs="Times New Roman"/>
          <w:bCs/>
          <w:color w:val="auto"/>
          <w:sz w:val="24"/>
          <w:szCs w:val="24"/>
          <w:lang w:val="en-US" w:eastAsia="zh-CN"/>
        </w:rPr>
        <w:t>代表</w:t>
      </w:r>
      <w:r>
        <w:rPr>
          <w:rFonts w:hint="eastAsia" w:ascii="宋体" w:hAnsi="宋体" w:eastAsia="宋体" w:cs="Times New Roman"/>
          <w:bCs/>
          <w:color w:val="auto"/>
          <w:sz w:val="24"/>
          <w:szCs w:val="24"/>
        </w:rPr>
        <w:t>（签字或盖私章）：</w:t>
      </w:r>
    </w:p>
    <w:p w14:paraId="42A8A0AE">
      <w:pPr>
        <w:spacing w:line="600" w:lineRule="exact"/>
        <w:ind w:firstLine="3600" w:firstLineChars="1500"/>
        <w:jc w:val="left"/>
        <w:rPr>
          <w:rFonts w:hint="eastAsia" w:ascii="方正小标宋简体" w:hAnsi="方正小标宋简体" w:eastAsia="方正小标宋简体" w:cs="方正小标宋简体"/>
          <w:sz w:val="44"/>
          <w:szCs w:val="44"/>
        </w:rPr>
      </w:pPr>
      <w:r>
        <w:rPr>
          <w:rFonts w:hint="eastAsia" w:ascii="宋体" w:hAnsi="宋体" w:eastAsia="宋体" w:cs="Times New Roman"/>
          <w:bCs/>
          <w:color w:val="auto"/>
          <w:sz w:val="24"/>
          <w:szCs w:val="24"/>
        </w:rPr>
        <w:t>签署日期：    年    月    日</w:t>
      </w:r>
    </w:p>
    <w:p w14:paraId="145CF384">
      <w:pPr>
        <w:rPr>
          <w:rFonts w:hint="eastAsia" w:ascii="仿宋_GB2312" w:hAnsi="Times New Roman" w:eastAsia="仿宋_GB2312"/>
          <w:b/>
          <w:bCs/>
          <w:color w:val="auto"/>
          <w:sz w:val="30"/>
          <w:szCs w:val="30"/>
          <w:highlight w:val="none"/>
          <w:lang w:val="en-US" w:eastAsia="zh-CN"/>
        </w:rPr>
      </w:pPr>
      <w:r>
        <w:rPr>
          <w:rFonts w:hint="eastAsia" w:ascii="仿宋_GB2312" w:hAnsi="Times New Roman" w:eastAsia="仿宋_GB2312"/>
          <w:b/>
          <w:bCs/>
          <w:color w:val="auto"/>
          <w:sz w:val="30"/>
          <w:szCs w:val="30"/>
          <w:highlight w:val="none"/>
          <w:lang w:val="en-US" w:eastAsia="zh-CN"/>
        </w:rPr>
        <w:br w:type="page"/>
      </w:r>
    </w:p>
    <w:p w14:paraId="0C33072B">
      <w:pPr>
        <w:spacing w:line="500" w:lineRule="exact"/>
        <w:jc w:val="both"/>
        <w:rPr>
          <w:rFonts w:hint="eastAsia" w:ascii="仿宋_GB2312" w:hAnsi="Times New Roman" w:eastAsia="仿宋_GB2312"/>
          <w:b/>
          <w:bCs/>
          <w:color w:val="auto"/>
          <w:sz w:val="30"/>
          <w:szCs w:val="30"/>
          <w:highlight w:val="none"/>
          <w:lang w:val="en-US" w:eastAsia="zh-CN"/>
        </w:rPr>
      </w:pPr>
      <w:r>
        <w:rPr>
          <w:rFonts w:hint="eastAsia" w:ascii="仿宋_GB2312" w:hAnsi="Times New Roman" w:eastAsia="仿宋_GB2312"/>
          <w:b/>
          <w:bCs/>
          <w:color w:val="auto"/>
          <w:sz w:val="30"/>
          <w:szCs w:val="30"/>
          <w:highlight w:val="none"/>
          <w:lang w:val="en-US" w:eastAsia="zh-CN"/>
        </w:rPr>
        <w:t>附件四：</w:t>
      </w:r>
    </w:p>
    <w:p w14:paraId="2A9ECDF0">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b/>
          <w:bCs/>
          <w:sz w:val="28"/>
          <w:szCs w:val="28"/>
        </w:rPr>
      </w:pPr>
      <w:r>
        <w:rPr>
          <w:rFonts w:hint="eastAsia"/>
          <w:b/>
          <w:bCs/>
          <w:sz w:val="28"/>
          <w:szCs w:val="28"/>
        </w:rPr>
        <w:t>龙岗区进一步规范政商交往行为告知书</w:t>
      </w:r>
    </w:p>
    <w:p w14:paraId="1A5601B0">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为深入构建“亲”“清”新型政商关系，努力打造尊商、亲商、助商、安商良好营商环境，龙岗区委区政府制定了《龙岗区公职人员政商交往“十个不准”》，严明公职人员在政商交往中的纪律要求。请参与龙岗建设的广大企业及其从业人员，严格监督我区公职人员落实“十个不准”，并在与我区公职人员交往中切实做到“十个不得”。</w:t>
      </w:r>
    </w:p>
    <w:p w14:paraId="0D5C6B2F">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一、不得向公职人员赠送礼品、礼金、消费卡等财物。</w:t>
      </w:r>
    </w:p>
    <w:p w14:paraId="1ED03F92">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二、不得违规向公职人员提供宴请、旅游、娱乐等安排。</w:t>
      </w:r>
    </w:p>
    <w:p w14:paraId="1F2280FE">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三、不得通过打麻将等形式向公职人员输送利益。</w:t>
      </w:r>
    </w:p>
    <w:p w14:paraId="107D5BC6">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四、不得为公职人员报销应由其个人支付的费用。</w:t>
      </w:r>
    </w:p>
    <w:p w14:paraId="15BB4148">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五、不得违规向公职人员及其亲友借贷款。</w:t>
      </w:r>
    </w:p>
    <w:p w14:paraId="76569975">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六、不得违规将车辆、住房等借给公职人员使用。</w:t>
      </w:r>
    </w:p>
    <w:p w14:paraId="52EDAA7C">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七、不得在招投标中与公职人员搞暗箱操作、围标串标。</w:t>
      </w:r>
    </w:p>
    <w:p w14:paraId="57B9362D">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八、不得为利益相关人和公职人员牵线搭桥或者代为传递信息、传递财物。</w:t>
      </w:r>
    </w:p>
    <w:p w14:paraId="430A45BA">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九、不得让公职人员在企业违规兼职取酬。</w:t>
      </w:r>
    </w:p>
    <w:p w14:paraId="2FC560BE">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十、不得为公职人员亲友违规承揽业务提供便利。</w:t>
      </w:r>
    </w:p>
    <w:p w14:paraId="255434B2">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上述“十个不得”，请您严格遵守。同时，在政商交往中，如有发现我区公职人员存在违反“十个不准”的问题，请及时通过网络举报平台或者12388举报电话等方式，向纪检监察机关反映举报，我们将一律严格保密、一律优先处置、一律严肃查处。</w:t>
      </w:r>
    </w:p>
    <w:p w14:paraId="2BF07D0A">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p>
    <w:p w14:paraId="71E2B1E1">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本人已知晓上述告知内容，并愿意遵照执行（</w:t>
      </w:r>
      <w:r>
        <w:rPr>
          <w:rFonts w:hint="eastAsia" w:ascii="宋体" w:hAnsi="宋体" w:cs="宋体"/>
          <w:color w:val="000000"/>
          <w:sz w:val="24"/>
          <w:szCs w:val="24"/>
          <w:lang w:val="en-US" w:eastAsia="zh-CN"/>
        </w:rPr>
        <w:t>签字盖章</w:t>
      </w:r>
      <w:r>
        <w:rPr>
          <w:rFonts w:hint="eastAsia" w:ascii="宋体" w:hAnsi="宋体" w:eastAsia="宋体" w:cs="宋体"/>
          <w:color w:val="000000"/>
          <w:sz w:val="24"/>
          <w:szCs w:val="24"/>
        </w:rPr>
        <w:t>）：</w:t>
      </w:r>
    </w:p>
    <w:p w14:paraId="18AEA9FE">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000000"/>
          <w:sz w:val="24"/>
          <w:szCs w:val="24"/>
        </w:rPr>
      </w:pPr>
    </w:p>
    <w:p w14:paraId="233647F5">
      <w:pPr>
        <w:spacing w:line="240" w:lineRule="auto"/>
        <w:jc w:val="right"/>
        <w:outlineLvl w:val="9"/>
        <w:rPr>
          <w:rFonts w:hint="eastAsia" w:ascii="宋体" w:hAnsi="宋体"/>
          <w:b/>
          <w:snapToGrid w:val="0"/>
          <w:kern w:val="0"/>
          <w:sz w:val="32"/>
          <w:szCs w:val="32"/>
          <w:highlight w:val="none"/>
        </w:rPr>
      </w:pPr>
      <w:r>
        <w:rPr>
          <w:rFonts w:hint="eastAsia" w:cs="宋体"/>
          <w:color w:val="000000"/>
          <w:sz w:val="24"/>
          <w:szCs w:val="24"/>
          <w:lang w:val="en-US" w:eastAsia="zh-CN"/>
        </w:rPr>
        <w:t xml:space="preserve">   </w:t>
      </w:r>
      <w:r>
        <w:rPr>
          <w:rFonts w:hint="eastAsia" w:ascii="宋体" w:hAnsi="宋体" w:eastAsia="宋体" w:cs="宋体"/>
          <w:color w:val="000000"/>
          <w:sz w:val="24"/>
          <w:szCs w:val="24"/>
        </w:rPr>
        <w:t>年</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 xml:space="preserve"> 月</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 xml:space="preserve"> 日</w:t>
      </w:r>
    </w:p>
    <w:p w14:paraId="564AE3B4">
      <w:pPr>
        <w:rPr>
          <w:rFonts w:hint="eastAsia" w:ascii="仿宋_GB2312" w:hAnsi="Times New Roman" w:eastAsia="仿宋_GB2312" w:cs="Times New Roman"/>
          <w:b/>
          <w:bCs/>
          <w:color w:val="auto"/>
          <w:sz w:val="30"/>
          <w:szCs w:val="30"/>
        </w:rPr>
      </w:pPr>
      <w:r>
        <w:rPr>
          <w:rFonts w:hint="eastAsia" w:ascii="仿宋_GB2312" w:hAnsi="Times New Roman" w:eastAsia="仿宋_GB2312" w:cs="Times New Roman"/>
          <w:b/>
          <w:bCs/>
          <w:color w:val="auto"/>
          <w:sz w:val="30"/>
          <w:szCs w:val="30"/>
        </w:rPr>
        <w:br w:type="page"/>
      </w:r>
    </w:p>
    <w:p w14:paraId="02D54D64">
      <w:pPr>
        <w:spacing w:line="500" w:lineRule="exact"/>
        <w:jc w:val="left"/>
        <w:rPr>
          <w:rFonts w:hint="eastAsia" w:ascii="仿宋_GB2312" w:hAnsi="Times New Roman" w:eastAsia="仿宋_GB2312" w:cs="Times New Roman"/>
          <w:b/>
          <w:bCs/>
          <w:color w:val="auto"/>
          <w:sz w:val="30"/>
          <w:szCs w:val="30"/>
        </w:rPr>
      </w:pPr>
      <w:r>
        <w:rPr>
          <w:rFonts w:hint="eastAsia" w:ascii="仿宋_GB2312" w:hAnsi="Times New Roman" w:eastAsia="仿宋_GB2312" w:cs="Times New Roman"/>
          <w:b/>
          <w:bCs/>
          <w:color w:val="auto"/>
          <w:sz w:val="30"/>
          <w:szCs w:val="30"/>
        </w:rPr>
        <w:t>附件</w:t>
      </w:r>
      <w:r>
        <w:rPr>
          <w:rFonts w:hint="eastAsia" w:ascii="仿宋_GB2312" w:hAnsi="Times New Roman" w:eastAsia="仿宋_GB2312" w:cs="Times New Roman"/>
          <w:b/>
          <w:bCs/>
          <w:color w:val="auto"/>
          <w:sz w:val="30"/>
          <w:szCs w:val="30"/>
          <w:lang w:val="en-US" w:eastAsia="zh-CN"/>
        </w:rPr>
        <w:t>五</w:t>
      </w:r>
      <w:r>
        <w:rPr>
          <w:rFonts w:hint="eastAsia" w:ascii="仿宋_GB2312" w:hAnsi="Times New Roman" w:eastAsia="仿宋_GB2312" w:cs="Times New Roman"/>
          <w:b/>
          <w:bCs/>
          <w:color w:val="auto"/>
          <w:sz w:val="30"/>
          <w:szCs w:val="30"/>
        </w:rPr>
        <w:t>：综合评分表</w:t>
      </w:r>
    </w:p>
    <w:p w14:paraId="5B12D1B0">
      <w:pPr>
        <w:jc w:val="center"/>
        <w:rPr>
          <w:rFonts w:ascii="仿宋_GB2312" w:eastAsia="仿宋_GB2312"/>
          <w:b/>
          <w:bCs/>
          <w:color w:val="000000"/>
          <w:sz w:val="30"/>
          <w:szCs w:val="30"/>
        </w:rPr>
      </w:pPr>
      <w:r>
        <w:rPr>
          <w:rFonts w:hint="eastAsia" w:ascii="仿宋_GB2312" w:eastAsia="仿宋_GB2312"/>
          <w:b/>
          <w:bCs/>
          <w:color w:val="000000"/>
          <w:sz w:val="30"/>
          <w:szCs w:val="30"/>
        </w:rPr>
        <w:t>综合评分表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762"/>
        <w:gridCol w:w="3998"/>
        <w:gridCol w:w="3042"/>
        <w:gridCol w:w="1046"/>
      </w:tblGrid>
      <w:tr w14:paraId="4691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blHeader/>
          <w:jc w:val="center"/>
        </w:trPr>
        <w:tc>
          <w:tcPr>
            <w:tcW w:w="272" w:type="pct"/>
            <w:shd w:val="clear" w:color="auto" w:fill="DEEAF6"/>
            <w:vAlign w:val="center"/>
          </w:tcPr>
          <w:p w14:paraId="0ABAF19D">
            <w:pPr>
              <w:widowControl/>
              <w:adjustRightInd w:val="0"/>
              <w:snapToGrid w:val="0"/>
              <w:spacing w:line="0" w:lineRule="atLeast"/>
              <w:jc w:val="center"/>
              <w:rPr>
                <w:rFonts w:ascii="宋体" w:hAnsi="宋体" w:cs="宋体"/>
                <w:b/>
                <w:color w:val="000000"/>
                <w:szCs w:val="21"/>
              </w:rPr>
            </w:pPr>
            <w:r>
              <w:rPr>
                <w:rFonts w:hint="eastAsia" w:ascii="宋体" w:hAnsi="宋体" w:cs="宋体"/>
                <w:b/>
                <w:color w:val="000000"/>
                <w:szCs w:val="21"/>
              </w:rPr>
              <w:t>序号</w:t>
            </w:r>
          </w:p>
        </w:tc>
        <w:tc>
          <w:tcPr>
            <w:tcW w:w="407" w:type="pct"/>
            <w:shd w:val="clear" w:color="auto" w:fill="DEEAF6"/>
            <w:vAlign w:val="center"/>
          </w:tcPr>
          <w:p w14:paraId="3BF6D770">
            <w:pPr>
              <w:widowControl/>
              <w:adjustRightInd w:val="0"/>
              <w:snapToGrid w:val="0"/>
              <w:spacing w:line="0" w:lineRule="atLeast"/>
              <w:jc w:val="center"/>
              <w:rPr>
                <w:rFonts w:ascii="宋体" w:hAnsi="宋体" w:cs="宋体"/>
                <w:b/>
                <w:color w:val="000000"/>
                <w:szCs w:val="21"/>
              </w:rPr>
            </w:pPr>
            <w:r>
              <w:rPr>
                <w:rFonts w:hint="eastAsia" w:ascii="宋体" w:hAnsi="宋体" w:cs="宋体"/>
                <w:b/>
                <w:color w:val="000000"/>
                <w:szCs w:val="21"/>
              </w:rPr>
              <w:t>评审</w:t>
            </w:r>
          </w:p>
          <w:p w14:paraId="52A76F05">
            <w:pPr>
              <w:widowControl/>
              <w:adjustRightInd w:val="0"/>
              <w:snapToGrid w:val="0"/>
              <w:spacing w:line="0" w:lineRule="atLeast"/>
              <w:jc w:val="center"/>
              <w:rPr>
                <w:rFonts w:ascii="宋体" w:hAnsi="宋体" w:cs="宋体"/>
                <w:b/>
                <w:color w:val="000000"/>
                <w:szCs w:val="21"/>
              </w:rPr>
            </w:pPr>
            <w:r>
              <w:rPr>
                <w:rFonts w:hint="eastAsia" w:ascii="宋体" w:hAnsi="宋体" w:cs="宋体"/>
                <w:b/>
                <w:color w:val="000000"/>
                <w:szCs w:val="21"/>
              </w:rPr>
              <w:t>项目</w:t>
            </w:r>
          </w:p>
        </w:tc>
        <w:tc>
          <w:tcPr>
            <w:tcW w:w="2136" w:type="pct"/>
            <w:shd w:val="clear" w:color="auto" w:fill="DEEAF6"/>
            <w:vAlign w:val="center"/>
          </w:tcPr>
          <w:p w14:paraId="194B967E">
            <w:pPr>
              <w:widowControl/>
              <w:adjustRightInd w:val="0"/>
              <w:snapToGrid w:val="0"/>
              <w:jc w:val="center"/>
              <w:rPr>
                <w:rFonts w:ascii="宋体" w:hAnsi="宋体" w:cs="宋体"/>
                <w:b/>
                <w:color w:val="000000"/>
                <w:szCs w:val="21"/>
              </w:rPr>
            </w:pPr>
            <w:r>
              <w:rPr>
                <w:rFonts w:hint="eastAsia" w:ascii="宋体" w:hAnsi="宋体" w:cs="宋体"/>
                <w:b/>
                <w:color w:val="000000"/>
                <w:szCs w:val="21"/>
              </w:rPr>
              <w:t>评审标准</w:t>
            </w:r>
          </w:p>
        </w:tc>
        <w:tc>
          <w:tcPr>
            <w:tcW w:w="1625" w:type="pct"/>
            <w:shd w:val="clear" w:color="auto" w:fill="DEEAF6"/>
            <w:vAlign w:val="center"/>
          </w:tcPr>
          <w:p w14:paraId="1F504ACE">
            <w:pPr>
              <w:widowControl/>
              <w:adjustRightInd w:val="0"/>
              <w:snapToGrid w:val="0"/>
              <w:spacing w:line="0" w:lineRule="atLeast"/>
              <w:jc w:val="center"/>
              <w:rPr>
                <w:rFonts w:ascii="宋体" w:hAnsi="宋体" w:cs="宋体"/>
                <w:b/>
                <w:color w:val="000000"/>
                <w:szCs w:val="21"/>
              </w:rPr>
            </w:pPr>
            <w:r>
              <w:rPr>
                <w:rFonts w:hint="eastAsia" w:ascii="宋体" w:hAnsi="宋体" w:cs="宋体"/>
                <w:b/>
                <w:color w:val="000000"/>
                <w:szCs w:val="21"/>
              </w:rPr>
              <w:t>证明材料</w:t>
            </w:r>
          </w:p>
        </w:tc>
        <w:tc>
          <w:tcPr>
            <w:tcW w:w="559" w:type="pct"/>
            <w:shd w:val="clear" w:color="auto" w:fill="DEEAF6"/>
            <w:vAlign w:val="center"/>
          </w:tcPr>
          <w:p w14:paraId="4285343E">
            <w:pPr>
              <w:widowControl/>
              <w:adjustRightInd w:val="0"/>
              <w:snapToGrid w:val="0"/>
              <w:spacing w:line="0" w:lineRule="atLeast"/>
              <w:jc w:val="center"/>
              <w:rPr>
                <w:rFonts w:ascii="宋体" w:hAnsi="宋体" w:cs="宋体"/>
                <w:b/>
                <w:color w:val="000000"/>
                <w:szCs w:val="21"/>
              </w:rPr>
            </w:pPr>
            <w:r>
              <w:rPr>
                <w:rFonts w:hint="eastAsia" w:ascii="宋体" w:hAnsi="宋体" w:cs="宋体"/>
                <w:b/>
                <w:color w:val="000000"/>
                <w:szCs w:val="21"/>
              </w:rPr>
              <w:t>分值</w:t>
            </w:r>
          </w:p>
        </w:tc>
      </w:tr>
      <w:tr w14:paraId="271E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2" w:hRule="atLeast"/>
          <w:jc w:val="center"/>
        </w:trPr>
        <w:tc>
          <w:tcPr>
            <w:tcW w:w="272" w:type="pct"/>
            <w:vAlign w:val="center"/>
          </w:tcPr>
          <w:p w14:paraId="41AC9C07">
            <w:pPr>
              <w:widowControl/>
              <w:adjustRightInd w:val="0"/>
              <w:snapToGrid w:val="0"/>
              <w:spacing w:line="0" w:lineRule="atLeast"/>
              <w:jc w:val="center"/>
              <w:rPr>
                <w:rFonts w:ascii="宋体" w:hAnsi="宋体" w:cs="宋体"/>
                <w:color w:val="000000"/>
                <w:szCs w:val="21"/>
              </w:rPr>
            </w:pPr>
            <w:r>
              <w:rPr>
                <w:rFonts w:hint="eastAsia" w:ascii="宋体" w:hAnsi="宋体" w:cs="宋体"/>
                <w:color w:val="000000"/>
                <w:szCs w:val="21"/>
              </w:rPr>
              <w:t>1</w:t>
            </w:r>
          </w:p>
        </w:tc>
        <w:tc>
          <w:tcPr>
            <w:tcW w:w="407" w:type="pct"/>
            <w:vAlign w:val="center"/>
          </w:tcPr>
          <w:p w14:paraId="4F048D99">
            <w:pPr>
              <w:spacing w:line="0" w:lineRule="atLeast"/>
              <w:jc w:val="center"/>
              <w:rPr>
                <w:rFonts w:ascii="宋体" w:hAnsi="宋体" w:cs="宋体"/>
                <w:color w:val="000000"/>
                <w:szCs w:val="21"/>
              </w:rPr>
            </w:pPr>
            <w:r>
              <w:rPr>
                <w:rFonts w:hint="eastAsia" w:ascii="宋体" w:hAnsi="宋体" w:cs="宋体"/>
                <w:color w:val="000000"/>
                <w:szCs w:val="21"/>
              </w:rPr>
              <w:t>同类业绩情况</w:t>
            </w:r>
          </w:p>
        </w:tc>
        <w:tc>
          <w:tcPr>
            <w:tcW w:w="2136" w:type="pct"/>
            <w:vAlign w:val="center"/>
          </w:tcPr>
          <w:p w14:paraId="3257D447">
            <w:pPr>
              <w:spacing w:line="0" w:lineRule="atLeast"/>
              <w:rPr>
                <w:rFonts w:eastAsia="宋体"/>
              </w:rPr>
            </w:pPr>
            <w:r>
              <w:rPr>
                <w:rFonts w:hint="eastAsia" w:ascii="宋体" w:hAnsi="宋体" w:cs="仿宋"/>
                <w:bCs/>
                <w:color w:val="auto"/>
                <w:szCs w:val="20"/>
                <w:highlight w:val="none"/>
              </w:rPr>
              <w:t>202</w:t>
            </w:r>
            <w:r>
              <w:rPr>
                <w:rFonts w:hint="eastAsia" w:ascii="宋体" w:hAnsi="宋体" w:cs="仿宋"/>
                <w:bCs/>
                <w:color w:val="auto"/>
                <w:szCs w:val="20"/>
                <w:highlight w:val="none"/>
                <w:lang w:val="en-US" w:eastAsia="zh-CN"/>
              </w:rPr>
              <w:t>2</w:t>
            </w:r>
            <w:r>
              <w:rPr>
                <w:rFonts w:hint="eastAsia" w:ascii="宋体" w:hAnsi="宋体" w:cs="仿宋"/>
                <w:bCs/>
                <w:color w:val="auto"/>
                <w:szCs w:val="20"/>
                <w:highlight w:val="none"/>
              </w:rPr>
              <w:t>年</w:t>
            </w:r>
            <w:r>
              <w:rPr>
                <w:rFonts w:ascii="宋体" w:hAnsi="宋体" w:cs="仿宋"/>
                <w:bCs/>
                <w:color w:val="auto"/>
                <w:szCs w:val="20"/>
                <w:highlight w:val="none"/>
              </w:rPr>
              <w:t>1</w:t>
            </w:r>
            <w:r>
              <w:rPr>
                <w:rFonts w:hint="eastAsia" w:ascii="宋体" w:hAnsi="宋体" w:cs="仿宋"/>
                <w:bCs/>
                <w:color w:val="auto"/>
                <w:szCs w:val="20"/>
                <w:highlight w:val="none"/>
              </w:rPr>
              <w:t>月</w:t>
            </w:r>
            <w:r>
              <w:rPr>
                <w:rFonts w:ascii="宋体" w:hAnsi="宋体" w:cs="仿宋"/>
                <w:bCs/>
                <w:color w:val="auto"/>
                <w:szCs w:val="20"/>
                <w:highlight w:val="none"/>
              </w:rPr>
              <w:t>1</w:t>
            </w:r>
            <w:r>
              <w:rPr>
                <w:rFonts w:hint="eastAsia" w:ascii="宋体" w:hAnsi="宋体" w:cs="仿宋"/>
                <w:bCs/>
                <w:color w:val="auto"/>
                <w:szCs w:val="20"/>
                <w:highlight w:val="none"/>
              </w:rPr>
              <w:t>日</w:t>
            </w:r>
            <w:r>
              <w:rPr>
                <w:rFonts w:hint="eastAsia" w:ascii="宋体" w:hAnsi="宋体" w:cs="宋体"/>
                <w:bCs/>
                <w:color w:val="auto"/>
                <w:szCs w:val="20"/>
                <w:highlight w:val="none"/>
              </w:rPr>
              <w:t>至本项目投标截止时间前（以合同签订时间为准），</w:t>
            </w:r>
            <w:r>
              <w:rPr>
                <w:rFonts w:hint="eastAsia" w:ascii="宋体" w:hAnsi="宋体" w:cs="仿宋"/>
                <w:bCs/>
                <w:color w:val="auto"/>
                <w:szCs w:val="20"/>
                <w:highlight w:val="none"/>
              </w:rPr>
              <w:t>承担过</w:t>
            </w:r>
            <w:r>
              <w:rPr>
                <w:rFonts w:hint="eastAsia" w:ascii="宋体" w:hAnsi="宋体" w:cs="宋体"/>
                <w:color w:val="000000"/>
                <w:szCs w:val="21"/>
              </w:rPr>
              <w:t>绿色建筑符合性评估</w:t>
            </w:r>
            <w:r>
              <w:rPr>
                <w:rFonts w:hint="eastAsia" w:ascii="宋体" w:hAnsi="宋体" w:cs="仿宋"/>
                <w:bCs/>
                <w:color w:val="auto"/>
                <w:szCs w:val="20"/>
                <w:highlight w:val="none"/>
              </w:rPr>
              <w:t>服务的</w:t>
            </w:r>
            <w:r>
              <w:rPr>
                <w:rFonts w:hint="eastAsia" w:ascii="宋体" w:hAnsi="宋体" w:cs="仿宋"/>
                <w:bCs/>
                <w:color w:val="auto"/>
                <w:szCs w:val="20"/>
                <w:highlight w:val="none"/>
                <w:lang w:eastAsia="zh-CN"/>
              </w:rPr>
              <w:t>，</w:t>
            </w:r>
            <w:r>
              <w:rPr>
                <w:rFonts w:hint="eastAsia"/>
              </w:rPr>
              <w:t>每提供</w:t>
            </w:r>
            <w:r>
              <w:t>1个加</w:t>
            </w:r>
            <w:r>
              <w:rPr>
                <w:rFonts w:hint="eastAsia"/>
                <w:lang w:val="en-US" w:eastAsia="zh-CN"/>
              </w:rPr>
              <w:t>3</w:t>
            </w:r>
            <w:r>
              <w:t>分</w:t>
            </w:r>
            <w:r>
              <w:rPr>
                <w:rFonts w:hint="eastAsia"/>
              </w:rPr>
              <w:t>，</w:t>
            </w:r>
            <w:r>
              <w:t>最多</w:t>
            </w:r>
            <w:r>
              <w:rPr>
                <w:rFonts w:hint="eastAsia"/>
                <w:lang w:val="en-US" w:eastAsia="zh-CN"/>
              </w:rPr>
              <w:t>得15</w:t>
            </w:r>
            <w:r>
              <w:t>分</w:t>
            </w:r>
            <w:r>
              <w:rPr>
                <w:rFonts w:hint="eastAsia"/>
                <w:lang w:eastAsia="zh-CN"/>
              </w:rPr>
              <w:t>。</w:t>
            </w:r>
          </w:p>
        </w:tc>
        <w:tc>
          <w:tcPr>
            <w:tcW w:w="1625" w:type="pct"/>
            <w:vAlign w:val="center"/>
          </w:tcPr>
          <w:p w14:paraId="25EDF1C9">
            <w:pPr>
              <w:adjustRightInd w:val="0"/>
              <w:snapToGrid w:val="0"/>
              <w:spacing w:line="0" w:lineRule="atLeast"/>
              <w:rPr>
                <w:color w:val="000000"/>
              </w:rPr>
            </w:pPr>
            <w:r>
              <w:rPr>
                <w:rFonts w:hint="eastAsia"/>
                <w:color w:val="000000"/>
              </w:rPr>
              <w:t>须提供合同关键页复印件或扫描件并加盖投标人公章（内容至少包括合同首页、工作内容页、金额页、签字盖章页）。</w:t>
            </w:r>
          </w:p>
        </w:tc>
        <w:tc>
          <w:tcPr>
            <w:tcW w:w="559" w:type="pct"/>
            <w:vAlign w:val="center"/>
          </w:tcPr>
          <w:p w14:paraId="77BF2207">
            <w:pPr>
              <w:widowControl/>
              <w:adjustRightInd w:val="0"/>
              <w:snapToGrid w:val="0"/>
              <w:spacing w:line="0" w:lineRule="atLeast"/>
              <w:jc w:val="center"/>
              <w:rPr>
                <w:rFonts w:ascii="宋体" w:hAnsi="宋体" w:cs="宋体"/>
                <w:color w:val="000000"/>
                <w:szCs w:val="21"/>
              </w:rPr>
            </w:pPr>
            <w:r>
              <w:rPr>
                <w:rFonts w:hint="eastAsia" w:ascii="宋体" w:hAnsi="宋体" w:cs="宋体"/>
                <w:color w:val="000000"/>
                <w:szCs w:val="21"/>
                <w:lang w:val="en-US" w:eastAsia="zh-CN"/>
              </w:rPr>
              <w:t>15</w:t>
            </w:r>
            <w:r>
              <w:rPr>
                <w:rFonts w:hint="eastAsia" w:ascii="宋体" w:hAnsi="宋体" w:cs="宋体"/>
                <w:color w:val="000000"/>
                <w:szCs w:val="21"/>
              </w:rPr>
              <w:t>分</w:t>
            </w:r>
          </w:p>
        </w:tc>
      </w:tr>
      <w:tr w14:paraId="74E3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2" w:hRule="atLeast"/>
          <w:jc w:val="center"/>
        </w:trPr>
        <w:tc>
          <w:tcPr>
            <w:tcW w:w="272" w:type="pct"/>
            <w:vAlign w:val="center"/>
          </w:tcPr>
          <w:p w14:paraId="5D95B4AD">
            <w:pPr>
              <w:widowControl/>
              <w:adjustRightInd w:val="0"/>
              <w:snapToGrid w:val="0"/>
              <w:spacing w:line="0" w:lineRule="atLeast"/>
              <w:jc w:val="center"/>
              <w:rPr>
                <w:rFonts w:ascii="宋体" w:hAnsi="宋体" w:cs="宋体"/>
                <w:color w:val="000000"/>
                <w:szCs w:val="21"/>
              </w:rPr>
            </w:pPr>
            <w:r>
              <w:rPr>
                <w:rFonts w:hint="eastAsia" w:ascii="宋体" w:hAnsi="宋体" w:cs="宋体"/>
                <w:color w:val="000000"/>
                <w:szCs w:val="21"/>
              </w:rPr>
              <w:t>2</w:t>
            </w:r>
          </w:p>
        </w:tc>
        <w:tc>
          <w:tcPr>
            <w:tcW w:w="407" w:type="pct"/>
            <w:vAlign w:val="center"/>
          </w:tcPr>
          <w:p w14:paraId="71BA944F">
            <w:pPr>
              <w:spacing w:line="0" w:lineRule="atLeast"/>
              <w:jc w:val="center"/>
              <w:rPr>
                <w:rFonts w:ascii="宋体" w:hAnsi="宋体" w:cs="宋体"/>
                <w:color w:val="000000"/>
                <w:szCs w:val="21"/>
              </w:rPr>
            </w:pPr>
            <w:r>
              <w:rPr>
                <w:rFonts w:hint="eastAsia" w:ascii="宋体" w:hAnsi="宋体" w:cs="宋体"/>
                <w:color w:val="000000"/>
                <w:szCs w:val="21"/>
              </w:rPr>
              <w:t>投标人履约评价</w:t>
            </w:r>
          </w:p>
        </w:tc>
        <w:tc>
          <w:tcPr>
            <w:tcW w:w="2136" w:type="pct"/>
            <w:vAlign w:val="center"/>
          </w:tcPr>
          <w:p w14:paraId="6585BB62">
            <w:pPr>
              <w:adjustRightInd w:val="0"/>
              <w:snapToGrid w:val="0"/>
              <w:rPr>
                <w:rFonts w:ascii="宋体" w:hAnsi="宋体" w:cs="宋体"/>
                <w:kern w:val="0"/>
                <w:szCs w:val="21"/>
              </w:rPr>
            </w:pPr>
            <w:r>
              <w:rPr>
                <w:rFonts w:hint="eastAsia" w:ascii="宋体" w:hAnsi="宋体" w:cs="宋体"/>
                <w:kern w:val="0"/>
                <w:szCs w:val="21"/>
              </w:rPr>
              <w:t>自20</w:t>
            </w:r>
            <w:r>
              <w:rPr>
                <w:rFonts w:ascii="宋体" w:hAnsi="宋体" w:cs="宋体"/>
                <w:kern w:val="0"/>
                <w:szCs w:val="21"/>
              </w:rPr>
              <w:t>2</w:t>
            </w:r>
            <w:r>
              <w:rPr>
                <w:rFonts w:hint="eastAsia" w:ascii="宋体" w:hAnsi="宋体" w:cs="宋体"/>
                <w:kern w:val="0"/>
                <w:szCs w:val="21"/>
              </w:rPr>
              <w:t>2年1月1日至本项目投标截止之日（履约评价或感谢信或表扬信</w:t>
            </w:r>
            <w:r>
              <w:rPr>
                <w:rFonts w:hint="eastAsia" w:ascii="宋体" w:hAnsi="宋体" w:cs="宋体"/>
                <w:kern w:val="0"/>
                <w:szCs w:val="21"/>
                <w:lang w:val="en-US" w:eastAsia="zh-CN"/>
              </w:rPr>
              <w:t>需体现</w:t>
            </w:r>
            <w:r>
              <w:t>合同服务时间</w:t>
            </w:r>
            <w:r>
              <w:rPr>
                <w:rFonts w:hint="eastAsia" w:ascii="宋体" w:hAnsi="宋体" w:cs="宋体"/>
                <w:kern w:val="0"/>
                <w:szCs w:val="21"/>
                <w:lang w:val="en-US" w:eastAsia="zh-CN"/>
              </w:rPr>
              <w:t>或者落款日期</w:t>
            </w:r>
            <w:r>
              <w:rPr>
                <w:rFonts w:hint="eastAsia" w:ascii="宋体" w:hAnsi="宋体" w:cs="宋体"/>
                <w:kern w:val="0"/>
                <w:szCs w:val="21"/>
              </w:rPr>
              <w:t>）：</w:t>
            </w:r>
          </w:p>
          <w:p w14:paraId="0A91DB32">
            <w:pPr>
              <w:adjustRightInd w:val="0"/>
              <w:snapToGrid w:val="0"/>
              <w:rPr>
                <w:rFonts w:ascii="宋体" w:hAnsi="宋体" w:eastAsia="宋体" w:cs="宋体"/>
                <w:szCs w:val="21"/>
              </w:rPr>
            </w:pPr>
            <w:r>
              <w:rPr>
                <w:rFonts w:hint="eastAsia" w:ascii="宋体" w:hAnsi="宋体" w:cs="宋体"/>
                <w:kern w:val="0"/>
                <w:szCs w:val="21"/>
              </w:rPr>
              <w:t>投标人提供经采购</w:t>
            </w:r>
            <w:r>
              <w:rPr>
                <w:rFonts w:hint="eastAsia" w:ascii="宋体" w:hAnsi="宋体"/>
                <w:szCs w:val="21"/>
              </w:rPr>
              <w:t>单位</w:t>
            </w:r>
            <w:r>
              <w:rPr>
                <w:rFonts w:hint="eastAsia" w:ascii="宋体" w:hAnsi="宋体" w:cs="宋体"/>
                <w:kern w:val="0"/>
                <w:szCs w:val="21"/>
              </w:rPr>
              <w:t>或被服务单位总体履约评价结果为“优”或“优秀”或评价表中最高等级评价的</w:t>
            </w:r>
            <w:r>
              <w:rPr>
                <w:rFonts w:hint="eastAsia" w:ascii="宋体" w:hAnsi="宋体" w:cs="宋体"/>
                <w:kern w:val="0"/>
                <w:szCs w:val="21"/>
                <w:lang w:val="en-US" w:eastAsia="zh-CN"/>
              </w:rPr>
              <w:t>检测类服务</w:t>
            </w:r>
            <w:r>
              <w:rPr>
                <w:rFonts w:hint="eastAsia" w:ascii="宋体" w:hAnsi="宋体" w:cs="宋体"/>
                <w:kern w:val="0"/>
                <w:szCs w:val="21"/>
              </w:rPr>
              <w:t>履约评价证明；或投标人</w:t>
            </w:r>
            <w:r>
              <w:rPr>
                <w:rFonts w:hint="eastAsia" w:ascii="宋体" w:hAnsi="宋体" w:cs="宋体"/>
                <w:kern w:val="0"/>
                <w:szCs w:val="21"/>
                <w:lang w:val="en-US" w:eastAsia="zh-CN"/>
              </w:rPr>
              <w:t>因检测类服务</w:t>
            </w:r>
            <w:r>
              <w:rPr>
                <w:rFonts w:hint="eastAsia" w:ascii="宋体" w:hAnsi="宋体" w:cs="宋体"/>
                <w:kern w:val="0"/>
                <w:szCs w:val="21"/>
              </w:rPr>
              <w:t>曾经受到采购单位或被服务单位表扬信或感谢信的；每提供1个，得2分，以上累计最高得6分。</w:t>
            </w:r>
          </w:p>
        </w:tc>
        <w:tc>
          <w:tcPr>
            <w:tcW w:w="1625" w:type="pct"/>
            <w:vAlign w:val="center"/>
          </w:tcPr>
          <w:p w14:paraId="314BC137">
            <w:pPr>
              <w:numPr>
                <w:ilvl w:val="0"/>
                <w:numId w:val="5"/>
              </w:numPr>
              <w:adjustRightInd w:val="0"/>
              <w:snapToGrid w:val="0"/>
              <w:jc w:val="left"/>
              <w:rPr>
                <w:rFonts w:ascii="宋体" w:hAnsi="宋体"/>
                <w:szCs w:val="21"/>
              </w:rPr>
            </w:pPr>
            <w:r>
              <w:rPr>
                <w:rFonts w:hint="eastAsia" w:ascii="宋体" w:hAnsi="宋体"/>
                <w:szCs w:val="21"/>
              </w:rPr>
              <w:t>履约评价证明文件：采购单位或被服务单位出具的总体履约评价为“优”或“优秀”或评价表中其他最高等级评价的相关证明文件加盖合同甲方公章（或甲方业务章）。证明文件的内容包括但不仅限于合同的项目名称、总体履约评价结果、</w:t>
            </w:r>
            <w:r>
              <w:t>合同服务时间</w:t>
            </w:r>
            <w:r>
              <w:rPr>
                <w:rFonts w:hint="eastAsia" w:ascii="宋体" w:hAnsi="宋体" w:cs="宋体"/>
                <w:kern w:val="0"/>
                <w:szCs w:val="21"/>
                <w:lang w:val="en-US" w:eastAsia="zh-CN"/>
              </w:rPr>
              <w:t>或者落款日期</w:t>
            </w:r>
            <w:r>
              <w:rPr>
                <w:rFonts w:hint="eastAsia" w:ascii="宋体" w:hAnsi="宋体"/>
                <w:szCs w:val="21"/>
              </w:rPr>
              <w:t>等相关内容,如提交的证明文件其评价结果没有结论而仅是打分的（比如打100分、98分、95分、85分等的）不计分。</w:t>
            </w:r>
          </w:p>
          <w:p w14:paraId="0E183C73">
            <w:pPr>
              <w:numPr>
                <w:ilvl w:val="0"/>
                <w:numId w:val="5"/>
              </w:numPr>
              <w:adjustRightInd w:val="0"/>
              <w:snapToGrid w:val="0"/>
              <w:jc w:val="left"/>
              <w:rPr>
                <w:color w:val="000000"/>
              </w:rPr>
            </w:pPr>
            <w:r>
              <w:rPr>
                <w:rFonts w:hint="eastAsia"/>
              </w:rPr>
              <w:t>若提供表扬信或感谢信作为履约评价证明材料的，需体现项目内容和评价情况。</w:t>
            </w:r>
          </w:p>
        </w:tc>
        <w:tc>
          <w:tcPr>
            <w:tcW w:w="559" w:type="pct"/>
            <w:vAlign w:val="center"/>
          </w:tcPr>
          <w:p w14:paraId="1ADDFB7B">
            <w:pPr>
              <w:widowControl/>
              <w:adjustRightInd w:val="0"/>
              <w:snapToGrid w:val="0"/>
              <w:spacing w:line="0" w:lineRule="atLeast"/>
              <w:jc w:val="center"/>
              <w:rPr>
                <w:rFonts w:ascii="宋体" w:hAnsi="宋体" w:cs="宋体"/>
                <w:color w:val="000000"/>
                <w:szCs w:val="21"/>
              </w:rPr>
            </w:pPr>
            <w:r>
              <w:rPr>
                <w:rFonts w:hint="eastAsia" w:ascii="宋体" w:hAnsi="宋体" w:cs="宋体"/>
                <w:color w:val="000000"/>
                <w:szCs w:val="21"/>
              </w:rPr>
              <w:t>6分</w:t>
            </w:r>
          </w:p>
        </w:tc>
      </w:tr>
      <w:tr w14:paraId="2497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6" w:hRule="atLeast"/>
          <w:jc w:val="center"/>
        </w:trPr>
        <w:tc>
          <w:tcPr>
            <w:tcW w:w="272" w:type="pct"/>
            <w:vAlign w:val="center"/>
          </w:tcPr>
          <w:p w14:paraId="7FC48337">
            <w:pPr>
              <w:widowControl/>
              <w:adjustRightInd w:val="0"/>
              <w:snapToGrid w:val="0"/>
              <w:spacing w:line="0" w:lineRule="atLeast"/>
              <w:jc w:val="center"/>
              <w:rPr>
                <w:rFonts w:hint="eastAsia" w:ascii="宋体" w:hAnsi="宋体" w:cs="宋体" w:eastAsiaTheme="minorEastAsia"/>
                <w:color w:val="000000"/>
                <w:szCs w:val="21"/>
                <w:lang w:eastAsia="zh-CN"/>
              </w:rPr>
            </w:pPr>
            <w:r>
              <w:rPr>
                <w:rFonts w:hint="eastAsia" w:ascii="宋体" w:hAnsi="宋体" w:cs="宋体"/>
                <w:color w:val="000000"/>
                <w:szCs w:val="21"/>
                <w:lang w:val="en-US" w:eastAsia="zh-CN"/>
              </w:rPr>
              <w:t>3</w:t>
            </w:r>
          </w:p>
        </w:tc>
        <w:tc>
          <w:tcPr>
            <w:tcW w:w="407" w:type="pct"/>
            <w:vAlign w:val="center"/>
          </w:tcPr>
          <w:p w14:paraId="53C9C36C">
            <w:pPr>
              <w:spacing w:line="0" w:lineRule="atLeast"/>
              <w:jc w:val="center"/>
              <w:rPr>
                <w:rFonts w:ascii="宋体" w:hAnsi="宋体" w:cs="宋体"/>
                <w:color w:val="000000"/>
                <w:szCs w:val="21"/>
              </w:rPr>
            </w:pPr>
            <w:r>
              <w:rPr>
                <w:rFonts w:hint="eastAsia" w:ascii="宋体" w:hAnsi="宋体" w:cs="宋体"/>
                <w:szCs w:val="21"/>
              </w:rPr>
              <w:t>拟安排的项目负责人情况（仅限一人）</w:t>
            </w:r>
          </w:p>
        </w:tc>
        <w:tc>
          <w:tcPr>
            <w:tcW w:w="2136" w:type="pct"/>
            <w:vAlign w:val="center"/>
          </w:tcPr>
          <w:p w14:paraId="679F102E">
            <w:pPr>
              <w:spacing w:line="0" w:lineRule="atLeast"/>
              <w:rPr>
                <w:rFonts w:ascii="宋体" w:hAnsi="宋体" w:cs="宋体"/>
                <w:color w:val="000000"/>
                <w:szCs w:val="21"/>
              </w:rPr>
            </w:pPr>
            <w:r>
              <w:rPr>
                <w:rFonts w:hint="eastAsia" w:ascii="宋体" w:hAnsi="宋体" w:cs="宋体"/>
                <w:color w:val="000000"/>
                <w:szCs w:val="21"/>
                <w:lang w:val="en-US" w:eastAsia="zh-CN"/>
              </w:rPr>
              <w:t>1</w:t>
            </w:r>
            <w:r>
              <w:rPr>
                <w:rFonts w:hint="eastAsia" w:ascii="宋体" w:hAnsi="宋体" w:cs="宋体"/>
                <w:color w:val="000000"/>
                <w:szCs w:val="21"/>
              </w:rPr>
              <w:t>.项目负责人</w:t>
            </w:r>
            <w:r>
              <w:rPr>
                <w:rFonts w:hint="eastAsia" w:ascii="宋体" w:hAnsi="宋体" w:cs="宋体"/>
                <w:color w:val="000000"/>
                <w:szCs w:val="21"/>
                <w:lang w:val="en-US" w:eastAsia="zh-CN"/>
              </w:rPr>
              <w:t>具有建筑类</w:t>
            </w:r>
            <w:r>
              <w:rPr>
                <w:rFonts w:hint="eastAsia" w:ascii="宋体" w:hAnsi="宋体" w:eastAsia="宋体" w:cs="宋体"/>
                <w:szCs w:val="21"/>
              </w:rPr>
              <w:t>高级工程师（含副高）职称证书的</w:t>
            </w:r>
            <w:r>
              <w:rPr>
                <w:rFonts w:hint="eastAsia" w:ascii="宋体" w:hAnsi="宋体" w:cs="宋体"/>
                <w:color w:val="000000"/>
                <w:szCs w:val="21"/>
              </w:rPr>
              <w:t>，得3分。</w:t>
            </w:r>
          </w:p>
          <w:p w14:paraId="6A37ED57">
            <w:pPr>
              <w:spacing w:line="0" w:lineRule="atLeast"/>
            </w:pPr>
            <w:r>
              <w:rPr>
                <w:rFonts w:hint="eastAsia" w:ascii="宋体" w:hAnsi="宋体" w:cs="宋体"/>
                <w:color w:val="000000"/>
                <w:szCs w:val="21"/>
                <w:lang w:val="en-US" w:eastAsia="zh-CN"/>
              </w:rPr>
              <w:t>2</w:t>
            </w:r>
            <w:r>
              <w:rPr>
                <w:rFonts w:hint="eastAsia" w:ascii="宋体" w:hAnsi="宋体" w:cs="宋体"/>
                <w:color w:val="000000"/>
                <w:szCs w:val="21"/>
              </w:rPr>
              <w:t>.项目负责人</w:t>
            </w:r>
            <w:r>
              <w:rPr>
                <w:rFonts w:hint="eastAsia" w:ascii="宋体" w:hAnsi="宋体" w:cs="宋体"/>
                <w:kern w:val="0"/>
                <w:szCs w:val="21"/>
              </w:rPr>
              <w:t>自20</w:t>
            </w:r>
            <w:r>
              <w:rPr>
                <w:rFonts w:ascii="宋体" w:hAnsi="宋体" w:cs="宋体"/>
                <w:kern w:val="0"/>
                <w:szCs w:val="21"/>
              </w:rPr>
              <w:t>2</w:t>
            </w:r>
            <w:r>
              <w:rPr>
                <w:rFonts w:hint="eastAsia" w:ascii="宋体" w:hAnsi="宋体" w:cs="宋体"/>
                <w:kern w:val="0"/>
                <w:szCs w:val="21"/>
              </w:rPr>
              <w:t>2年1月1日</w:t>
            </w:r>
            <w:r>
              <w:rPr>
                <w:rFonts w:hint="eastAsia" w:ascii="宋体" w:hAnsi="宋体" w:eastAsia="宋体" w:cs="宋体"/>
                <w:szCs w:val="21"/>
              </w:rPr>
              <w:t>以来</w:t>
            </w:r>
            <w:r>
              <w:rPr>
                <w:rFonts w:hint="eastAsia" w:ascii="宋体" w:hAnsi="宋体" w:cs="宋体"/>
                <w:color w:val="000000"/>
                <w:szCs w:val="21"/>
              </w:rPr>
              <w:t>具有</w:t>
            </w:r>
            <w:r>
              <w:rPr>
                <w:rFonts w:hint="eastAsia" w:ascii="宋体" w:hAnsi="宋体" w:cs="宋体"/>
                <w:color w:val="000000"/>
                <w:szCs w:val="21"/>
                <w:lang w:val="en-US" w:eastAsia="zh-CN"/>
              </w:rPr>
              <w:t>以</w:t>
            </w:r>
            <w:bookmarkStart w:id="3" w:name="OLE_LINK11"/>
            <w:r>
              <w:rPr>
                <w:rFonts w:hint="eastAsia" w:ascii="宋体" w:hAnsi="宋体" w:cs="仿宋"/>
                <w:bCs/>
                <w:color w:val="auto"/>
                <w:szCs w:val="20"/>
                <w:highlight w:val="none"/>
              </w:rPr>
              <w:t>项目负责人或技术负责人或项目经理</w:t>
            </w:r>
            <w:bookmarkEnd w:id="3"/>
            <w:r>
              <w:rPr>
                <w:rFonts w:hint="eastAsia" w:ascii="宋体" w:hAnsi="宋体" w:cs="仿宋"/>
                <w:bCs/>
                <w:color w:val="auto"/>
                <w:szCs w:val="20"/>
                <w:highlight w:val="none"/>
              </w:rPr>
              <w:t>身份承担过</w:t>
            </w:r>
            <w:r>
              <w:rPr>
                <w:rFonts w:hint="eastAsia" w:ascii="宋体" w:hAnsi="宋体" w:cs="宋体"/>
                <w:color w:val="000000"/>
                <w:szCs w:val="21"/>
              </w:rPr>
              <w:t>绿色建筑符合性评估服务项目</w:t>
            </w:r>
            <w:r>
              <w:rPr>
                <w:rFonts w:ascii="宋体" w:hAnsi="宋体" w:cs="宋体"/>
                <w:color w:val="000000"/>
                <w:szCs w:val="21"/>
              </w:rPr>
              <w:t>经验，每1个加</w:t>
            </w:r>
            <w:r>
              <w:rPr>
                <w:rFonts w:hint="eastAsia" w:ascii="宋体" w:hAnsi="宋体" w:cs="宋体"/>
                <w:color w:val="000000"/>
                <w:szCs w:val="21"/>
                <w:lang w:val="en-US" w:eastAsia="zh-CN"/>
              </w:rPr>
              <w:t>3</w:t>
            </w:r>
            <w:r>
              <w:rPr>
                <w:rFonts w:ascii="宋体" w:hAnsi="宋体" w:cs="宋体"/>
                <w:color w:val="000000"/>
                <w:szCs w:val="21"/>
              </w:rPr>
              <w:t>分，最多加</w:t>
            </w:r>
            <w:r>
              <w:rPr>
                <w:rFonts w:hint="eastAsia" w:ascii="宋体" w:hAnsi="宋体" w:cs="宋体"/>
                <w:color w:val="000000"/>
                <w:szCs w:val="21"/>
                <w:lang w:val="en-US" w:eastAsia="zh-CN"/>
              </w:rPr>
              <w:t>9</w:t>
            </w:r>
            <w:r>
              <w:rPr>
                <w:rFonts w:ascii="宋体" w:hAnsi="宋体" w:cs="宋体"/>
                <w:color w:val="000000"/>
                <w:szCs w:val="21"/>
              </w:rPr>
              <w:t>分。</w:t>
            </w:r>
          </w:p>
        </w:tc>
        <w:tc>
          <w:tcPr>
            <w:tcW w:w="1625" w:type="pct"/>
            <w:vAlign w:val="center"/>
          </w:tcPr>
          <w:p w14:paraId="00DA2DBA">
            <w:pPr>
              <w:adjustRightInd w:val="0"/>
              <w:snapToGrid w:val="0"/>
              <w:spacing w:line="0" w:lineRule="atLeast"/>
              <w:rPr>
                <w:rFonts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须为投标人自有员工，提供投标人为其缴纳的近6个月社保清单，由于社保部门原因最近一个月的社保证明无法提供的可往前顺延一个月，如为成立不足六个月新成立的企业，可提供加盖公章的情况说明及成立之日起至投标截止之日的社保清单。</w:t>
            </w:r>
          </w:p>
          <w:p w14:paraId="37291BEB">
            <w:pPr>
              <w:adjustRightInd w:val="0"/>
              <w:snapToGrid w:val="0"/>
              <w:spacing w:line="0" w:lineRule="atLeast"/>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职称证书要求提供扫描件，原件备查。</w:t>
            </w:r>
          </w:p>
          <w:p w14:paraId="65BA2634">
            <w:pPr>
              <w:pStyle w:val="2"/>
            </w:pPr>
            <w:r>
              <w:rPr>
                <w:rFonts w:hint="eastAsia"/>
              </w:rPr>
              <w:t>3.</w:t>
            </w:r>
            <w:r>
              <w:rPr>
                <w:rFonts w:hint="eastAsia"/>
                <w:color w:val="000000"/>
              </w:rPr>
              <w:t>业绩证明须提供合同关键页复印件或扫描件并加盖投标人公章（内容至少包括合同首页、工作内容页、金额页、</w:t>
            </w:r>
            <w:r>
              <w:rPr>
                <w:rFonts w:hint="eastAsia" w:ascii="宋体" w:hAnsi="宋体" w:cs="仿宋"/>
                <w:bCs/>
                <w:color w:val="auto"/>
                <w:szCs w:val="20"/>
                <w:highlight w:val="none"/>
              </w:rPr>
              <w:t>项目负责人或技术负责人或项目经理姓名、</w:t>
            </w:r>
            <w:r>
              <w:rPr>
                <w:rFonts w:hint="eastAsia"/>
                <w:color w:val="000000"/>
              </w:rPr>
              <w:t>签字盖章页）。</w:t>
            </w:r>
          </w:p>
          <w:p w14:paraId="0149BABD">
            <w:pPr>
              <w:adjustRightInd w:val="0"/>
              <w:snapToGrid w:val="0"/>
              <w:spacing w:line="0" w:lineRule="atLeast"/>
              <w:rPr>
                <w:rFonts w:ascii="宋体" w:hAnsi="宋体" w:cs="宋体"/>
                <w:szCs w:val="21"/>
              </w:rPr>
            </w:pPr>
            <w:r>
              <w:rPr>
                <w:rFonts w:hint="eastAsia" w:ascii="宋体" w:hAnsi="宋体" w:cs="宋体"/>
                <w:szCs w:val="21"/>
              </w:rPr>
              <w:t>4</w:t>
            </w:r>
            <w:r>
              <w:rPr>
                <w:rFonts w:ascii="宋体" w:hAnsi="宋体" w:cs="宋体"/>
                <w:szCs w:val="21"/>
              </w:rPr>
              <w:t>.</w:t>
            </w:r>
            <w:r>
              <w:rPr>
                <w:rFonts w:hint="eastAsia" w:ascii="宋体" w:hAnsi="宋体" w:cs="宋体"/>
                <w:szCs w:val="21"/>
              </w:rPr>
              <w:t>以上资料均要求提供扫描件，原件备查。评分中出现无证明资料或专家无法凭所提供资料判断是否得分的情况，一律作不得分处理。</w:t>
            </w:r>
          </w:p>
        </w:tc>
        <w:tc>
          <w:tcPr>
            <w:tcW w:w="559" w:type="pct"/>
            <w:vAlign w:val="center"/>
          </w:tcPr>
          <w:p w14:paraId="6D3ECF8E">
            <w:pPr>
              <w:widowControl/>
              <w:adjustRightInd w:val="0"/>
              <w:snapToGrid w:val="0"/>
              <w:spacing w:line="0" w:lineRule="atLeast"/>
              <w:jc w:val="center"/>
              <w:rPr>
                <w:rFonts w:hint="default" w:ascii="宋体" w:hAnsi="宋体" w:cs="宋体" w:eastAsiaTheme="minorEastAsia"/>
                <w:color w:val="000000"/>
                <w:szCs w:val="21"/>
                <w:lang w:val="en-US" w:eastAsia="zh-CN"/>
              </w:rPr>
            </w:pPr>
            <w:r>
              <w:rPr>
                <w:rFonts w:hint="eastAsia" w:ascii="宋体" w:hAnsi="宋体" w:cs="宋体"/>
                <w:color w:val="000000"/>
                <w:szCs w:val="21"/>
                <w:lang w:val="en-US" w:eastAsia="zh-CN"/>
              </w:rPr>
              <w:t>12</w:t>
            </w:r>
          </w:p>
        </w:tc>
      </w:tr>
      <w:tr w14:paraId="6262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6" w:hRule="atLeast"/>
          <w:jc w:val="center"/>
        </w:trPr>
        <w:tc>
          <w:tcPr>
            <w:tcW w:w="272" w:type="pct"/>
            <w:vAlign w:val="center"/>
          </w:tcPr>
          <w:p w14:paraId="10646DFF">
            <w:pPr>
              <w:widowControl/>
              <w:adjustRightInd w:val="0"/>
              <w:snapToGrid w:val="0"/>
              <w:spacing w:line="0" w:lineRule="atLeast"/>
              <w:jc w:val="center"/>
              <w:rPr>
                <w:rFonts w:hint="eastAsia" w:ascii="宋体" w:hAnsi="宋体" w:cs="宋体" w:eastAsiaTheme="minorEastAsia"/>
                <w:color w:val="000000"/>
                <w:szCs w:val="21"/>
                <w:lang w:eastAsia="zh-CN"/>
              </w:rPr>
            </w:pPr>
            <w:r>
              <w:rPr>
                <w:rFonts w:hint="eastAsia" w:ascii="宋体" w:hAnsi="宋体" w:cs="宋体"/>
                <w:color w:val="000000"/>
                <w:szCs w:val="21"/>
                <w:lang w:val="en-US" w:eastAsia="zh-CN"/>
              </w:rPr>
              <w:t>4</w:t>
            </w:r>
          </w:p>
        </w:tc>
        <w:tc>
          <w:tcPr>
            <w:tcW w:w="407" w:type="pct"/>
            <w:vAlign w:val="center"/>
          </w:tcPr>
          <w:p w14:paraId="372D915F">
            <w:pPr>
              <w:spacing w:line="0" w:lineRule="atLeast"/>
              <w:jc w:val="center"/>
              <w:rPr>
                <w:rFonts w:ascii="宋体" w:hAnsi="宋体" w:cs="宋体"/>
                <w:color w:val="000000"/>
                <w:szCs w:val="21"/>
              </w:rPr>
            </w:pPr>
            <w:r>
              <w:rPr>
                <w:rFonts w:hint="eastAsia" w:ascii="宋体" w:hAnsi="宋体" w:cs="宋体"/>
                <w:color w:val="000000"/>
                <w:szCs w:val="21"/>
              </w:rPr>
              <w:t>团队成员配置情况</w:t>
            </w:r>
          </w:p>
        </w:tc>
        <w:tc>
          <w:tcPr>
            <w:tcW w:w="2136" w:type="pct"/>
            <w:vAlign w:val="center"/>
          </w:tcPr>
          <w:p w14:paraId="115C37A5">
            <w:pPr>
              <w:spacing w:line="0" w:lineRule="atLeast"/>
              <w:rPr>
                <w:rFonts w:ascii="宋体" w:hAnsi="宋体" w:cs="宋体"/>
                <w:color w:val="000000"/>
                <w:szCs w:val="21"/>
              </w:rPr>
            </w:pPr>
            <w:r>
              <w:rPr>
                <w:rFonts w:hint="eastAsia" w:ascii="宋体" w:hAnsi="宋体" w:cs="宋体"/>
                <w:color w:val="000000"/>
                <w:szCs w:val="21"/>
              </w:rPr>
              <w:t>除项目负责人外，</w:t>
            </w:r>
            <w:r>
              <w:rPr>
                <w:rFonts w:hint="eastAsia" w:ascii="宋体" w:hAnsi="宋体" w:cs="仿宋"/>
                <w:bCs/>
                <w:color w:val="auto"/>
                <w:szCs w:val="20"/>
                <w:highlight w:val="none"/>
              </w:rPr>
              <w:t>拟派项目团队成员</w:t>
            </w:r>
            <w:r>
              <w:rPr>
                <w:rFonts w:hint="eastAsia" w:ascii="宋体" w:hAnsi="宋体" w:cs="宋体"/>
                <w:color w:val="000000"/>
                <w:szCs w:val="21"/>
                <w:lang w:val="en-US" w:eastAsia="zh-CN"/>
              </w:rPr>
              <w:t>情况</w:t>
            </w:r>
            <w:r>
              <w:rPr>
                <w:rFonts w:hint="eastAsia" w:ascii="宋体" w:hAnsi="宋体" w:cs="宋体"/>
                <w:color w:val="000000"/>
                <w:szCs w:val="21"/>
              </w:rPr>
              <w:t>：</w:t>
            </w:r>
          </w:p>
          <w:p w14:paraId="07736D01">
            <w:pPr>
              <w:spacing w:line="0" w:lineRule="atLeast"/>
              <w:rPr>
                <w:rFonts w:ascii="宋体" w:hAnsi="宋体" w:eastAsia="宋体" w:cs="宋体"/>
                <w:szCs w:val="21"/>
              </w:rPr>
            </w:pPr>
            <w:r>
              <w:rPr>
                <w:rFonts w:hint="eastAsia" w:ascii="宋体" w:hAnsi="宋体" w:cs="宋体"/>
                <w:color w:val="000000"/>
                <w:szCs w:val="21"/>
              </w:rPr>
              <w:t>1.具</w:t>
            </w:r>
            <w:r>
              <w:rPr>
                <w:rFonts w:hint="eastAsia" w:ascii="宋体" w:hAnsi="宋体" w:cs="宋体"/>
                <w:color w:val="000000"/>
                <w:szCs w:val="21"/>
                <w:lang w:val="en-US" w:eastAsia="zh-CN"/>
              </w:rPr>
              <w:t>有建筑类</w:t>
            </w:r>
            <w:r>
              <w:rPr>
                <w:rFonts w:hint="eastAsia" w:ascii="宋体" w:hAnsi="宋体" w:eastAsia="宋体" w:cs="宋体"/>
                <w:szCs w:val="21"/>
              </w:rPr>
              <w:t>高级工程师（含副高）职称证书的，每人得</w:t>
            </w:r>
            <w:r>
              <w:rPr>
                <w:rFonts w:hint="eastAsia" w:ascii="宋体" w:hAnsi="宋体" w:eastAsia="宋体" w:cs="宋体"/>
                <w:szCs w:val="21"/>
                <w:lang w:val="en-US" w:eastAsia="zh-CN"/>
              </w:rPr>
              <w:t>3</w:t>
            </w:r>
            <w:r>
              <w:rPr>
                <w:rFonts w:hint="eastAsia" w:ascii="宋体" w:hAnsi="宋体" w:eastAsia="宋体" w:cs="宋体"/>
                <w:szCs w:val="21"/>
              </w:rPr>
              <w:t>分，</w:t>
            </w:r>
            <w:r>
              <w:rPr>
                <w:rFonts w:hint="eastAsia" w:ascii="宋体" w:hAnsi="宋体" w:eastAsia="宋体" w:cs="宋体"/>
                <w:szCs w:val="21"/>
                <w:lang w:val="en-US" w:eastAsia="zh-CN"/>
              </w:rPr>
              <w:t>此项</w:t>
            </w:r>
            <w:r>
              <w:rPr>
                <w:rFonts w:hint="eastAsia" w:ascii="宋体" w:hAnsi="宋体" w:eastAsia="宋体" w:cs="宋体"/>
                <w:szCs w:val="21"/>
              </w:rPr>
              <w:t>最多得</w:t>
            </w:r>
            <w:r>
              <w:rPr>
                <w:rFonts w:hint="eastAsia" w:ascii="宋体" w:hAnsi="宋体" w:eastAsia="宋体" w:cs="宋体"/>
                <w:szCs w:val="21"/>
                <w:lang w:val="en-US" w:eastAsia="zh-CN"/>
              </w:rPr>
              <w:t>6</w:t>
            </w:r>
            <w:r>
              <w:rPr>
                <w:rFonts w:hint="eastAsia" w:ascii="宋体" w:hAnsi="宋体" w:eastAsia="宋体" w:cs="宋体"/>
                <w:szCs w:val="21"/>
              </w:rPr>
              <w:t>分；</w:t>
            </w:r>
          </w:p>
          <w:p w14:paraId="680654C0">
            <w:pPr>
              <w:spacing w:line="0" w:lineRule="atLeast"/>
              <w:rPr>
                <w:rFonts w:hint="eastAsia" w:ascii="宋体" w:hAnsi="宋体" w:eastAsia="宋体" w:cs="宋体"/>
                <w:color w:val="000000"/>
                <w:szCs w:val="21"/>
                <w:lang w:eastAsia="zh-CN"/>
              </w:rPr>
            </w:pPr>
            <w:r>
              <w:rPr>
                <w:rFonts w:hint="eastAsia" w:ascii="宋体" w:hAnsi="宋体" w:cs="宋体"/>
                <w:color w:val="000000"/>
                <w:szCs w:val="21"/>
              </w:rPr>
              <w:t>2.具</w:t>
            </w:r>
            <w:r>
              <w:rPr>
                <w:rFonts w:hint="eastAsia" w:ascii="宋体" w:hAnsi="宋体" w:cs="宋体"/>
                <w:color w:val="000000"/>
                <w:szCs w:val="21"/>
                <w:lang w:val="en-US" w:eastAsia="zh-CN"/>
              </w:rPr>
              <w:t>有建筑类</w:t>
            </w:r>
            <w:r>
              <w:rPr>
                <w:rFonts w:hint="eastAsia" w:ascii="宋体" w:hAnsi="宋体" w:eastAsia="宋体" w:cs="宋体"/>
                <w:szCs w:val="21"/>
                <w:lang w:val="en-US" w:eastAsia="zh-CN"/>
              </w:rPr>
              <w:t>中级</w:t>
            </w:r>
            <w:r>
              <w:rPr>
                <w:rFonts w:hint="eastAsia" w:ascii="宋体" w:hAnsi="宋体" w:eastAsia="宋体" w:cs="宋体"/>
                <w:szCs w:val="21"/>
              </w:rPr>
              <w:t>职称证书的，每人得</w:t>
            </w:r>
            <w:r>
              <w:rPr>
                <w:rFonts w:hint="eastAsia" w:ascii="宋体" w:hAnsi="宋体" w:eastAsia="宋体" w:cs="宋体"/>
                <w:szCs w:val="21"/>
                <w:lang w:val="en-US" w:eastAsia="zh-CN"/>
              </w:rPr>
              <w:t>2</w:t>
            </w:r>
            <w:r>
              <w:rPr>
                <w:rFonts w:hint="eastAsia" w:ascii="宋体" w:hAnsi="宋体" w:eastAsia="宋体" w:cs="宋体"/>
                <w:szCs w:val="21"/>
              </w:rPr>
              <w:t>分，</w:t>
            </w:r>
            <w:r>
              <w:rPr>
                <w:rFonts w:hint="eastAsia" w:ascii="宋体" w:hAnsi="宋体" w:eastAsia="宋体" w:cs="宋体"/>
                <w:szCs w:val="21"/>
                <w:lang w:val="en-US" w:eastAsia="zh-CN"/>
              </w:rPr>
              <w:t>此项</w:t>
            </w:r>
            <w:r>
              <w:rPr>
                <w:rFonts w:hint="eastAsia" w:ascii="宋体" w:hAnsi="宋体" w:eastAsia="宋体" w:cs="宋体"/>
                <w:szCs w:val="21"/>
              </w:rPr>
              <w:t>最多得</w:t>
            </w:r>
            <w:r>
              <w:rPr>
                <w:rFonts w:hint="eastAsia" w:ascii="宋体" w:hAnsi="宋体" w:eastAsia="宋体" w:cs="宋体"/>
                <w:szCs w:val="21"/>
                <w:lang w:val="en-US" w:eastAsia="zh-CN"/>
              </w:rPr>
              <w:t>6</w:t>
            </w:r>
            <w:r>
              <w:rPr>
                <w:rFonts w:hint="eastAsia" w:ascii="宋体" w:hAnsi="宋体" w:eastAsia="宋体" w:cs="宋体"/>
                <w:szCs w:val="21"/>
              </w:rPr>
              <w:t>分</w:t>
            </w:r>
            <w:r>
              <w:rPr>
                <w:rFonts w:hint="eastAsia" w:ascii="宋体" w:hAnsi="宋体" w:eastAsia="宋体" w:cs="宋体"/>
                <w:szCs w:val="21"/>
                <w:lang w:eastAsia="zh-CN"/>
              </w:rPr>
              <w:t>。</w:t>
            </w:r>
          </w:p>
          <w:p w14:paraId="4FB0EDA0">
            <w:pPr>
              <w:spacing w:line="0" w:lineRule="atLeast"/>
              <w:rPr>
                <w:rFonts w:ascii="宋体" w:hAnsi="宋体" w:cs="宋体"/>
                <w:color w:val="000000"/>
                <w:szCs w:val="21"/>
              </w:rPr>
            </w:pPr>
            <w:r>
              <w:rPr>
                <w:rFonts w:hint="eastAsia" w:ascii="宋体" w:hAnsi="宋体" w:cs="宋体"/>
                <w:color w:val="000000"/>
                <w:szCs w:val="21"/>
              </w:rPr>
              <w:t>注：单个成员拥有多个职称的，只按1个职称计分，不重复计分，以上累加计分，满分</w:t>
            </w:r>
            <w:r>
              <w:rPr>
                <w:rFonts w:hint="eastAsia" w:ascii="宋体" w:hAnsi="宋体" w:cs="宋体"/>
                <w:color w:val="000000"/>
                <w:szCs w:val="21"/>
                <w:lang w:val="en-US" w:eastAsia="zh-CN"/>
              </w:rPr>
              <w:t>12</w:t>
            </w:r>
            <w:r>
              <w:rPr>
                <w:rFonts w:hint="eastAsia" w:ascii="宋体" w:hAnsi="宋体" w:cs="宋体"/>
                <w:color w:val="000000"/>
                <w:szCs w:val="21"/>
              </w:rPr>
              <w:t>分。</w:t>
            </w:r>
          </w:p>
        </w:tc>
        <w:tc>
          <w:tcPr>
            <w:tcW w:w="1625" w:type="pct"/>
            <w:vAlign w:val="center"/>
          </w:tcPr>
          <w:p w14:paraId="2F2CF013">
            <w:pPr>
              <w:pStyle w:val="2"/>
              <w:rPr>
                <w:rFonts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投标人须提供项目团队成员名单列表（格式自拟）、职称证书扫描件。</w:t>
            </w:r>
          </w:p>
          <w:p w14:paraId="3A5B04B9">
            <w:pPr>
              <w:rPr>
                <w:rFonts w:ascii="宋体" w:hAnsi="宋体" w:cs="宋体"/>
                <w:szCs w:val="21"/>
              </w:rPr>
            </w:pPr>
            <w:r>
              <w:rPr>
                <w:rFonts w:ascii="宋体" w:hAnsi="宋体" w:cs="宋体"/>
                <w:szCs w:val="21"/>
              </w:rPr>
              <w:t>2</w:t>
            </w:r>
            <w:r>
              <w:rPr>
                <w:rFonts w:hint="eastAsia" w:ascii="宋体" w:hAnsi="宋体" w:cs="宋体"/>
                <w:szCs w:val="21"/>
              </w:rPr>
              <w:t>.同时提供投标人为以上人员缴交的近6个月的社保证明材料扫描件（社保资料须至少显示缴交养老保险信息，未显示该信息的该社保资料则不符合要求）。如开标日上一个月的社保材料因社保部门原因暂时无法取得，则可以往前顺延一个月，如为成立不足六个月新成立的企业，可提供加盖公章的情况说明及成立之日起至投标截止之日的社保清单。</w:t>
            </w:r>
          </w:p>
          <w:p w14:paraId="1682FEC3">
            <w:pPr>
              <w:adjustRightInd w:val="0"/>
              <w:snapToGrid w:val="0"/>
              <w:spacing w:line="0" w:lineRule="atLeast"/>
              <w:rPr>
                <w:rFonts w:ascii="宋体" w:hAnsi="宋体" w:cs="宋体"/>
                <w:szCs w:val="21"/>
              </w:rPr>
            </w:pPr>
            <w:r>
              <w:rPr>
                <w:rFonts w:ascii="宋体" w:hAnsi="宋体" w:cs="宋体"/>
                <w:szCs w:val="21"/>
              </w:rPr>
              <w:t>3</w:t>
            </w:r>
            <w:r>
              <w:rPr>
                <w:rFonts w:hint="eastAsia" w:ascii="宋体" w:hAnsi="宋体" w:cs="宋体"/>
                <w:szCs w:val="21"/>
              </w:rPr>
              <w:t>.以上资料原件备查，未按要求提供或提供不清晰导致评委无法判断的不得分。</w:t>
            </w:r>
          </w:p>
        </w:tc>
        <w:tc>
          <w:tcPr>
            <w:tcW w:w="559" w:type="pct"/>
            <w:vAlign w:val="center"/>
          </w:tcPr>
          <w:p w14:paraId="43888EA2">
            <w:pPr>
              <w:widowControl/>
              <w:adjustRightInd w:val="0"/>
              <w:snapToGrid w:val="0"/>
              <w:spacing w:line="0" w:lineRule="atLeast"/>
              <w:jc w:val="center"/>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2分</w:t>
            </w:r>
          </w:p>
        </w:tc>
      </w:tr>
      <w:tr w14:paraId="5AA1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0" w:hRule="atLeast"/>
          <w:jc w:val="center"/>
        </w:trPr>
        <w:tc>
          <w:tcPr>
            <w:tcW w:w="272" w:type="pct"/>
            <w:vAlign w:val="center"/>
          </w:tcPr>
          <w:p w14:paraId="28332254">
            <w:pPr>
              <w:widowControl/>
              <w:adjustRightInd w:val="0"/>
              <w:snapToGrid w:val="0"/>
              <w:spacing w:line="0" w:lineRule="atLeast"/>
              <w:jc w:val="center"/>
              <w:rPr>
                <w:rFonts w:hint="eastAsia" w:ascii="宋体" w:hAnsi="宋体" w:cs="宋体" w:eastAsiaTheme="minorEastAsia"/>
                <w:color w:val="000000"/>
                <w:szCs w:val="21"/>
                <w:lang w:eastAsia="zh-CN"/>
              </w:rPr>
            </w:pPr>
            <w:r>
              <w:rPr>
                <w:rFonts w:hint="eastAsia" w:ascii="宋体" w:hAnsi="宋体" w:cs="宋体"/>
                <w:color w:val="000000"/>
                <w:szCs w:val="21"/>
                <w:lang w:val="en-US" w:eastAsia="zh-CN"/>
              </w:rPr>
              <w:t>5</w:t>
            </w:r>
          </w:p>
        </w:tc>
        <w:tc>
          <w:tcPr>
            <w:tcW w:w="407" w:type="pct"/>
            <w:vAlign w:val="center"/>
          </w:tcPr>
          <w:p w14:paraId="19720DBC">
            <w:pPr>
              <w:spacing w:line="0" w:lineRule="atLeast"/>
              <w:jc w:val="center"/>
              <w:rPr>
                <w:rFonts w:ascii="宋体" w:hAnsi="宋体" w:cs="宋体"/>
                <w:color w:val="000000"/>
                <w:szCs w:val="21"/>
              </w:rPr>
            </w:pPr>
            <w:r>
              <w:rPr>
                <w:rFonts w:hint="eastAsia" w:ascii="宋体" w:hAnsi="宋体" w:cs="宋体"/>
                <w:color w:val="000000"/>
                <w:szCs w:val="21"/>
              </w:rPr>
              <w:t>服务方案情况</w:t>
            </w:r>
          </w:p>
        </w:tc>
        <w:tc>
          <w:tcPr>
            <w:tcW w:w="2136" w:type="pct"/>
            <w:vAlign w:val="center"/>
          </w:tcPr>
          <w:p w14:paraId="6B9465C7">
            <w:pPr>
              <w:spacing w:line="0" w:lineRule="atLeast"/>
              <w:rPr>
                <w:rFonts w:ascii="宋体" w:hAnsi="宋体" w:cs="宋体"/>
                <w:color w:val="000000"/>
                <w:szCs w:val="21"/>
              </w:rPr>
            </w:pPr>
            <w:r>
              <w:rPr>
                <w:rFonts w:hint="eastAsia" w:ascii="宋体" w:hAnsi="宋体"/>
                <w:color w:val="000000"/>
                <w:szCs w:val="21"/>
              </w:rPr>
              <w:t>根据项目实际情况，从服务需求任务分解情况、服务成果质量把控能力、过程资料及档案管理、其他相关事宜等方面</w:t>
            </w:r>
            <w:r>
              <w:rPr>
                <w:rFonts w:hint="eastAsia" w:ascii="宋体" w:hAnsi="宋体" w:cs="宋体"/>
                <w:color w:val="000000"/>
                <w:szCs w:val="21"/>
                <w:lang w:eastAsia="zh-CN"/>
              </w:rPr>
              <w:t>，</w:t>
            </w:r>
            <w:r>
              <w:rPr>
                <w:rFonts w:hint="eastAsia" w:ascii="宋体" w:hAnsi="宋体" w:cs="宋体"/>
                <w:color w:val="000000"/>
                <w:szCs w:val="21"/>
              </w:rPr>
              <w:t>进行横向比较评分：</w:t>
            </w:r>
          </w:p>
          <w:p w14:paraId="3E1E0BC2">
            <w:pPr>
              <w:spacing w:line="0" w:lineRule="atLeast"/>
              <w:rPr>
                <w:rFonts w:ascii="宋体" w:hAnsi="宋体" w:cs="宋体"/>
                <w:color w:val="000000"/>
                <w:szCs w:val="21"/>
              </w:rPr>
            </w:pPr>
            <w:r>
              <w:rPr>
                <w:rFonts w:hint="eastAsia" w:ascii="宋体" w:hAnsi="宋体" w:cs="宋体"/>
                <w:color w:val="000000"/>
                <w:szCs w:val="21"/>
              </w:rPr>
              <w:t>优得</w:t>
            </w:r>
            <w:r>
              <w:rPr>
                <w:rFonts w:hint="eastAsia" w:ascii="宋体" w:hAnsi="宋体" w:cs="宋体"/>
                <w:color w:val="000000"/>
                <w:szCs w:val="21"/>
                <w:lang w:val="en-US" w:eastAsia="zh-CN"/>
              </w:rPr>
              <w:t>30</w:t>
            </w:r>
            <w:r>
              <w:rPr>
                <w:rFonts w:hint="eastAsia" w:ascii="宋体" w:hAnsi="宋体" w:cs="宋体"/>
                <w:color w:val="000000"/>
                <w:szCs w:val="21"/>
              </w:rPr>
              <w:t>-</w:t>
            </w:r>
            <w:r>
              <w:rPr>
                <w:rFonts w:hint="eastAsia" w:ascii="宋体" w:hAnsi="宋体" w:cs="宋体"/>
                <w:color w:val="000000"/>
                <w:szCs w:val="21"/>
                <w:lang w:val="en-US" w:eastAsia="zh-CN"/>
              </w:rPr>
              <w:t>45</w:t>
            </w:r>
            <w:r>
              <w:rPr>
                <w:rFonts w:hint="eastAsia" w:ascii="宋体" w:hAnsi="宋体" w:cs="宋体"/>
                <w:color w:val="000000"/>
                <w:szCs w:val="21"/>
              </w:rPr>
              <w:t>分、中得</w:t>
            </w:r>
            <w:r>
              <w:rPr>
                <w:rFonts w:hint="eastAsia" w:ascii="宋体" w:hAnsi="宋体" w:cs="宋体"/>
                <w:color w:val="000000"/>
                <w:szCs w:val="21"/>
                <w:lang w:val="en-US" w:eastAsia="zh-CN"/>
              </w:rPr>
              <w:t>20</w:t>
            </w:r>
            <w:r>
              <w:rPr>
                <w:rFonts w:hint="eastAsia" w:ascii="宋体" w:hAnsi="宋体" w:cs="宋体"/>
                <w:color w:val="000000"/>
                <w:szCs w:val="21"/>
              </w:rPr>
              <w:t>-</w:t>
            </w:r>
            <w:r>
              <w:rPr>
                <w:rFonts w:hint="eastAsia" w:ascii="宋体" w:hAnsi="宋体" w:cs="宋体"/>
                <w:color w:val="000000"/>
                <w:szCs w:val="21"/>
                <w:lang w:val="en-US" w:eastAsia="zh-CN"/>
              </w:rPr>
              <w:t>30</w:t>
            </w:r>
            <w:r>
              <w:rPr>
                <w:rFonts w:hint="eastAsia" w:ascii="宋体" w:hAnsi="宋体" w:cs="宋体"/>
                <w:color w:val="000000"/>
                <w:szCs w:val="21"/>
              </w:rPr>
              <w:t>分、差得</w:t>
            </w:r>
            <w:r>
              <w:rPr>
                <w:rFonts w:hint="eastAsia" w:ascii="宋体" w:hAnsi="宋体" w:cs="宋体"/>
                <w:color w:val="000000"/>
                <w:szCs w:val="21"/>
                <w:lang w:val="en-US" w:eastAsia="zh-CN"/>
              </w:rPr>
              <w:t>0</w:t>
            </w:r>
            <w:r>
              <w:rPr>
                <w:rFonts w:hint="eastAsia" w:ascii="宋体" w:hAnsi="宋体" w:cs="宋体"/>
                <w:color w:val="000000"/>
                <w:szCs w:val="21"/>
              </w:rPr>
              <w:t>-</w:t>
            </w:r>
            <w:r>
              <w:rPr>
                <w:rFonts w:hint="eastAsia" w:ascii="宋体" w:hAnsi="宋体" w:cs="宋体"/>
                <w:color w:val="000000"/>
                <w:szCs w:val="21"/>
                <w:lang w:val="en-US" w:eastAsia="zh-CN"/>
              </w:rPr>
              <w:t>20</w:t>
            </w:r>
            <w:r>
              <w:rPr>
                <w:rFonts w:hint="eastAsia" w:ascii="宋体" w:hAnsi="宋体" w:cs="宋体"/>
                <w:color w:val="000000"/>
                <w:szCs w:val="21"/>
              </w:rPr>
              <w:t>分</w:t>
            </w:r>
            <w:r>
              <w:rPr>
                <w:rFonts w:hint="eastAsia" w:ascii="宋体" w:hAnsi="宋体" w:cs="宋体"/>
                <w:color w:val="000000"/>
                <w:szCs w:val="21"/>
                <w:lang w:eastAsia="zh-CN"/>
              </w:rPr>
              <w:t>。</w:t>
            </w:r>
          </w:p>
        </w:tc>
        <w:tc>
          <w:tcPr>
            <w:tcW w:w="1625" w:type="pct"/>
            <w:vAlign w:val="center"/>
          </w:tcPr>
          <w:p w14:paraId="1D5DD7B4">
            <w:pPr>
              <w:adjustRightInd w:val="0"/>
              <w:snapToGrid w:val="0"/>
              <w:spacing w:line="0" w:lineRule="atLeast"/>
              <w:jc w:val="center"/>
              <w:rPr>
                <w:rFonts w:ascii="宋体" w:hAnsi="宋体" w:cs="宋体"/>
                <w:color w:val="000000"/>
                <w:szCs w:val="21"/>
              </w:rPr>
            </w:pPr>
            <w:r>
              <w:rPr>
                <w:rFonts w:hint="eastAsia" w:ascii="宋体" w:hAnsi="宋体" w:cs="宋体"/>
                <w:color w:val="000000"/>
                <w:szCs w:val="21"/>
              </w:rPr>
              <w:t>提供服务方案，并加盖</w:t>
            </w:r>
            <w:r>
              <w:rPr>
                <w:rFonts w:hint="eastAsia" w:ascii="宋体" w:hAnsi="宋体" w:cs="宋体"/>
                <w:color w:val="000000"/>
                <w:szCs w:val="21"/>
                <w:lang w:val="en-US" w:eastAsia="zh-CN"/>
              </w:rPr>
              <w:t>公</w:t>
            </w:r>
            <w:bookmarkStart w:id="4" w:name="_GoBack"/>
            <w:bookmarkEnd w:id="4"/>
            <w:r>
              <w:rPr>
                <w:rFonts w:hint="eastAsia" w:ascii="宋体" w:hAnsi="宋体" w:cs="宋体"/>
                <w:color w:val="000000"/>
                <w:szCs w:val="21"/>
              </w:rPr>
              <w:t>章</w:t>
            </w:r>
          </w:p>
        </w:tc>
        <w:tc>
          <w:tcPr>
            <w:tcW w:w="559" w:type="pct"/>
            <w:vAlign w:val="center"/>
          </w:tcPr>
          <w:p w14:paraId="2AC4BBD9">
            <w:pPr>
              <w:spacing w:line="0" w:lineRule="atLeast"/>
              <w:jc w:val="center"/>
              <w:rPr>
                <w:rFonts w:ascii="宋体" w:hAnsi="宋体" w:cs="宋体"/>
                <w:color w:val="000000"/>
                <w:szCs w:val="21"/>
              </w:rPr>
            </w:pPr>
            <w:r>
              <w:rPr>
                <w:rFonts w:hint="eastAsia" w:ascii="宋体" w:hAnsi="宋体" w:cs="宋体"/>
                <w:color w:val="000000"/>
                <w:szCs w:val="21"/>
                <w:lang w:val="en-US" w:eastAsia="zh-CN"/>
              </w:rPr>
              <w:t>35</w:t>
            </w:r>
            <w:r>
              <w:rPr>
                <w:rFonts w:hint="eastAsia" w:ascii="宋体" w:hAnsi="宋体" w:cs="宋体"/>
                <w:color w:val="000000"/>
                <w:szCs w:val="21"/>
              </w:rPr>
              <w:t>分</w:t>
            </w:r>
          </w:p>
        </w:tc>
      </w:tr>
      <w:tr w14:paraId="611B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2" w:hRule="atLeast"/>
          <w:jc w:val="center"/>
        </w:trPr>
        <w:tc>
          <w:tcPr>
            <w:tcW w:w="272" w:type="pct"/>
            <w:vAlign w:val="center"/>
          </w:tcPr>
          <w:p w14:paraId="4C4D58D5">
            <w:pPr>
              <w:widowControl/>
              <w:adjustRightInd w:val="0"/>
              <w:snapToGrid w:val="0"/>
              <w:spacing w:line="0" w:lineRule="atLeast"/>
              <w:jc w:val="center"/>
              <w:rPr>
                <w:rFonts w:hint="eastAsia" w:ascii="宋体" w:hAnsi="宋体" w:cs="宋体" w:eastAsiaTheme="minorEastAsia"/>
                <w:color w:val="000000"/>
                <w:szCs w:val="21"/>
                <w:lang w:eastAsia="zh-CN"/>
              </w:rPr>
            </w:pPr>
            <w:r>
              <w:rPr>
                <w:rFonts w:hint="eastAsia" w:ascii="宋体" w:hAnsi="宋体" w:cs="宋体"/>
                <w:color w:val="000000"/>
                <w:szCs w:val="21"/>
                <w:lang w:val="en-US" w:eastAsia="zh-CN"/>
              </w:rPr>
              <w:t>6</w:t>
            </w:r>
          </w:p>
        </w:tc>
        <w:tc>
          <w:tcPr>
            <w:tcW w:w="407" w:type="pct"/>
            <w:vAlign w:val="center"/>
          </w:tcPr>
          <w:p w14:paraId="43AC5F1C">
            <w:pPr>
              <w:spacing w:line="0" w:lineRule="atLeast"/>
              <w:jc w:val="center"/>
              <w:rPr>
                <w:rFonts w:ascii="宋体" w:hAnsi="宋体" w:cs="宋体"/>
                <w:color w:val="000000"/>
                <w:szCs w:val="21"/>
              </w:rPr>
            </w:pPr>
            <w:r>
              <w:rPr>
                <w:rFonts w:hint="eastAsia" w:ascii="宋体" w:hAnsi="宋体" w:cs="宋体"/>
                <w:color w:val="000000"/>
                <w:szCs w:val="21"/>
              </w:rPr>
              <w:t>报价</w:t>
            </w:r>
          </w:p>
          <w:p w14:paraId="2FF7A6FA">
            <w:pPr>
              <w:spacing w:line="0" w:lineRule="atLeast"/>
              <w:jc w:val="center"/>
              <w:rPr>
                <w:rFonts w:ascii="宋体" w:hAnsi="宋体" w:cs="宋体"/>
                <w:color w:val="000000"/>
                <w:szCs w:val="21"/>
              </w:rPr>
            </w:pPr>
            <w:r>
              <w:rPr>
                <w:rFonts w:hint="eastAsia" w:ascii="宋体" w:hAnsi="宋体" w:cs="宋体"/>
                <w:color w:val="000000"/>
                <w:szCs w:val="21"/>
              </w:rPr>
              <w:t>情况</w:t>
            </w:r>
          </w:p>
        </w:tc>
        <w:tc>
          <w:tcPr>
            <w:tcW w:w="2136" w:type="pct"/>
            <w:vAlign w:val="center"/>
          </w:tcPr>
          <w:p w14:paraId="7BF68A2A">
            <w:pPr>
              <w:spacing w:line="0" w:lineRule="atLeast"/>
              <w:jc w:val="left"/>
              <w:rPr>
                <w:rFonts w:ascii="宋体" w:hAnsi="宋体" w:cs="宋体"/>
                <w:szCs w:val="21"/>
              </w:rPr>
            </w:pPr>
            <w:r>
              <w:rPr>
                <w:rFonts w:hint="eastAsia" w:ascii="宋体" w:hAnsi="宋体" w:cs="宋体"/>
                <w:szCs w:val="21"/>
              </w:rPr>
              <w:t>采用低价优先法计算，投标总价最低的投标报价为评标基准价，其价格分为满分。</w:t>
            </w:r>
          </w:p>
          <w:p w14:paraId="095A259F">
            <w:pPr>
              <w:spacing w:line="0" w:lineRule="atLeast"/>
              <w:jc w:val="left"/>
              <w:rPr>
                <w:rFonts w:ascii="宋体" w:hAnsi="宋体" w:cs="宋体"/>
                <w:szCs w:val="21"/>
              </w:rPr>
            </w:pPr>
            <w:r>
              <w:rPr>
                <w:rFonts w:hint="eastAsia" w:ascii="宋体" w:hAnsi="宋体" w:cs="宋体"/>
                <w:szCs w:val="21"/>
              </w:rPr>
              <w:t>其他投标人的价格分统一按照下列公式计算：投标报价得分=(评标基准价／投标总价)×10</w:t>
            </w:r>
          </w:p>
          <w:p w14:paraId="7C025AD4">
            <w:pPr>
              <w:spacing w:line="0" w:lineRule="atLeast"/>
              <w:rPr>
                <w:rFonts w:ascii="宋体" w:hAnsi="宋体" w:cs="宋体"/>
                <w:color w:val="000000"/>
                <w:szCs w:val="21"/>
              </w:rPr>
            </w:pPr>
            <w:r>
              <w:rPr>
                <w:rFonts w:hint="eastAsia" w:ascii="宋体" w:hAnsi="宋体" w:cs="宋体"/>
                <w:szCs w:val="21"/>
              </w:rPr>
              <w:t>评标过程中，不去掉报价中的最高报价和最低报价。</w:t>
            </w:r>
          </w:p>
        </w:tc>
        <w:tc>
          <w:tcPr>
            <w:tcW w:w="1625" w:type="pct"/>
            <w:vAlign w:val="center"/>
          </w:tcPr>
          <w:p w14:paraId="6CA6CB2A">
            <w:pPr>
              <w:adjustRightInd w:val="0"/>
              <w:snapToGrid w:val="0"/>
              <w:spacing w:line="0" w:lineRule="atLeast"/>
              <w:jc w:val="center"/>
              <w:rPr>
                <w:rFonts w:ascii="宋体" w:hAnsi="宋体" w:cs="宋体"/>
                <w:color w:val="000000"/>
                <w:szCs w:val="21"/>
              </w:rPr>
            </w:pPr>
            <w:r>
              <w:rPr>
                <w:rFonts w:hint="eastAsia" w:ascii="宋体" w:hAnsi="宋体" w:cs="宋体"/>
                <w:color w:val="000000"/>
                <w:szCs w:val="21"/>
              </w:rPr>
              <w:t>提供响应报价，并加盖公章</w:t>
            </w:r>
          </w:p>
        </w:tc>
        <w:tc>
          <w:tcPr>
            <w:tcW w:w="559" w:type="pct"/>
            <w:vAlign w:val="center"/>
          </w:tcPr>
          <w:p w14:paraId="2B16BEBB">
            <w:pPr>
              <w:spacing w:line="0" w:lineRule="atLeast"/>
              <w:jc w:val="center"/>
              <w:rPr>
                <w:rFonts w:ascii="宋体" w:hAnsi="宋体" w:cs="宋体"/>
                <w:color w:val="000000"/>
                <w:szCs w:val="21"/>
              </w:rPr>
            </w:pPr>
            <w:r>
              <w:rPr>
                <w:rFonts w:hint="eastAsia" w:ascii="宋体" w:hAnsi="宋体" w:cs="宋体"/>
                <w:color w:val="000000"/>
                <w:szCs w:val="21"/>
                <w:lang w:val="en-US" w:eastAsia="zh-CN"/>
              </w:rPr>
              <w:t>20</w:t>
            </w:r>
            <w:r>
              <w:rPr>
                <w:rFonts w:hint="eastAsia" w:ascii="宋体" w:hAnsi="宋体" w:cs="宋体"/>
                <w:color w:val="000000"/>
                <w:szCs w:val="21"/>
              </w:rPr>
              <w:t>分</w:t>
            </w:r>
          </w:p>
        </w:tc>
      </w:tr>
      <w:tr w14:paraId="5149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4440" w:type="pct"/>
            <w:gridSpan w:val="4"/>
            <w:vAlign w:val="center"/>
          </w:tcPr>
          <w:p w14:paraId="48EEB274">
            <w:pPr>
              <w:widowControl/>
              <w:adjustRightInd w:val="0"/>
              <w:snapToGrid w:val="0"/>
              <w:spacing w:line="0" w:lineRule="atLeast"/>
              <w:jc w:val="center"/>
              <w:rPr>
                <w:rFonts w:ascii="宋体" w:hAnsi="宋体" w:cs="宋体"/>
                <w:color w:val="000000"/>
                <w:szCs w:val="21"/>
              </w:rPr>
            </w:pPr>
            <w:r>
              <w:rPr>
                <w:rFonts w:hint="eastAsia" w:ascii="宋体" w:hAnsi="宋体" w:cs="宋体"/>
                <w:color w:val="000000"/>
                <w:szCs w:val="21"/>
              </w:rPr>
              <w:t>合计</w:t>
            </w:r>
          </w:p>
        </w:tc>
        <w:tc>
          <w:tcPr>
            <w:tcW w:w="559" w:type="pct"/>
            <w:vAlign w:val="center"/>
          </w:tcPr>
          <w:p w14:paraId="0D0AEA3C">
            <w:pPr>
              <w:widowControl/>
              <w:adjustRightInd w:val="0"/>
              <w:snapToGrid w:val="0"/>
              <w:spacing w:line="0" w:lineRule="atLeast"/>
              <w:jc w:val="center"/>
              <w:rPr>
                <w:rFonts w:ascii="宋体" w:hAnsi="宋体" w:cs="宋体"/>
                <w:color w:val="000000"/>
                <w:szCs w:val="21"/>
              </w:rPr>
            </w:pPr>
            <w:r>
              <w:rPr>
                <w:rFonts w:hint="eastAsia" w:ascii="宋体" w:hAnsi="宋体" w:cs="宋体"/>
                <w:color w:val="000000"/>
                <w:szCs w:val="21"/>
              </w:rPr>
              <w:t>100分</w:t>
            </w:r>
          </w:p>
        </w:tc>
      </w:tr>
      <w:tr w14:paraId="5547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4440" w:type="pct"/>
            <w:gridSpan w:val="4"/>
            <w:vAlign w:val="center"/>
          </w:tcPr>
          <w:p w14:paraId="7B15FD97">
            <w:pPr>
              <w:widowControl/>
              <w:adjustRightInd w:val="0"/>
              <w:snapToGrid w:val="0"/>
              <w:spacing w:line="0" w:lineRule="atLeast"/>
              <w:jc w:val="center"/>
              <w:rPr>
                <w:rFonts w:ascii="宋体" w:hAnsi="宋体" w:cs="宋体"/>
                <w:color w:val="000000"/>
                <w:szCs w:val="21"/>
              </w:rPr>
            </w:pPr>
            <w:r>
              <w:rPr>
                <w:rFonts w:hint="eastAsia" w:ascii="宋体" w:hAnsi="宋体" w:cs="宋体"/>
                <w:b/>
                <w:bCs/>
                <w:color w:val="000000"/>
                <w:szCs w:val="21"/>
              </w:rPr>
              <w:t>拟推荐成交候选供应商（原则推荐评审综合得分最高的单位）</w:t>
            </w:r>
          </w:p>
        </w:tc>
        <w:tc>
          <w:tcPr>
            <w:tcW w:w="559" w:type="pct"/>
            <w:vAlign w:val="center"/>
          </w:tcPr>
          <w:p w14:paraId="3834B0AC">
            <w:pPr>
              <w:widowControl/>
              <w:adjustRightInd w:val="0"/>
              <w:snapToGrid w:val="0"/>
              <w:spacing w:line="0" w:lineRule="atLeast"/>
              <w:jc w:val="center"/>
              <w:rPr>
                <w:rFonts w:ascii="宋体" w:hAnsi="宋体" w:cs="宋体"/>
                <w:color w:val="000000"/>
                <w:szCs w:val="21"/>
              </w:rPr>
            </w:pPr>
          </w:p>
        </w:tc>
      </w:tr>
    </w:tbl>
    <w:p w14:paraId="27BF8802">
      <w:pPr>
        <w:ind w:firstLine="420" w:firstLineChars="200"/>
        <w:rPr>
          <w:rFonts w:ascii="黑体" w:hAnsi="黑体" w:eastAsia="黑体"/>
          <w:color w:val="000000"/>
          <w:szCs w:val="21"/>
        </w:rPr>
      </w:pPr>
      <w:r>
        <w:rPr>
          <w:rFonts w:hint="eastAsia" w:ascii="黑体" w:hAnsi="黑体" w:eastAsia="黑体"/>
          <w:color w:val="000000"/>
          <w:szCs w:val="21"/>
        </w:rPr>
        <w:t>备注：1.各项评审打分按照四舍五入，小数点后保留2位进行计算；</w:t>
      </w:r>
    </w:p>
    <w:p w14:paraId="6BDA2ABA">
      <w:pPr>
        <w:spacing w:line="240" w:lineRule="auto"/>
        <w:ind w:firstLine="0" w:firstLineChars="0"/>
        <w:rPr>
          <w:rFonts w:hint="default"/>
          <w:sz w:val="44"/>
          <w:szCs w:val="44"/>
          <w:highlight w:val="none"/>
          <w:lang w:val="en-US" w:eastAsia="zh-CN"/>
        </w:rPr>
      </w:pPr>
      <w:r>
        <w:rPr>
          <w:rFonts w:hint="eastAsia" w:ascii="黑体" w:hAnsi="黑体" w:eastAsia="黑体"/>
          <w:color w:val="000000"/>
          <w:szCs w:val="21"/>
        </w:rPr>
        <w:t xml:space="preserve">          2.若出现拟推荐成交候选供应商票数相同的情况，以未推荐上述单位的评审专家对并列第一的候选供应商既定打分排序作为最终选定依据。</w:t>
      </w:r>
      <w:bookmarkEnd w:id="0"/>
    </w:p>
    <w:sectPr>
      <w:headerReference r:id="rId4" w:type="default"/>
      <w:footerReference r:id="rId5" w:type="default"/>
      <w:pgSz w:w="11906" w:h="16838"/>
      <w:pgMar w:top="1276" w:right="1351" w:bottom="1135" w:left="141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方正黑体简体">
    <w:altName w:val="微软雅黑"/>
    <w:panose1 w:val="02000000000000000000"/>
    <w:charset w:val="86"/>
    <w:family w:val="swiss"/>
    <w:pitch w:val="default"/>
    <w:sig w:usb0="00000000" w:usb1="00000000" w:usb2="00000012"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金桥简粗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FZXBSJW--GB1-0">
    <w:altName w:val="Times New Roman"/>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E64D3">
    <w:pPr>
      <w:pStyle w:val="3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04A40">
    <w:pPr>
      <w:pStyle w:val="3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5DD68">
                          <w:pPr>
                            <w:pStyle w:val="36"/>
                            <w:jc w:val="center"/>
                          </w:pPr>
                          <w:r>
                            <w:fldChar w:fldCharType="begin"/>
                          </w:r>
                          <w:r>
                            <w:instrText xml:space="preserve"> PAGE   \* MERGEFORMAT </w:instrText>
                          </w:r>
                          <w:r>
                            <w:fldChar w:fldCharType="separate"/>
                          </w:r>
                          <w:r>
                            <w:rPr>
                              <w:lang w:val="zh-CN"/>
                            </w:rPr>
                            <w:t>37</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4B5DD68">
                    <w:pPr>
                      <w:pStyle w:val="36"/>
                      <w:jc w:val="center"/>
                    </w:pPr>
                    <w:r>
                      <w:fldChar w:fldCharType="begin"/>
                    </w:r>
                    <w:r>
                      <w:instrText xml:space="preserve"> PAGE   \* MERGEFORMAT </w:instrText>
                    </w:r>
                    <w:r>
                      <w:fldChar w:fldCharType="separate"/>
                    </w:r>
                    <w:r>
                      <w:rPr>
                        <w:lang w:val="zh-CN"/>
                      </w:rPr>
                      <w:t>37</w:t>
                    </w:r>
                    <w:r>
                      <w:rPr>
                        <w:lang w:val="zh-CN"/>
                      </w:rPr>
                      <w:fldChar w:fldCharType="end"/>
                    </w:r>
                  </w:p>
                </w:txbxContent>
              </v:textbox>
            </v:shape>
          </w:pict>
        </mc:Fallback>
      </mc:AlternateContent>
    </w:r>
  </w:p>
  <w:p w14:paraId="3CF09455">
    <w:pPr>
      <w:pStyle w:val="3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4408C">
    <w:pPr>
      <w:pStyle w:val="3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2A4C42"/>
    <w:multiLevelType w:val="singleLevel"/>
    <w:tmpl w:val="AB2A4C42"/>
    <w:lvl w:ilvl="0" w:tentative="0">
      <w:start w:val="1"/>
      <w:numFmt w:val="decimal"/>
      <w:suff w:val="nothing"/>
      <w:lvlText w:val="%1、"/>
      <w:lvlJc w:val="left"/>
    </w:lvl>
  </w:abstractNum>
  <w:abstractNum w:abstractNumId="1">
    <w:nsid w:val="08BF1F24"/>
    <w:multiLevelType w:val="singleLevel"/>
    <w:tmpl w:val="08BF1F24"/>
    <w:lvl w:ilvl="0" w:tentative="0">
      <w:start w:val="3"/>
      <w:numFmt w:val="chineseCounting"/>
      <w:suff w:val="nothing"/>
      <w:lvlText w:val="%1、"/>
      <w:lvlJc w:val="left"/>
      <w:rPr>
        <w:rFonts w:hint="eastAsia"/>
      </w:rPr>
    </w:lvl>
  </w:abstractNum>
  <w:abstractNum w:abstractNumId="2">
    <w:nsid w:val="09F3727D"/>
    <w:multiLevelType w:val="multilevel"/>
    <w:tmpl w:val="09F3727D"/>
    <w:lvl w:ilvl="0" w:tentative="0">
      <w:start w:val="1"/>
      <w:numFmt w:val="decimal"/>
      <w:pStyle w:val="107"/>
      <w:lvlText w:val="%1.0"/>
      <w:lvlJc w:val="left"/>
      <w:pPr>
        <w:tabs>
          <w:tab w:val="left" w:pos="578"/>
        </w:tabs>
        <w:ind w:left="578" w:hanging="578"/>
      </w:pPr>
      <w:rPr>
        <w:rFonts w:hint="default" w:ascii="Arial" w:hAnsi="Arial"/>
        <w:b/>
        <w:i w:val="0"/>
        <w:color w:val="auto"/>
        <w:sz w:val="32"/>
      </w:rPr>
    </w:lvl>
    <w:lvl w:ilvl="1" w:tentative="0">
      <w:start w:val="1"/>
      <w:numFmt w:val="decimal"/>
      <w:pStyle w:val="110"/>
      <w:lvlText w:val="%1.%2"/>
      <w:lvlJc w:val="left"/>
      <w:pPr>
        <w:tabs>
          <w:tab w:val="left" w:pos="5963"/>
        </w:tabs>
        <w:ind w:left="5963" w:hanging="576"/>
      </w:pPr>
      <w:rPr>
        <w:rFonts w:hint="default" w:ascii="Arial" w:hAnsi="Arial"/>
        <w:b/>
        <w:i w:val="0"/>
        <w:sz w:val="28"/>
      </w:rPr>
    </w:lvl>
    <w:lvl w:ilvl="2" w:tentative="0">
      <w:start w:val="1"/>
      <w:numFmt w:val="decimal"/>
      <w:lvlText w:val="%1.%2.%3"/>
      <w:lvlJc w:val="left"/>
      <w:pPr>
        <w:tabs>
          <w:tab w:val="left" w:pos="720"/>
        </w:tabs>
        <w:ind w:left="720" w:hanging="720"/>
      </w:pPr>
      <w:rPr>
        <w:rFonts w:hint="default" w:ascii="Arial" w:hAnsi="Arial"/>
        <w:b/>
        <w:i w:val="0"/>
        <w:color w:val="auto"/>
        <w:sz w:val="24"/>
      </w:rPr>
    </w:lvl>
    <w:lvl w:ilvl="3" w:tentative="0">
      <w:start w:val="1"/>
      <w:numFmt w:val="decimal"/>
      <w:pStyle w:val="106"/>
      <w:lvlText w:val="%1.%2.%3.%4"/>
      <w:lvlJc w:val="left"/>
      <w:pPr>
        <w:tabs>
          <w:tab w:val="left" w:pos="864"/>
        </w:tabs>
        <w:ind w:left="864" w:hanging="864"/>
      </w:pPr>
      <w:rPr>
        <w:rFonts w:hint="default" w:ascii="Arial" w:hAnsi="Arial"/>
        <w:b/>
        <w:i w:val="0"/>
        <w:color w:val="auto"/>
        <w:sz w:val="20"/>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3">
    <w:nsid w:val="1A141E91"/>
    <w:multiLevelType w:val="multilevel"/>
    <w:tmpl w:val="1A141E91"/>
    <w:lvl w:ilvl="0" w:tentative="0">
      <w:start w:val="1"/>
      <w:numFmt w:val="upperRoman"/>
      <w:pStyle w:val="4"/>
      <w:lvlText w:val="第 %1 条"/>
      <w:lvlJc w:val="left"/>
      <w:pPr>
        <w:tabs>
          <w:tab w:val="left" w:pos="2640"/>
        </w:tabs>
        <w:ind w:left="1560" w:firstLine="0"/>
      </w:pPr>
    </w:lvl>
    <w:lvl w:ilvl="1" w:tentative="0">
      <w:start w:val="1"/>
      <w:numFmt w:val="decimalZero"/>
      <w:pStyle w:val="5"/>
      <w:isLgl/>
      <w:lvlText w:val="节 %1.%2"/>
      <w:lvlJc w:val="left"/>
      <w:pPr>
        <w:tabs>
          <w:tab w:val="left" w:pos="2280"/>
        </w:tabs>
        <w:ind w:left="1560" w:firstLine="0"/>
      </w:pPr>
    </w:lvl>
    <w:lvl w:ilvl="2" w:tentative="0">
      <w:start w:val="1"/>
      <w:numFmt w:val="lowerLetter"/>
      <w:pStyle w:val="6"/>
      <w:lvlText w:val="(%3)"/>
      <w:lvlJc w:val="left"/>
      <w:pPr>
        <w:tabs>
          <w:tab w:val="left" w:pos="2280"/>
        </w:tabs>
        <w:ind w:left="2280" w:hanging="432"/>
      </w:pPr>
    </w:lvl>
    <w:lvl w:ilvl="3" w:tentative="0">
      <w:start w:val="1"/>
      <w:numFmt w:val="lowerRoman"/>
      <w:pStyle w:val="7"/>
      <w:lvlText w:val="(%4)"/>
      <w:lvlJc w:val="right"/>
      <w:pPr>
        <w:tabs>
          <w:tab w:val="left" w:pos="2424"/>
        </w:tabs>
        <w:ind w:left="2424" w:hanging="144"/>
      </w:pPr>
    </w:lvl>
    <w:lvl w:ilvl="4" w:tentative="0">
      <w:start w:val="1"/>
      <w:numFmt w:val="decimal"/>
      <w:lvlText w:val="%5)"/>
      <w:lvlJc w:val="left"/>
      <w:pPr>
        <w:tabs>
          <w:tab w:val="left" w:pos="2568"/>
        </w:tabs>
        <w:ind w:left="2568" w:hanging="432"/>
      </w:pPr>
    </w:lvl>
    <w:lvl w:ilvl="5" w:tentative="0">
      <w:start w:val="1"/>
      <w:numFmt w:val="lowerLetter"/>
      <w:lvlText w:val="%6)"/>
      <w:lvlJc w:val="left"/>
      <w:pPr>
        <w:tabs>
          <w:tab w:val="left" w:pos="2712"/>
        </w:tabs>
        <w:ind w:left="2712" w:hanging="432"/>
      </w:pPr>
    </w:lvl>
    <w:lvl w:ilvl="6" w:tentative="0">
      <w:start w:val="1"/>
      <w:numFmt w:val="lowerRoman"/>
      <w:pStyle w:val="10"/>
      <w:lvlText w:val="%7)"/>
      <w:lvlJc w:val="right"/>
      <w:pPr>
        <w:tabs>
          <w:tab w:val="left" w:pos="2856"/>
        </w:tabs>
        <w:ind w:left="2856" w:hanging="288"/>
      </w:pPr>
    </w:lvl>
    <w:lvl w:ilvl="7" w:tentative="0">
      <w:start w:val="1"/>
      <w:numFmt w:val="lowerLetter"/>
      <w:lvlText w:val="%8."/>
      <w:lvlJc w:val="left"/>
      <w:pPr>
        <w:tabs>
          <w:tab w:val="left" w:pos="3000"/>
        </w:tabs>
        <w:ind w:left="3000" w:hanging="432"/>
      </w:pPr>
    </w:lvl>
    <w:lvl w:ilvl="8" w:tentative="0">
      <w:start w:val="1"/>
      <w:numFmt w:val="lowerRoman"/>
      <w:lvlText w:val="%9."/>
      <w:lvlJc w:val="right"/>
      <w:pPr>
        <w:tabs>
          <w:tab w:val="left" w:pos="3144"/>
        </w:tabs>
        <w:ind w:left="3144" w:hanging="144"/>
      </w:pPr>
    </w:lvl>
  </w:abstractNum>
  <w:abstractNum w:abstractNumId="4">
    <w:nsid w:val="2FC11B43"/>
    <w:multiLevelType w:val="singleLevel"/>
    <w:tmpl w:val="2FC11B43"/>
    <w:lvl w:ilvl="0" w:tentative="0">
      <w:start w:val="1"/>
      <w:numFmt w:val="decimal"/>
      <w:suff w:val="nothing"/>
      <w:lvlText w:val="%1、"/>
      <w:lvlJc w:val="left"/>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hYWUxMDgxODE0ZTk4NTJhOTVkYmEwNThkNjQzYjcifQ=="/>
  </w:docVars>
  <w:rsids>
    <w:rsidRoot w:val="000A20B7"/>
    <w:rsid w:val="00002361"/>
    <w:rsid w:val="00003FDE"/>
    <w:rsid w:val="000058B3"/>
    <w:rsid w:val="00005F9C"/>
    <w:rsid w:val="000072D0"/>
    <w:rsid w:val="000075BA"/>
    <w:rsid w:val="00013307"/>
    <w:rsid w:val="00014608"/>
    <w:rsid w:val="00014DD6"/>
    <w:rsid w:val="00014E9B"/>
    <w:rsid w:val="00015C8C"/>
    <w:rsid w:val="00015F26"/>
    <w:rsid w:val="00016125"/>
    <w:rsid w:val="000170E2"/>
    <w:rsid w:val="0001798A"/>
    <w:rsid w:val="00020C18"/>
    <w:rsid w:val="00022CAD"/>
    <w:rsid w:val="00023839"/>
    <w:rsid w:val="00023AF1"/>
    <w:rsid w:val="00025081"/>
    <w:rsid w:val="00027ED8"/>
    <w:rsid w:val="000305AC"/>
    <w:rsid w:val="00031012"/>
    <w:rsid w:val="00031597"/>
    <w:rsid w:val="00031F28"/>
    <w:rsid w:val="000320D7"/>
    <w:rsid w:val="00032115"/>
    <w:rsid w:val="000337B4"/>
    <w:rsid w:val="00033E2F"/>
    <w:rsid w:val="00034568"/>
    <w:rsid w:val="000346FF"/>
    <w:rsid w:val="0003550E"/>
    <w:rsid w:val="0003678E"/>
    <w:rsid w:val="00036790"/>
    <w:rsid w:val="00036A0C"/>
    <w:rsid w:val="00036FD1"/>
    <w:rsid w:val="00040044"/>
    <w:rsid w:val="00040246"/>
    <w:rsid w:val="00040E54"/>
    <w:rsid w:val="0004235C"/>
    <w:rsid w:val="0004278F"/>
    <w:rsid w:val="00042E82"/>
    <w:rsid w:val="00044F96"/>
    <w:rsid w:val="00047623"/>
    <w:rsid w:val="00051414"/>
    <w:rsid w:val="00051415"/>
    <w:rsid w:val="000517A9"/>
    <w:rsid w:val="00051F31"/>
    <w:rsid w:val="00052E8F"/>
    <w:rsid w:val="00053553"/>
    <w:rsid w:val="0005391F"/>
    <w:rsid w:val="00054D3D"/>
    <w:rsid w:val="00055206"/>
    <w:rsid w:val="0005556A"/>
    <w:rsid w:val="000556C4"/>
    <w:rsid w:val="000563FC"/>
    <w:rsid w:val="00061187"/>
    <w:rsid w:val="00061EA4"/>
    <w:rsid w:val="00063817"/>
    <w:rsid w:val="00066D50"/>
    <w:rsid w:val="00070B9B"/>
    <w:rsid w:val="00071424"/>
    <w:rsid w:val="00072042"/>
    <w:rsid w:val="0007276F"/>
    <w:rsid w:val="00074B95"/>
    <w:rsid w:val="000751F4"/>
    <w:rsid w:val="000817C9"/>
    <w:rsid w:val="0008285B"/>
    <w:rsid w:val="00082A2A"/>
    <w:rsid w:val="000830D6"/>
    <w:rsid w:val="00083332"/>
    <w:rsid w:val="00084ADF"/>
    <w:rsid w:val="00085ACC"/>
    <w:rsid w:val="00086BEC"/>
    <w:rsid w:val="000939A2"/>
    <w:rsid w:val="00093FDD"/>
    <w:rsid w:val="000945B0"/>
    <w:rsid w:val="00095E13"/>
    <w:rsid w:val="00097098"/>
    <w:rsid w:val="000978FB"/>
    <w:rsid w:val="00097EF2"/>
    <w:rsid w:val="000A1B8C"/>
    <w:rsid w:val="000A20B7"/>
    <w:rsid w:val="000A2245"/>
    <w:rsid w:val="000A31B3"/>
    <w:rsid w:val="000A5FCC"/>
    <w:rsid w:val="000B3351"/>
    <w:rsid w:val="000B3AC4"/>
    <w:rsid w:val="000B41E7"/>
    <w:rsid w:val="000B4EF5"/>
    <w:rsid w:val="000B5BB9"/>
    <w:rsid w:val="000B6118"/>
    <w:rsid w:val="000B6355"/>
    <w:rsid w:val="000B7D33"/>
    <w:rsid w:val="000C138C"/>
    <w:rsid w:val="000C1E4B"/>
    <w:rsid w:val="000C1ECB"/>
    <w:rsid w:val="000C20D4"/>
    <w:rsid w:val="000C2766"/>
    <w:rsid w:val="000C37C8"/>
    <w:rsid w:val="000C385A"/>
    <w:rsid w:val="000C3FC0"/>
    <w:rsid w:val="000C5269"/>
    <w:rsid w:val="000D25DD"/>
    <w:rsid w:val="000D3842"/>
    <w:rsid w:val="000D39B4"/>
    <w:rsid w:val="000D4809"/>
    <w:rsid w:val="000D4C95"/>
    <w:rsid w:val="000E0A7E"/>
    <w:rsid w:val="000E0E75"/>
    <w:rsid w:val="000E17AE"/>
    <w:rsid w:val="000E195C"/>
    <w:rsid w:val="000E1ABB"/>
    <w:rsid w:val="000E2E2F"/>
    <w:rsid w:val="000E3961"/>
    <w:rsid w:val="000E4734"/>
    <w:rsid w:val="000E5391"/>
    <w:rsid w:val="000E6E4F"/>
    <w:rsid w:val="000F0453"/>
    <w:rsid w:val="000F1C7C"/>
    <w:rsid w:val="000F281B"/>
    <w:rsid w:val="000F2E59"/>
    <w:rsid w:val="000F3587"/>
    <w:rsid w:val="000F4E4C"/>
    <w:rsid w:val="000F5434"/>
    <w:rsid w:val="000F6D65"/>
    <w:rsid w:val="00100CCD"/>
    <w:rsid w:val="001010C1"/>
    <w:rsid w:val="001018FD"/>
    <w:rsid w:val="001019BE"/>
    <w:rsid w:val="001023CD"/>
    <w:rsid w:val="00102696"/>
    <w:rsid w:val="00102B74"/>
    <w:rsid w:val="00105570"/>
    <w:rsid w:val="00106880"/>
    <w:rsid w:val="001078AF"/>
    <w:rsid w:val="00107D93"/>
    <w:rsid w:val="001105A4"/>
    <w:rsid w:val="0011178F"/>
    <w:rsid w:val="00111AFA"/>
    <w:rsid w:val="00112641"/>
    <w:rsid w:val="00112D11"/>
    <w:rsid w:val="00112E29"/>
    <w:rsid w:val="0011344F"/>
    <w:rsid w:val="0011454B"/>
    <w:rsid w:val="001159D7"/>
    <w:rsid w:val="00115AB9"/>
    <w:rsid w:val="00115EB6"/>
    <w:rsid w:val="00116E3C"/>
    <w:rsid w:val="0012052B"/>
    <w:rsid w:val="00120F22"/>
    <w:rsid w:val="00121FCF"/>
    <w:rsid w:val="0012295D"/>
    <w:rsid w:val="0012396B"/>
    <w:rsid w:val="00124ACD"/>
    <w:rsid w:val="001265E4"/>
    <w:rsid w:val="00127512"/>
    <w:rsid w:val="0012760A"/>
    <w:rsid w:val="00127F97"/>
    <w:rsid w:val="001301F5"/>
    <w:rsid w:val="00130795"/>
    <w:rsid w:val="00130953"/>
    <w:rsid w:val="00130E06"/>
    <w:rsid w:val="00131181"/>
    <w:rsid w:val="0013157C"/>
    <w:rsid w:val="0013160C"/>
    <w:rsid w:val="00131AC3"/>
    <w:rsid w:val="00131B05"/>
    <w:rsid w:val="00132585"/>
    <w:rsid w:val="00132ED2"/>
    <w:rsid w:val="001340D7"/>
    <w:rsid w:val="00134278"/>
    <w:rsid w:val="0013504C"/>
    <w:rsid w:val="0013531E"/>
    <w:rsid w:val="001353E8"/>
    <w:rsid w:val="001363AF"/>
    <w:rsid w:val="00136A64"/>
    <w:rsid w:val="00136B9D"/>
    <w:rsid w:val="00137822"/>
    <w:rsid w:val="00141157"/>
    <w:rsid w:val="00144B4C"/>
    <w:rsid w:val="00145C4C"/>
    <w:rsid w:val="001463F2"/>
    <w:rsid w:val="001505EC"/>
    <w:rsid w:val="00153C3C"/>
    <w:rsid w:val="001542E5"/>
    <w:rsid w:val="001577D1"/>
    <w:rsid w:val="00161AAA"/>
    <w:rsid w:val="00162B7C"/>
    <w:rsid w:val="001632CB"/>
    <w:rsid w:val="00163C4E"/>
    <w:rsid w:val="0016410A"/>
    <w:rsid w:val="001644F1"/>
    <w:rsid w:val="001654BE"/>
    <w:rsid w:val="00165E6C"/>
    <w:rsid w:val="00167AB0"/>
    <w:rsid w:val="00170F9C"/>
    <w:rsid w:val="001711DA"/>
    <w:rsid w:val="001720D5"/>
    <w:rsid w:val="001735B4"/>
    <w:rsid w:val="00175ED7"/>
    <w:rsid w:val="00177830"/>
    <w:rsid w:val="0018182D"/>
    <w:rsid w:val="00182889"/>
    <w:rsid w:val="0018428B"/>
    <w:rsid w:val="00184D4D"/>
    <w:rsid w:val="001850CF"/>
    <w:rsid w:val="00185677"/>
    <w:rsid w:val="00185FEB"/>
    <w:rsid w:val="00187E88"/>
    <w:rsid w:val="00191208"/>
    <w:rsid w:val="00191704"/>
    <w:rsid w:val="00192DB5"/>
    <w:rsid w:val="00194F16"/>
    <w:rsid w:val="00195173"/>
    <w:rsid w:val="00195F76"/>
    <w:rsid w:val="001A147A"/>
    <w:rsid w:val="001A29BB"/>
    <w:rsid w:val="001A53DC"/>
    <w:rsid w:val="001A732F"/>
    <w:rsid w:val="001B13EE"/>
    <w:rsid w:val="001B13F7"/>
    <w:rsid w:val="001B4C7E"/>
    <w:rsid w:val="001B6623"/>
    <w:rsid w:val="001C12EC"/>
    <w:rsid w:val="001C3153"/>
    <w:rsid w:val="001C4190"/>
    <w:rsid w:val="001C464A"/>
    <w:rsid w:val="001C47AD"/>
    <w:rsid w:val="001C4852"/>
    <w:rsid w:val="001C641E"/>
    <w:rsid w:val="001C65C5"/>
    <w:rsid w:val="001C6699"/>
    <w:rsid w:val="001C77B8"/>
    <w:rsid w:val="001D103A"/>
    <w:rsid w:val="001D2C8C"/>
    <w:rsid w:val="001D404C"/>
    <w:rsid w:val="001D427F"/>
    <w:rsid w:val="001D5DA7"/>
    <w:rsid w:val="001D650C"/>
    <w:rsid w:val="001E1AD9"/>
    <w:rsid w:val="001E1C2C"/>
    <w:rsid w:val="001E1EC0"/>
    <w:rsid w:val="001E239B"/>
    <w:rsid w:val="001E2608"/>
    <w:rsid w:val="001E280C"/>
    <w:rsid w:val="001E2C24"/>
    <w:rsid w:val="001E45AD"/>
    <w:rsid w:val="001E4EC5"/>
    <w:rsid w:val="001E5E2A"/>
    <w:rsid w:val="001E6740"/>
    <w:rsid w:val="001E6748"/>
    <w:rsid w:val="001E68DC"/>
    <w:rsid w:val="001F28C6"/>
    <w:rsid w:val="001F356C"/>
    <w:rsid w:val="001F4087"/>
    <w:rsid w:val="001F43BB"/>
    <w:rsid w:val="001F5BE2"/>
    <w:rsid w:val="001F6E25"/>
    <w:rsid w:val="001F7FF3"/>
    <w:rsid w:val="00200600"/>
    <w:rsid w:val="00200F9B"/>
    <w:rsid w:val="0020330D"/>
    <w:rsid w:val="00203A29"/>
    <w:rsid w:val="00205002"/>
    <w:rsid w:val="00207DF0"/>
    <w:rsid w:val="0021033B"/>
    <w:rsid w:val="00210627"/>
    <w:rsid w:val="002116DB"/>
    <w:rsid w:val="00211C86"/>
    <w:rsid w:val="002120DC"/>
    <w:rsid w:val="002121B4"/>
    <w:rsid w:val="00212870"/>
    <w:rsid w:val="00213236"/>
    <w:rsid w:val="00213659"/>
    <w:rsid w:val="00213E78"/>
    <w:rsid w:val="00213E88"/>
    <w:rsid w:val="00216EB9"/>
    <w:rsid w:val="00216F5B"/>
    <w:rsid w:val="002215DA"/>
    <w:rsid w:val="00221867"/>
    <w:rsid w:val="0022255E"/>
    <w:rsid w:val="00222806"/>
    <w:rsid w:val="00222B33"/>
    <w:rsid w:val="00222EB9"/>
    <w:rsid w:val="002239A8"/>
    <w:rsid w:val="00225D73"/>
    <w:rsid w:val="00225E40"/>
    <w:rsid w:val="00226F4C"/>
    <w:rsid w:val="0022721E"/>
    <w:rsid w:val="002275F8"/>
    <w:rsid w:val="002306D7"/>
    <w:rsid w:val="00231CCD"/>
    <w:rsid w:val="002340BB"/>
    <w:rsid w:val="00234B73"/>
    <w:rsid w:val="00235937"/>
    <w:rsid w:val="0023626C"/>
    <w:rsid w:val="0023661B"/>
    <w:rsid w:val="002370E1"/>
    <w:rsid w:val="00237B15"/>
    <w:rsid w:val="002409E5"/>
    <w:rsid w:val="00240FD3"/>
    <w:rsid w:val="002412D1"/>
    <w:rsid w:val="00241ACA"/>
    <w:rsid w:val="00241DD4"/>
    <w:rsid w:val="00242031"/>
    <w:rsid w:val="00244B1A"/>
    <w:rsid w:val="00244D31"/>
    <w:rsid w:val="00244EAD"/>
    <w:rsid w:val="00246236"/>
    <w:rsid w:val="00246633"/>
    <w:rsid w:val="0024729C"/>
    <w:rsid w:val="0025236C"/>
    <w:rsid w:val="002523A9"/>
    <w:rsid w:val="00253162"/>
    <w:rsid w:val="0025467F"/>
    <w:rsid w:val="00254D4B"/>
    <w:rsid w:val="0025548D"/>
    <w:rsid w:val="002567DA"/>
    <w:rsid w:val="00257AF7"/>
    <w:rsid w:val="00257E9A"/>
    <w:rsid w:val="002600BB"/>
    <w:rsid w:val="00260655"/>
    <w:rsid w:val="0026258C"/>
    <w:rsid w:val="002636ED"/>
    <w:rsid w:val="00263DA2"/>
    <w:rsid w:val="00264417"/>
    <w:rsid w:val="00264448"/>
    <w:rsid w:val="00264823"/>
    <w:rsid w:val="002661D6"/>
    <w:rsid w:val="00270F6D"/>
    <w:rsid w:val="00273CB4"/>
    <w:rsid w:val="00274A5E"/>
    <w:rsid w:val="00275BDD"/>
    <w:rsid w:val="00276B61"/>
    <w:rsid w:val="002772D3"/>
    <w:rsid w:val="00277848"/>
    <w:rsid w:val="00280347"/>
    <w:rsid w:val="00280D35"/>
    <w:rsid w:val="00281E83"/>
    <w:rsid w:val="00282089"/>
    <w:rsid w:val="00282385"/>
    <w:rsid w:val="00282551"/>
    <w:rsid w:val="002828A5"/>
    <w:rsid w:val="002834E3"/>
    <w:rsid w:val="0028454F"/>
    <w:rsid w:val="00284709"/>
    <w:rsid w:val="002848F6"/>
    <w:rsid w:val="00284BAE"/>
    <w:rsid w:val="00284E33"/>
    <w:rsid w:val="00285D85"/>
    <w:rsid w:val="00286A50"/>
    <w:rsid w:val="00286E14"/>
    <w:rsid w:val="00286E58"/>
    <w:rsid w:val="002871D4"/>
    <w:rsid w:val="00290797"/>
    <w:rsid w:val="00290EA4"/>
    <w:rsid w:val="00290FBB"/>
    <w:rsid w:val="0029149E"/>
    <w:rsid w:val="0029309F"/>
    <w:rsid w:val="00293D27"/>
    <w:rsid w:val="00293E65"/>
    <w:rsid w:val="00294F05"/>
    <w:rsid w:val="00295EDA"/>
    <w:rsid w:val="002A0238"/>
    <w:rsid w:val="002A23B2"/>
    <w:rsid w:val="002A44FC"/>
    <w:rsid w:val="002A460F"/>
    <w:rsid w:val="002A49E1"/>
    <w:rsid w:val="002B1364"/>
    <w:rsid w:val="002B13C2"/>
    <w:rsid w:val="002B19CF"/>
    <w:rsid w:val="002B1A73"/>
    <w:rsid w:val="002B24F2"/>
    <w:rsid w:val="002B260C"/>
    <w:rsid w:val="002B39B2"/>
    <w:rsid w:val="002B42D7"/>
    <w:rsid w:val="002B593D"/>
    <w:rsid w:val="002B6550"/>
    <w:rsid w:val="002C0764"/>
    <w:rsid w:val="002C0EFF"/>
    <w:rsid w:val="002C2BC9"/>
    <w:rsid w:val="002D121F"/>
    <w:rsid w:val="002D16C2"/>
    <w:rsid w:val="002D2EE1"/>
    <w:rsid w:val="002D3F69"/>
    <w:rsid w:val="002D470B"/>
    <w:rsid w:val="002D58CD"/>
    <w:rsid w:val="002D6A41"/>
    <w:rsid w:val="002D764A"/>
    <w:rsid w:val="002E0CA5"/>
    <w:rsid w:val="002E134C"/>
    <w:rsid w:val="002E1664"/>
    <w:rsid w:val="002E17BD"/>
    <w:rsid w:val="002E1A4A"/>
    <w:rsid w:val="002E4E07"/>
    <w:rsid w:val="002E529F"/>
    <w:rsid w:val="002E53AC"/>
    <w:rsid w:val="002E5EB5"/>
    <w:rsid w:val="002E62B0"/>
    <w:rsid w:val="002E74F9"/>
    <w:rsid w:val="002E7618"/>
    <w:rsid w:val="002F11AE"/>
    <w:rsid w:val="002F2FC3"/>
    <w:rsid w:val="002F3442"/>
    <w:rsid w:val="002F5ABB"/>
    <w:rsid w:val="002F70B0"/>
    <w:rsid w:val="002F730E"/>
    <w:rsid w:val="0030251C"/>
    <w:rsid w:val="0030292A"/>
    <w:rsid w:val="003035CE"/>
    <w:rsid w:val="003036DD"/>
    <w:rsid w:val="00303E2D"/>
    <w:rsid w:val="00305224"/>
    <w:rsid w:val="00305598"/>
    <w:rsid w:val="0030578B"/>
    <w:rsid w:val="00305C4C"/>
    <w:rsid w:val="00305D8F"/>
    <w:rsid w:val="00306166"/>
    <w:rsid w:val="00306185"/>
    <w:rsid w:val="00306246"/>
    <w:rsid w:val="00306D9A"/>
    <w:rsid w:val="00310137"/>
    <w:rsid w:val="00311DB8"/>
    <w:rsid w:val="00312974"/>
    <w:rsid w:val="0031317F"/>
    <w:rsid w:val="00313CEA"/>
    <w:rsid w:val="00314632"/>
    <w:rsid w:val="00314B2C"/>
    <w:rsid w:val="00315252"/>
    <w:rsid w:val="00317E60"/>
    <w:rsid w:val="00317EA6"/>
    <w:rsid w:val="00321078"/>
    <w:rsid w:val="003233A8"/>
    <w:rsid w:val="003248BC"/>
    <w:rsid w:val="00325A4F"/>
    <w:rsid w:val="003262F2"/>
    <w:rsid w:val="00326606"/>
    <w:rsid w:val="00331945"/>
    <w:rsid w:val="00331E67"/>
    <w:rsid w:val="00332271"/>
    <w:rsid w:val="0033398B"/>
    <w:rsid w:val="00333C42"/>
    <w:rsid w:val="003400A6"/>
    <w:rsid w:val="00342AC4"/>
    <w:rsid w:val="003439C5"/>
    <w:rsid w:val="00344699"/>
    <w:rsid w:val="003448E7"/>
    <w:rsid w:val="00344DA4"/>
    <w:rsid w:val="00345B14"/>
    <w:rsid w:val="0034611F"/>
    <w:rsid w:val="00350E22"/>
    <w:rsid w:val="00352360"/>
    <w:rsid w:val="003529EA"/>
    <w:rsid w:val="003534C2"/>
    <w:rsid w:val="0035504F"/>
    <w:rsid w:val="003550CB"/>
    <w:rsid w:val="00355C15"/>
    <w:rsid w:val="003568B3"/>
    <w:rsid w:val="00356A18"/>
    <w:rsid w:val="00357E54"/>
    <w:rsid w:val="00362471"/>
    <w:rsid w:val="003661DB"/>
    <w:rsid w:val="00367CA8"/>
    <w:rsid w:val="003702EC"/>
    <w:rsid w:val="0037056E"/>
    <w:rsid w:val="00371DC1"/>
    <w:rsid w:val="00371FBA"/>
    <w:rsid w:val="00372562"/>
    <w:rsid w:val="003728CF"/>
    <w:rsid w:val="00373696"/>
    <w:rsid w:val="00373D36"/>
    <w:rsid w:val="00373FF6"/>
    <w:rsid w:val="0037511C"/>
    <w:rsid w:val="00375E34"/>
    <w:rsid w:val="00376A7E"/>
    <w:rsid w:val="003771BF"/>
    <w:rsid w:val="0037720F"/>
    <w:rsid w:val="00377666"/>
    <w:rsid w:val="003807BA"/>
    <w:rsid w:val="00381270"/>
    <w:rsid w:val="00381C39"/>
    <w:rsid w:val="003823CC"/>
    <w:rsid w:val="0038363B"/>
    <w:rsid w:val="00383F61"/>
    <w:rsid w:val="00384399"/>
    <w:rsid w:val="00384DF4"/>
    <w:rsid w:val="00387BDE"/>
    <w:rsid w:val="00387FF3"/>
    <w:rsid w:val="00390D1D"/>
    <w:rsid w:val="003914F1"/>
    <w:rsid w:val="00391A02"/>
    <w:rsid w:val="00393CC4"/>
    <w:rsid w:val="003952BA"/>
    <w:rsid w:val="00395596"/>
    <w:rsid w:val="003A053E"/>
    <w:rsid w:val="003A1828"/>
    <w:rsid w:val="003A2DB6"/>
    <w:rsid w:val="003A3DBB"/>
    <w:rsid w:val="003A5DF5"/>
    <w:rsid w:val="003A6F82"/>
    <w:rsid w:val="003B0EE6"/>
    <w:rsid w:val="003B14F2"/>
    <w:rsid w:val="003B18C5"/>
    <w:rsid w:val="003B1BE2"/>
    <w:rsid w:val="003B228B"/>
    <w:rsid w:val="003B375A"/>
    <w:rsid w:val="003B4E28"/>
    <w:rsid w:val="003B4F8B"/>
    <w:rsid w:val="003B77AF"/>
    <w:rsid w:val="003C01DC"/>
    <w:rsid w:val="003C2A88"/>
    <w:rsid w:val="003C2ED9"/>
    <w:rsid w:val="003C35A0"/>
    <w:rsid w:val="003C458F"/>
    <w:rsid w:val="003C4F1A"/>
    <w:rsid w:val="003C5AD6"/>
    <w:rsid w:val="003C6D26"/>
    <w:rsid w:val="003C7629"/>
    <w:rsid w:val="003D05D9"/>
    <w:rsid w:val="003D09EF"/>
    <w:rsid w:val="003D0FB2"/>
    <w:rsid w:val="003D13D3"/>
    <w:rsid w:val="003D1503"/>
    <w:rsid w:val="003D181E"/>
    <w:rsid w:val="003D279C"/>
    <w:rsid w:val="003D3145"/>
    <w:rsid w:val="003D3BCF"/>
    <w:rsid w:val="003D3BDB"/>
    <w:rsid w:val="003D3E28"/>
    <w:rsid w:val="003D3F45"/>
    <w:rsid w:val="003D3F58"/>
    <w:rsid w:val="003D5EDF"/>
    <w:rsid w:val="003D6AD5"/>
    <w:rsid w:val="003D7522"/>
    <w:rsid w:val="003D756D"/>
    <w:rsid w:val="003E03AA"/>
    <w:rsid w:val="003E0D0E"/>
    <w:rsid w:val="003E217E"/>
    <w:rsid w:val="003E4649"/>
    <w:rsid w:val="003E4B73"/>
    <w:rsid w:val="003E51FA"/>
    <w:rsid w:val="003E5386"/>
    <w:rsid w:val="003E6C50"/>
    <w:rsid w:val="003E7430"/>
    <w:rsid w:val="003E795E"/>
    <w:rsid w:val="003F02ED"/>
    <w:rsid w:val="003F0B53"/>
    <w:rsid w:val="003F1045"/>
    <w:rsid w:val="003F1AD6"/>
    <w:rsid w:val="003F1E24"/>
    <w:rsid w:val="003F217C"/>
    <w:rsid w:val="003F2219"/>
    <w:rsid w:val="003F435D"/>
    <w:rsid w:val="003F4E9D"/>
    <w:rsid w:val="003F55A3"/>
    <w:rsid w:val="003F5F49"/>
    <w:rsid w:val="003F65B2"/>
    <w:rsid w:val="00400FB7"/>
    <w:rsid w:val="004012BB"/>
    <w:rsid w:val="004015A5"/>
    <w:rsid w:val="00401973"/>
    <w:rsid w:val="00402922"/>
    <w:rsid w:val="00402B84"/>
    <w:rsid w:val="00404E19"/>
    <w:rsid w:val="004056BB"/>
    <w:rsid w:val="004079A8"/>
    <w:rsid w:val="00412449"/>
    <w:rsid w:val="0041346A"/>
    <w:rsid w:val="004166B7"/>
    <w:rsid w:val="004166F9"/>
    <w:rsid w:val="004172E3"/>
    <w:rsid w:val="0042199E"/>
    <w:rsid w:val="00421F46"/>
    <w:rsid w:val="004220DF"/>
    <w:rsid w:val="00422394"/>
    <w:rsid w:val="00424012"/>
    <w:rsid w:val="00424F10"/>
    <w:rsid w:val="00426357"/>
    <w:rsid w:val="004265E6"/>
    <w:rsid w:val="00427691"/>
    <w:rsid w:val="00427FE1"/>
    <w:rsid w:val="004304FF"/>
    <w:rsid w:val="00431145"/>
    <w:rsid w:val="0043156C"/>
    <w:rsid w:val="00432F0C"/>
    <w:rsid w:val="00433596"/>
    <w:rsid w:val="0043416D"/>
    <w:rsid w:val="00434C63"/>
    <w:rsid w:val="0043572B"/>
    <w:rsid w:val="00436A85"/>
    <w:rsid w:val="00436B19"/>
    <w:rsid w:val="00437D6D"/>
    <w:rsid w:val="004425E3"/>
    <w:rsid w:val="00444523"/>
    <w:rsid w:val="00445E15"/>
    <w:rsid w:val="00446AFE"/>
    <w:rsid w:val="004472EB"/>
    <w:rsid w:val="004472F0"/>
    <w:rsid w:val="00450DDF"/>
    <w:rsid w:val="004513C6"/>
    <w:rsid w:val="004515BF"/>
    <w:rsid w:val="00452412"/>
    <w:rsid w:val="004531FC"/>
    <w:rsid w:val="00453A28"/>
    <w:rsid w:val="004546F4"/>
    <w:rsid w:val="004558D2"/>
    <w:rsid w:val="004558E0"/>
    <w:rsid w:val="00456187"/>
    <w:rsid w:val="00457239"/>
    <w:rsid w:val="00463A35"/>
    <w:rsid w:val="00467936"/>
    <w:rsid w:val="004679E0"/>
    <w:rsid w:val="00470AFB"/>
    <w:rsid w:val="00470BB4"/>
    <w:rsid w:val="00470D1D"/>
    <w:rsid w:val="004713CE"/>
    <w:rsid w:val="00473296"/>
    <w:rsid w:val="004733D2"/>
    <w:rsid w:val="004734A8"/>
    <w:rsid w:val="0047431B"/>
    <w:rsid w:val="00474CD6"/>
    <w:rsid w:val="00477C27"/>
    <w:rsid w:val="00480114"/>
    <w:rsid w:val="00480D20"/>
    <w:rsid w:val="00482FB9"/>
    <w:rsid w:val="00484F1F"/>
    <w:rsid w:val="00485354"/>
    <w:rsid w:val="0048563E"/>
    <w:rsid w:val="00485F13"/>
    <w:rsid w:val="00487227"/>
    <w:rsid w:val="0048781C"/>
    <w:rsid w:val="0049306C"/>
    <w:rsid w:val="0049312B"/>
    <w:rsid w:val="00493598"/>
    <w:rsid w:val="0049515F"/>
    <w:rsid w:val="004951EE"/>
    <w:rsid w:val="00496EA7"/>
    <w:rsid w:val="0049712C"/>
    <w:rsid w:val="00497A39"/>
    <w:rsid w:val="004A34D3"/>
    <w:rsid w:val="004A34E1"/>
    <w:rsid w:val="004A4D33"/>
    <w:rsid w:val="004A6678"/>
    <w:rsid w:val="004A67F2"/>
    <w:rsid w:val="004A7061"/>
    <w:rsid w:val="004A787D"/>
    <w:rsid w:val="004A7A1F"/>
    <w:rsid w:val="004B1BD5"/>
    <w:rsid w:val="004B251A"/>
    <w:rsid w:val="004B44FE"/>
    <w:rsid w:val="004B4501"/>
    <w:rsid w:val="004B63F8"/>
    <w:rsid w:val="004B6A78"/>
    <w:rsid w:val="004C0472"/>
    <w:rsid w:val="004C12CD"/>
    <w:rsid w:val="004C1728"/>
    <w:rsid w:val="004C2030"/>
    <w:rsid w:val="004C209D"/>
    <w:rsid w:val="004C2931"/>
    <w:rsid w:val="004C3B13"/>
    <w:rsid w:val="004C7125"/>
    <w:rsid w:val="004C79C6"/>
    <w:rsid w:val="004C7FB5"/>
    <w:rsid w:val="004D055F"/>
    <w:rsid w:val="004D07EA"/>
    <w:rsid w:val="004D0C3E"/>
    <w:rsid w:val="004D2909"/>
    <w:rsid w:val="004D5D5B"/>
    <w:rsid w:val="004E04AB"/>
    <w:rsid w:val="004E09ED"/>
    <w:rsid w:val="004E1774"/>
    <w:rsid w:val="004E1BFD"/>
    <w:rsid w:val="004E2018"/>
    <w:rsid w:val="004E265F"/>
    <w:rsid w:val="004E2A99"/>
    <w:rsid w:val="004E3946"/>
    <w:rsid w:val="004E3EFE"/>
    <w:rsid w:val="004E5982"/>
    <w:rsid w:val="004E5D5F"/>
    <w:rsid w:val="004F1055"/>
    <w:rsid w:val="004F1298"/>
    <w:rsid w:val="004F20FF"/>
    <w:rsid w:val="004F248D"/>
    <w:rsid w:val="004F421E"/>
    <w:rsid w:val="004F4393"/>
    <w:rsid w:val="004F4B85"/>
    <w:rsid w:val="004F4F66"/>
    <w:rsid w:val="004F4F67"/>
    <w:rsid w:val="004F5D38"/>
    <w:rsid w:val="004F79BB"/>
    <w:rsid w:val="004F7B16"/>
    <w:rsid w:val="00500369"/>
    <w:rsid w:val="00500868"/>
    <w:rsid w:val="00500C61"/>
    <w:rsid w:val="00500CB3"/>
    <w:rsid w:val="005016A9"/>
    <w:rsid w:val="00502C59"/>
    <w:rsid w:val="0050428D"/>
    <w:rsid w:val="00504700"/>
    <w:rsid w:val="005048C8"/>
    <w:rsid w:val="005049C7"/>
    <w:rsid w:val="00505267"/>
    <w:rsid w:val="00505947"/>
    <w:rsid w:val="00510180"/>
    <w:rsid w:val="00510240"/>
    <w:rsid w:val="00510656"/>
    <w:rsid w:val="00510C4E"/>
    <w:rsid w:val="00511215"/>
    <w:rsid w:val="00512837"/>
    <w:rsid w:val="00513361"/>
    <w:rsid w:val="005142FD"/>
    <w:rsid w:val="00514D4C"/>
    <w:rsid w:val="00515982"/>
    <w:rsid w:val="005176AB"/>
    <w:rsid w:val="005178C7"/>
    <w:rsid w:val="00517D35"/>
    <w:rsid w:val="00520E9B"/>
    <w:rsid w:val="00522107"/>
    <w:rsid w:val="0052360C"/>
    <w:rsid w:val="00523ADA"/>
    <w:rsid w:val="00523CA6"/>
    <w:rsid w:val="005255FD"/>
    <w:rsid w:val="00525B96"/>
    <w:rsid w:val="00525F0A"/>
    <w:rsid w:val="005260AC"/>
    <w:rsid w:val="00526B79"/>
    <w:rsid w:val="0052734B"/>
    <w:rsid w:val="005308FD"/>
    <w:rsid w:val="00530ECD"/>
    <w:rsid w:val="00530FB4"/>
    <w:rsid w:val="00531F97"/>
    <w:rsid w:val="0053220E"/>
    <w:rsid w:val="00532EC5"/>
    <w:rsid w:val="0053389F"/>
    <w:rsid w:val="00533CE4"/>
    <w:rsid w:val="00535196"/>
    <w:rsid w:val="005362EE"/>
    <w:rsid w:val="00537A55"/>
    <w:rsid w:val="00541C09"/>
    <w:rsid w:val="00541D69"/>
    <w:rsid w:val="00542F62"/>
    <w:rsid w:val="005437C4"/>
    <w:rsid w:val="00544216"/>
    <w:rsid w:val="00544A0C"/>
    <w:rsid w:val="00546B35"/>
    <w:rsid w:val="00552F78"/>
    <w:rsid w:val="00554C45"/>
    <w:rsid w:val="00555846"/>
    <w:rsid w:val="00556148"/>
    <w:rsid w:val="005562DA"/>
    <w:rsid w:val="00556475"/>
    <w:rsid w:val="00557ABF"/>
    <w:rsid w:val="005613DA"/>
    <w:rsid w:val="00561A82"/>
    <w:rsid w:val="0056641D"/>
    <w:rsid w:val="0056768A"/>
    <w:rsid w:val="00567E6F"/>
    <w:rsid w:val="005712D9"/>
    <w:rsid w:val="005713E6"/>
    <w:rsid w:val="005718A0"/>
    <w:rsid w:val="005736B6"/>
    <w:rsid w:val="005747DC"/>
    <w:rsid w:val="00575CFB"/>
    <w:rsid w:val="005766B2"/>
    <w:rsid w:val="00577EA2"/>
    <w:rsid w:val="00580EE3"/>
    <w:rsid w:val="00581321"/>
    <w:rsid w:val="00581975"/>
    <w:rsid w:val="00582236"/>
    <w:rsid w:val="00582901"/>
    <w:rsid w:val="00584142"/>
    <w:rsid w:val="005861CF"/>
    <w:rsid w:val="005872FE"/>
    <w:rsid w:val="00591653"/>
    <w:rsid w:val="00595341"/>
    <w:rsid w:val="005966F8"/>
    <w:rsid w:val="00597632"/>
    <w:rsid w:val="00597D21"/>
    <w:rsid w:val="005A16BA"/>
    <w:rsid w:val="005A29E6"/>
    <w:rsid w:val="005A32C3"/>
    <w:rsid w:val="005A33CA"/>
    <w:rsid w:val="005A3BAA"/>
    <w:rsid w:val="005A3F49"/>
    <w:rsid w:val="005A4A26"/>
    <w:rsid w:val="005A63F6"/>
    <w:rsid w:val="005A7616"/>
    <w:rsid w:val="005B0700"/>
    <w:rsid w:val="005B1147"/>
    <w:rsid w:val="005B25FD"/>
    <w:rsid w:val="005B43B2"/>
    <w:rsid w:val="005B48EB"/>
    <w:rsid w:val="005B5400"/>
    <w:rsid w:val="005B5E90"/>
    <w:rsid w:val="005B6DF2"/>
    <w:rsid w:val="005C09A7"/>
    <w:rsid w:val="005C3139"/>
    <w:rsid w:val="005C33B9"/>
    <w:rsid w:val="005C3BC8"/>
    <w:rsid w:val="005C4FF3"/>
    <w:rsid w:val="005C5972"/>
    <w:rsid w:val="005C5D9B"/>
    <w:rsid w:val="005C79AA"/>
    <w:rsid w:val="005D1541"/>
    <w:rsid w:val="005D30E3"/>
    <w:rsid w:val="005D428F"/>
    <w:rsid w:val="005D54CD"/>
    <w:rsid w:val="005D5E1D"/>
    <w:rsid w:val="005D7FDA"/>
    <w:rsid w:val="005E1791"/>
    <w:rsid w:val="005E195C"/>
    <w:rsid w:val="005E2EF8"/>
    <w:rsid w:val="005E5B27"/>
    <w:rsid w:val="005E7474"/>
    <w:rsid w:val="005E7AE3"/>
    <w:rsid w:val="005F0C3E"/>
    <w:rsid w:val="005F13D5"/>
    <w:rsid w:val="005F17EE"/>
    <w:rsid w:val="005F2E77"/>
    <w:rsid w:val="005F4A97"/>
    <w:rsid w:val="005F56EB"/>
    <w:rsid w:val="005F6E95"/>
    <w:rsid w:val="005F7255"/>
    <w:rsid w:val="005F7867"/>
    <w:rsid w:val="005F7A0B"/>
    <w:rsid w:val="005F7B48"/>
    <w:rsid w:val="00600CEA"/>
    <w:rsid w:val="006011EF"/>
    <w:rsid w:val="0060209D"/>
    <w:rsid w:val="00602DDB"/>
    <w:rsid w:val="00604A20"/>
    <w:rsid w:val="00605465"/>
    <w:rsid w:val="006070A4"/>
    <w:rsid w:val="00607F42"/>
    <w:rsid w:val="00611B01"/>
    <w:rsid w:val="006129E1"/>
    <w:rsid w:val="00613D11"/>
    <w:rsid w:val="00614607"/>
    <w:rsid w:val="006146A5"/>
    <w:rsid w:val="0061644E"/>
    <w:rsid w:val="00621794"/>
    <w:rsid w:val="00622076"/>
    <w:rsid w:val="00622451"/>
    <w:rsid w:val="00622746"/>
    <w:rsid w:val="0062277F"/>
    <w:rsid w:val="00625D5E"/>
    <w:rsid w:val="00626019"/>
    <w:rsid w:val="00627669"/>
    <w:rsid w:val="006300BA"/>
    <w:rsid w:val="0063069C"/>
    <w:rsid w:val="006314B1"/>
    <w:rsid w:val="006318A1"/>
    <w:rsid w:val="00632462"/>
    <w:rsid w:val="00632C92"/>
    <w:rsid w:val="00633914"/>
    <w:rsid w:val="00633DAE"/>
    <w:rsid w:val="00635128"/>
    <w:rsid w:val="00637574"/>
    <w:rsid w:val="00640E28"/>
    <w:rsid w:val="00642DCD"/>
    <w:rsid w:val="006431F2"/>
    <w:rsid w:val="006437F5"/>
    <w:rsid w:val="00643BA8"/>
    <w:rsid w:val="00643D84"/>
    <w:rsid w:val="00644738"/>
    <w:rsid w:val="006464CE"/>
    <w:rsid w:val="006469A0"/>
    <w:rsid w:val="00646B8B"/>
    <w:rsid w:val="00650070"/>
    <w:rsid w:val="00650247"/>
    <w:rsid w:val="006502DA"/>
    <w:rsid w:val="00652CDA"/>
    <w:rsid w:val="00654664"/>
    <w:rsid w:val="0065649F"/>
    <w:rsid w:val="00656BC3"/>
    <w:rsid w:val="00661764"/>
    <w:rsid w:val="00661D41"/>
    <w:rsid w:val="00662E3E"/>
    <w:rsid w:val="0066398F"/>
    <w:rsid w:val="006661C2"/>
    <w:rsid w:val="0066673E"/>
    <w:rsid w:val="00670E90"/>
    <w:rsid w:val="00671278"/>
    <w:rsid w:val="00671503"/>
    <w:rsid w:val="00671B92"/>
    <w:rsid w:val="00671E99"/>
    <w:rsid w:val="006744C2"/>
    <w:rsid w:val="00674A17"/>
    <w:rsid w:val="006755FA"/>
    <w:rsid w:val="00675F1A"/>
    <w:rsid w:val="006767CD"/>
    <w:rsid w:val="00676A52"/>
    <w:rsid w:val="00676F37"/>
    <w:rsid w:val="0067743E"/>
    <w:rsid w:val="0068064E"/>
    <w:rsid w:val="00682CCA"/>
    <w:rsid w:val="0068384C"/>
    <w:rsid w:val="006841D9"/>
    <w:rsid w:val="00685B64"/>
    <w:rsid w:val="00686241"/>
    <w:rsid w:val="00686698"/>
    <w:rsid w:val="00686E56"/>
    <w:rsid w:val="00690593"/>
    <w:rsid w:val="00690768"/>
    <w:rsid w:val="00693D14"/>
    <w:rsid w:val="00694544"/>
    <w:rsid w:val="006949CD"/>
    <w:rsid w:val="00695150"/>
    <w:rsid w:val="00695661"/>
    <w:rsid w:val="006A12D0"/>
    <w:rsid w:val="006A2495"/>
    <w:rsid w:val="006A2602"/>
    <w:rsid w:val="006A3B34"/>
    <w:rsid w:val="006A40E5"/>
    <w:rsid w:val="006A4DFC"/>
    <w:rsid w:val="006A7534"/>
    <w:rsid w:val="006A7B7B"/>
    <w:rsid w:val="006B1E9A"/>
    <w:rsid w:val="006B3D12"/>
    <w:rsid w:val="006B431E"/>
    <w:rsid w:val="006B4559"/>
    <w:rsid w:val="006B78D3"/>
    <w:rsid w:val="006B7A4E"/>
    <w:rsid w:val="006C033B"/>
    <w:rsid w:val="006C1C0D"/>
    <w:rsid w:val="006C20FB"/>
    <w:rsid w:val="006C26B1"/>
    <w:rsid w:val="006C2D2A"/>
    <w:rsid w:val="006C3B92"/>
    <w:rsid w:val="006C58F2"/>
    <w:rsid w:val="006C6DD4"/>
    <w:rsid w:val="006C6F51"/>
    <w:rsid w:val="006D02AB"/>
    <w:rsid w:val="006D0911"/>
    <w:rsid w:val="006D172E"/>
    <w:rsid w:val="006D1B30"/>
    <w:rsid w:val="006D3E8B"/>
    <w:rsid w:val="006D4860"/>
    <w:rsid w:val="006D4DD5"/>
    <w:rsid w:val="006D6290"/>
    <w:rsid w:val="006D669F"/>
    <w:rsid w:val="006E0673"/>
    <w:rsid w:val="006E085D"/>
    <w:rsid w:val="006E100D"/>
    <w:rsid w:val="006E1B31"/>
    <w:rsid w:val="006E6A2E"/>
    <w:rsid w:val="006F0536"/>
    <w:rsid w:val="006F071A"/>
    <w:rsid w:val="006F180C"/>
    <w:rsid w:val="006F45D3"/>
    <w:rsid w:val="006F60A6"/>
    <w:rsid w:val="006F65D3"/>
    <w:rsid w:val="006F6688"/>
    <w:rsid w:val="006F729B"/>
    <w:rsid w:val="006F72B4"/>
    <w:rsid w:val="00700C14"/>
    <w:rsid w:val="00703DEA"/>
    <w:rsid w:val="0070436E"/>
    <w:rsid w:val="00705187"/>
    <w:rsid w:val="00707B72"/>
    <w:rsid w:val="00710881"/>
    <w:rsid w:val="0071149E"/>
    <w:rsid w:val="00713EDB"/>
    <w:rsid w:val="00713FA4"/>
    <w:rsid w:val="00714349"/>
    <w:rsid w:val="007152D1"/>
    <w:rsid w:val="0072143B"/>
    <w:rsid w:val="007215A0"/>
    <w:rsid w:val="007219AD"/>
    <w:rsid w:val="00721C87"/>
    <w:rsid w:val="00723DE2"/>
    <w:rsid w:val="0072506E"/>
    <w:rsid w:val="0072666C"/>
    <w:rsid w:val="00726FA0"/>
    <w:rsid w:val="00731740"/>
    <w:rsid w:val="00731E40"/>
    <w:rsid w:val="007330AF"/>
    <w:rsid w:val="00734580"/>
    <w:rsid w:val="00734869"/>
    <w:rsid w:val="00736967"/>
    <w:rsid w:val="00737ACA"/>
    <w:rsid w:val="00740B9E"/>
    <w:rsid w:val="007417DD"/>
    <w:rsid w:val="0074322D"/>
    <w:rsid w:val="00743FC7"/>
    <w:rsid w:val="00744752"/>
    <w:rsid w:val="0074526E"/>
    <w:rsid w:val="00746725"/>
    <w:rsid w:val="0074680D"/>
    <w:rsid w:val="0074757E"/>
    <w:rsid w:val="0075030E"/>
    <w:rsid w:val="00750684"/>
    <w:rsid w:val="00750B11"/>
    <w:rsid w:val="00750EE9"/>
    <w:rsid w:val="00752C36"/>
    <w:rsid w:val="00752FBC"/>
    <w:rsid w:val="00754843"/>
    <w:rsid w:val="00754E59"/>
    <w:rsid w:val="00756039"/>
    <w:rsid w:val="00757207"/>
    <w:rsid w:val="007608D4"/>
    <w:rsid w:val="0076117B"/>
    <w:rsid w:val="00761AD7"/>
    <w:rsid w:val="00761B10"/>
    <w:rsid w:val="00761C94"/>
    <w:rsid w:val="00761D3D"/>
    <w:rsid w:val="007623B4"/>
    <w:rsid w:val="00762579"/>
    <w:rsid w:val="00762CDF"/>
    <w:rsid w:val="00763686"/>
    <w:rsid w:val="007638F1"/>
    <w:rsid w:val="00765FFF"/>
    <w:rsid w:val="00766147"/>
    <w:rsid w:val="0076656B"/>
    <w:rsid w:val="0076787B"/>
    <w:rsid w:val="007706A6"/>
    <w:rsid w:val="00771F48"/>
    <w:rsid w:val="0077424F"/>
    <w:rsid w:val="00774A22"/>
    <w:rsid w:val="00774FDD"/>
    <w:rsid w:val="0077684E"/>
    <w:rsid w:val="007768E8"/>
    <w:rsid w:val="00777F46"/>
    <w:rsid w:val="0078068D"/>
    <w:rsid w:val="007813A8"/>
    <w:rsid w:val="00782470"/>
    <w:rsid w:val="00782B63"/>
    <w:rsid w:val="007835C0"/>
    <w:rsid w:val="00783AA0"/>
    <w:rsid w:val="007840E1"/>
    <w:rsid w:val="007850E9"/>
    <w:rsid w:val="00787122"/>
    <w:rsid w:val="00791F5F"/>
    <w:rsid w:val="00794557"/>
    <w:rsid w:val="007946F0"/>
    <w:rsid w:val="00794C4F"/>
    <w:rsid w:val="00795B49"/>
    <w:rsid w:val="00795CF5"/>
    <w:rsid w:val="00795D1B"/>
    <w:rsid w:val="007A00E8"/>
    <w:rsid w:val="007A041A"/>
    <w:rsid w:val="007A1806"/>
    <w:rsid w:val="007A205A"/>
    <w:rsid w:val="007A23C0"/>
    <w:rsid w:val="007A2424"/>
    <w:rsid w:val="007A32B4"/>
    <w:rsid w:val="007A3A8D"/>
    <w:rsid w:val="007A47D5"/>
    <w:rsid w:val="007A4F07"/>
    <w:rsid w:val="007A7749"/>
    <w:rsid w:val="007A7998"/>
    <w:rsid w:val="007A7BBA"/>
    <w:rsid w:val="007B1CBB"/>
    <w:rsid w:val="007B38AF"/>
    <w:rsid w:val="007B4438"/>
    <w:rsid w:val="007B59CD"/>
    <w:rsid w:val="007B5B56"/>
    <w:rsid w:val="007B5B79"/>
    <w:rsid w:val="007B5FE6"/>
    <w:rsid w:val="007B7641"/>
    <w:rsid w:val="007C066E"/>
    <w:rsid w:val="007C273A"/>
    <w:rsid w:val="007C3D81"/>
    <w:rsid w:val="007C44D4"/>
    <w:rsid w:val="007C4B69"/>
    <w:rsid w:val="007C4EA8"/>
    <w:rsid w:val="007C6BDF"/>
    <w:rsid w:val="007C6F55"/>
    <w:rsid w:val="007D0E6F"/>
    <w:rsid w:val="007D52E4"/>
    <w:rsid w:val="007D6BA0"/>
    <w:rsid w:val="007E1BBD"/>
    <w:rsid w:val="007E3933"/>
    <w:rsid w:val="007E4EA3"/>
    <w:rsid w:val="007E520B"/>
    <w:rsid w:val="007E56CE"/>
    <w:rsid w:val="007E6C9B"/>
    <w:rsid w:val="007E724F"/>
    <w:rsid w:val="007F00C8"/>
    <w:rsid w:val="007F024A"/>
    <w:rsid w:val="007F0AA5"/>
    <w:rsid w:val="007F20E8"/>
    <w:rsid w:val="007F35BE"/>
    <w:rsid w:val="007F375C"/>
    <w:rsid w:val="007F37C4"/>
    <w:rsid w:val="007F4306"/>
    <w:rsid w:val="007F68A2"/>
    <w:rsid w:val="007F725A"/>
    <w:rsid w:val="00802589"/>
    <w:rsid w:val="00802A67"/>
    <w:rsid w:val="00803433"/>
    <w:rsid w:val="008042F8"/>
    <w:rsid w:val="008054A2"/>
    <w:rsid w:val="008055B0"/>
    <w:rsid w:val="00806797"/>
    <w:rsid w:val="00806861"/>
    <w:rsid w:val="00807395"/>
    <w:rsid w:val="008122D0"/>
    <w:rsid w:val="00813512"/>
    <w:rsid w:val="0081360C"/>
    <w:rsid w:val="0081570E"/>
    <w:rsid w:val="00817626"/>
    <w:rsid w:val="008212A9"/>
    <w:rsid w:val="00822289"/>
    <w:rsid w:val="00822AC1"/>
    <w:rsid w:val="00823BB3"/>
    <w:rsid w:val="0082403C"/>
    <w:rsid w:val="0082490F"/>
    <w:rsid w:val="00827D86"/>
    <w:rsid w:val="008301A1"/>
    <w:rsid w:val="008346DA"/>
    <w:rsid w:val="00834DE6"/>
    <w:rsid w:val="00835D64"/>
    <w:rsid w:val="008367E5"/>
    <w:rsid w:val="0083742E"/>
    <w:rsid w:val="0083755C"/>
    <w:rsid w:val="00840DA0"/>
    <w:rsid w:val="0084240D"/>
    <w:rsid w:val="0084405D"/>
    <w:rsid w:val="00845487"/>
    <w:rsid w:val="00847539"/>
    <w:rsid w:val="008513F3"/>
    <w:rsid w:val="00851862"/>
    <w:rsid w:val="00852861"/>
    <w:rsid w:val="00854762"/>
    <w:rsid w:val="00857873"/>
    <w:rsid w:val="00860B03"/>
    <w:rsid w:val="0086353C"/>
    <w:rsid w:val="00863DDE"/>
    <w:rsid w:val="0086465C"/>
    <w:rsid w:val="008653A0"/>
    <w:rsid w:val="0086575A"/>
    <w:rsid w:val="008668AF"/>
    <w:rsid w:val="0086697D"/>
    <w:rsid w:val="008706D2"/>
    <w:rsid w:val="008733BD"/>
    <w:rsid w:val="0087705F"/>
    <w:rsid w:val="00877506"/>
    <w:rsid w:val="00877C4C"/>
    <w:rsid w:val="00880583"/>
    <w:rsid w:val="00880EA1"/>
    <w:rsid w:val="00881D78"/>
    <w:rsid w:val="0088239B"/>
    <w:rsid w:val="008826D8"/>
    <w:rsid w:val="00882E82"/>
    <w:rsid w:val="0088325C"/>
    <w:rsid w:val="008852EB"/>
    <w:rsid w:val="00886507"/>
    <w:rsid w:val="00886C8D"/>
    <w:rsid w:val="008909F2"/>
    <w:rsid w:val="0089593B"/>
    <w:rsid w:val="0089624D"/>
    <w:rsid w:val="00896E77"/>
    <w:rsid w:val="0089770D"/>
    <w:rsid w:val="008A0CF4"/>
    <w:rsid w:val="008A18E1"/>
    <w:rsid w:val="008A31F3"/>
    <w:rsid w:val="008A5479"/>
    <w:rsid w:val="008A5569"/>
    <w:rsid w:val="008A7246"/>
    <w:rsid w:val="008B0610"/>
    <w:rsid w:val="008B1210"/>
    <w:rsid w:val="008B1356"/>
    <w:rsid w:val="008B1767"/>
    <w:rsid w:val="008B2037"/>
    <w:rsid w:val="008B2492"/>
    <w:rsid w:val="008B264C"/>
    <w:rsid w:val="008B4AE8"/>
    <w:rsid w:val="008B5897"/>
    <w:rsid w:val="008B6078"/>
    <w:rsid w:val="008B6D35"/>
    <w:rsid w:val="008B79AF"/>
    <w:rsid w:val="008C09F7"/>
    <w:rsid w:val="008C19B3"/>
    <w:rsid w:val="008C2CFA"/>
    <w:rsid w:val="008C45C9"/>
    <w:rsid w:val="008C4871"/>
    <w:rsid w:val="008C4EB3"/>
    <w:rsid w:val="008C559A"/>
    <w:rsid w:val="008C5A80"/>
    <w:rsid w:val="008C5CAE"/>
    <w:rsid w:val="008D0DB8"/>
    <w:rsid w:val="008D1331"/>
    <w:rsid w:val="008D159B"/>
    <w:rsid w:val="008D1DAE"/>
    <w:rsid w:val="008D34B3"/>
    <w:rsid w:val="008D3B96"/>
    <w:rsid w:val="008D416B"/>
    <w:rsid w:val="008D5A8F"/>
    <w:rsid w:val="008D6044"/>
    <w:rsid w:val="008D6187"/>
    <w:rsid w:val="008D7457"/>
    <w:rsid w:val="008D7B7B"/>
    <w:rsid w:val="008E07D1"/>
    <w:rsid w:val="008E0B87"/>
    <w:rsid w:val="008E3AF5"/>
    <w:rsid w:val="008E462E"/>
    <w:rsid w:val="008E5FE3"/>
    <w:rsid w:val="008E67EB"/>
    <w:rsid w:val="008E7124"/>
    <w:rsid w:val="008F3201"/>
    <w:rsid w:val="008F4602"/>
    <w:rsid w:val="008F547B"/>
    <w:rsid w:val="008F5808"/>
    <w:rsid w:val="008F5B8F"/>
    <w:rsid w:val="008F65CA"/>
    <w:rsid w:val="008F6F15"/>
    <w:rsid w:val="008F790B"/>
    <w:rsid w:val="00900259"/>
    <w:rsid w:val="00900464"/>
    <w:rsid w:val="0090242E"/>
    <w:rsid w:val="009024B4"/>
    <w:rsid w:val="00902699"/>
    <w:rsid w:val="009034F3"/>
    <w:rsid w:val="0090515F"/>
    <w:rsid w:val="00910891"/>
    <w:rsid w:val="00911247"/>
    <w:rsid w:val="009123F6"/>
    <w:rsid w:val="009128CA"/>
    <w:rsid w:val="00912F8E"/>
    <w:rsid w:val="00913502"/>
    <w:rsid w:val="00913754"/>
    <w:rsid w:val="00916984"/>
    <w:rsid w:val="00917529"/>
    <w:rsid w:val="00920B9F"/>
    <w:rsid w:val="00920EA8"/>
    <w:rsid w:val="009219BD"/>
    <w:rsid w:val="00923735"/>
    <w:rsid w:val="00925738"/>
    <w:rsid w:val="00932025"/>
    <w:rsid w:val="00932524"/>
    <w:rsid w:val="0093324A"/>
    <w:rsid w:val="00934639"/>
    <w:rsid w:val="009353E0"/>
    <w:rsid w:val="00936B9C"/>
    <w:rsid w:val="0094014A"/>
    <w:rsid w:val="00941A21"/>
    <w:rsid w:val="00941E94"/>
    <w:rsid w:val="00942B4D"/>
    <w:rsid w:val="00943485"/>
    <w:rsid w:val="00943B70"/>
    <w:rsid w:val="009461E5"/>
    <w:rsid w:val="00946A5F"/>
    <w:rsid w:val="00947515"/>
    <w:rsid w:val="00947533"/>
    <w:rsid w:val="009505F2"/>
    <w:rsid w:val="009508F3"/>
    <w:rsid w:val="00950C3D"/>
    <w:rsid w:val="00951028"/>
    <w:rsid w:val="00951DF1"/>
    <w:rsid w:val="00951FBE"/>
    <w:rsid w:val="00954C88"/>
    <w:rsid w:val="00955049"/>
    <w:rsid w:val="00955052"/>
    <w:rsid w:val="0095614D"/>
    <w:rsid w:val="00956D82"/>
    <w:rsid w:val="009574C1"/>
    <w:rsid w:val="00960080"/>
    <w:rsid w:val="00960B4B"/>
    <w:rsid w:val="00960E83"/>
    <w:rsid w:val="00961033"/>
    <w:rsid w:val="009611A2"/>
    <w:rsid w:val="00962615"/>
    <w:rsid w:val="0096280A"/>
    <w:rsid w:val="00962B1E"/>
    <w:rsid w:val="00964DC3"/>
    <w:rsid w:val="00965FB7"/>
    <w:rsid w:val="00966A2D"/>
    <w:rsid w:val="00967386"/>
    <w:rsid w:val="009679E0"/>
    <w:rsid w:val="009703DD"/>
    <w:rsid w:val="00970584"/>
    <w:rsid w:val="009706FE"/>
    <w:rsid w:val="00972AEC"/>
    <w:rsid w:val="009739AE"/>
    <w:rsid w:val="00973E27"/>
    <w:rsid w:val="00976F87"/>
    <w:rsid w:val="0098181C"/>
    <w:rsid w:val="0098257F"/>
    <w:rsid w:val="00983046"/>
    <w:rsid w:val="00984F16"/>
    <w:rsid w:val="009867F2"/>
    <w:rsid w:val="00986D4C"/>
    <w:rsid w:val="009875EA"/>
    <w:rsid w:val="00991404"/>
    <w:rsid w:val="00993D51"/>
    <w:rsid w:val="00993FDD"/>
    <w:rsid w:val="009955EE"/>
    <w:rsid w:val="009958E9"/>
    <w:rsid w:val="0099646C"/>
    <w:rsid w:val="009A13D1"/>
    <w:rsid w:val="009A3343"/>
    <w:rsid w:val="009A348E"/>
    <w:rsid w:val="009A3786"/>
    <w:rsid w:val="009A5732"/>
    <w:rsid w:val="009A5A2D"/>
    <w:rsid w:val="009A5CF8"/>
    <w:rsid w:val="009A5EAC"/>
    <w:rsid w:val="009B03B9"/>
    <w:rsid w:val="009B095E"/>
    <w:rsid w:val="009B1381"/>
    <w:rsid w:val="009B13BA"/>
    <w:rsid w:val="009B26A9"/>
    <w:rsid w:val="009B2FFC"/>
    <w:rsid w:val="009B4AAB"/>
    <w:rsid w:val="009B6261"/>
    <w:rsid w:val="009C1474"/>
    <w:rsid w:val="009C275E"/>
    <w:rsid w:val="009C2F54"/>
    <w:rsid w:val="009C347B"/>
    <w:rsid w:val="009C3758"/>
    <w:rsid w:val="009C407A"/>
    <w:rsid w:val="009C62A9"/>
    <w:rsid w:val="009C7614"/>
    <w:rsid w:val="009C7862"/>
    <w:rsid w:val="009D0107"/>
    <w:rsid w:val="009D0485"/>
    <w:rsid w:val="009D0588"/>
    <w:rsid w:val="009D111B"/>
    <w:rsid w:val="009D11F2"/>
    <w:rsid w:val="009D17FD"/>
    <w:rsid w:val="009D25D4"/>
    <w:rsid w:val="009D3AB3"/>
    <w:rsid w:val="009D4CF4"/>
    <w:rsid w:val="009D5126"/>
    <w:rsid w:val="009D6CAC"/>
    <w:rsid w:val="009D74E1"/>
    <w:rsid w:val="009E00BC"/>
    <w:rsid w:val="009E08F2"/>
    <w:rsid w:val="009E10C9"/>
    <w:rsid w:val="009E1940"/>
    <w:rsid w:val="009E1E60"/>
    <w:rsid w:val="009E26A2"/>
    <w:rsid w:val="009E33AD"/>
    <w:rsid w:val="009E33F7"/>
    <w:rsid w:val="009E6833"/>
    <w:rsid w:val="009E71DE"/>
    <w:rsid w:val="009E7279"/>
    <w:rsid w:val="009E758C"/>
    <w:rsid w:val="009E7B8A"/>
    <w:rsid w:val="009E7CE9"/>
    <w:rsid w:val="009E7DFA"/>
    <w:rsid w:val="009F05BD"/>
    <w:rsid w:val="009F1544"/>
    <w:rsid w:val="009F2405"/>
    <w:rsid w:val="009F4541"/>
    <w:rsid w:val="009F7DCC"/>
    <w:rsid w:val="00A00BEF"/>
    <w:rsid w:val="00A026DB"/>
    <w:rsid w:val="00A03E87"/>
    <w:rsid w:val="00A04DB2"/>
    <w:rsid w:val="00A058FC"/>
    <w:rsid w:val="00A12E6C"/>
    <w:rsid w:val="00A15A89"/>
    <w:rsid w:val="00A20564"/>
    <w:rsid w:val="00A2196A"/>
    <w:rsid w:val="00A219E2"/>
    <w:rsid w:val="00A227E0"/>
    <w:rsid w:val="00A227F3"/>
    <w:rsid w:val="00A238A3"/>
    <w:rsid w:val="00A2588B"/>
    <w:rsid w:val="00A259B5"/>
    <w:rsid w:val="00A25EB0"/>
    <w:rsid w:val="00A27689"/>
    <w:rsid w:val="00A310B2"/>
    <w:rsid w:val="00A3375F"/>
    <w:rsid w:val="00A34A27"/>
    <w:rsid w:val="00A35B80"/>
    <w:rsid w:val="00A367C2"/>
    <w:rsid w:val="00A36A9E"/>
    <w:rsid w:val="00A403AA"/>
    <w:rsid w:val="00A40DED"/>
    <w:rsid w:val="00A41300"/>
    <w:rsid w:val="00A4162F"/>
    <w:rsid w:val="00A426F7"/>
    <w:rsid w:val="00A42735"/>
    <w:rsid w:val="00A45B01"/>
    <w:rsid w:val="00A46238"/>
    <w:rsid w:val="00A47257"/>
    <w:rsid w:val="00A472A3"/>
    <w:rsid w:val="00A50ACF"/>
    <w:rsid w:val="00A511CD"/>
    <w:rsid w:val="00A511E1"/>
    <w:rsid w:val="00A5240C"/>
    <w:rsid w:val="00A5263C"/>
    <w:rsid w:val="00A52823"/>
    <w:rsid w:val="00A52C03"/>
    <w:rsid w:val="00A5394F"/>
    <w:rsid w:val="00A55617"/>
    <w:rsid w:val="00A56160"/>
    <w:rsid w:val="00A561DF"/>
    <w:rsid w:val="00A57267"/>
    <w:rsid w:val="00A5777E"/>
    <w:rsid w:val="00A62891"/>
    <w:rsid w:val="00A62E35"/>
    <w:rsid w:val="00A63EDB"/>
    <w:rsid w:val="00A64DD9"/>
    <w:rsid w:val="00A65140"/>
    <w:rsid w:val="00A67079"/>
    <w:rsid w:val="00A674DF"/>
    <w:rsid w:val="00A677DC"/>
    <w:rsid w:val="00A67B42"/>
    <w:rsid w:val="00A67D5A"/>
    <w:rsid w:val="00A70E5B"/>
    <w:rsid w:val="00A7132A"/>
    <w:rsid w:val="00A71A95"/>
    <w:rsid w:val="00A721E6"/>
    <w:rsid w:val="00A72C9C"/>
    <w:rsid w:val="00A743A0"/>
    <w:rsid w:val="00A7538F"/>
    <w:rsid w:val="00A75CA8"/>
    <w:rsid w:val="00A76CE8"/>
    <w:rsid w:val="00A772BA"/>
    <w:rsid w:val="00A77501"/>
    <w:rsid w:val="00A7779B"/>
    <w:rsid w:val="00A77BC6"/>
    <w:rsid w:val="00A806C9"/>
    <w:rsid w:val="00A80721"/>
    <w:rsid w:val="00A80FBA"/>
    <w:rsid w:val="00A810E0"/>
    <w:rsid w:val="00A81F36"/>
    <w:rsid w:val="00A832B4"/>
    <w:rsid w:val="00A846DA"/>
    <w:rsid w:val="00A8602B"/>
    <w:rsid w:val="00A876B8"/>
    <w:rsid w:val="00A917FD"/>
    <w:rsid w:val="00A91B04"/>
    <w:rsid w:val="00A92E1D"/>
    <w:rsid w:val="00A94900"/>
    <w:rsid w:val="00A97379"/>
    <w:rsid w:val="00AA1D4B"/>
    <w:rsid w:val="00AA28C3"/>
    <w:rsid w:val="00AA2AFE"/>
    <w:rsid w:val="00AA4D65"/>
    <w:rsid w:val="00AA646E"/>
    <w:rsid w:val="00AA64F8"/>
    <w:rsid w:val="00AA77F4"/>
    <w:rsid w:val="00AA7B87"/>
    <w:rsid w:val="00AB0BD0"/>
    <w:rsid w:val="00AB2D4B"/>
    <w:rsid w:val="00AB5678"/>
    <w:rsid w:val="00AB6DF2"/>
    <w:rsid w:val="00AB78C6"/>
    <w:rsid w:val="00AC1624"/>
    <w:rsid w:val="00AC46DF"/>
    <w:rsid w:val="00AC6CFA"/>
    <w:rsid w:val="00AD14C7"/>
    <w:rsid w:val="00AD19CD"/>
    <w:rsid w:val="00AD2253"/>
    <w:rsid w:val="00AD2C6A"/>
    <w:rsid w:val="00AD3594"/>
    <w:rsid w:val="00AD4B85"/>
    <w:rsid w:val="00AD52F6"/>
    <w:rsid w:val="00AD543B"/>
    <w:rsid w:val="00AD5FE5"/>
    <w:rsid w:val="00AD6FB6"/>
    <w:rsid w:val="00AD7624"/>
    <w:rsid w:val="00AD7958"/>
    <w:rsid w:val="00AD7BCB"/>
    <w:rsid w:val="00AE2E3D"/>
    <w:rsid w:val="00AE33D7"/>
    <w:rsid w:val="00AE3560"/>
    <w:rsid w:val="00AE55F6"/>
    <w:rsid w:val="00AE61BB"/>
    <w:rsid w:val="00AF0543"/>
    <w:rsid w:val="00AF0708"/>
    <w:rsid w:val="00AF0ACD"/>
    <w:rsid w:val="00AF2651"/>
    <w:rsid w:val="00AF424D"/>
    <w:rsid w:val="00AF57D2"/>
    <w:rsid w:val="00AF696C"/>
    <w:rsid w:val="00B00589"/>
    <w:rsid w:val="00B011F6"/>
    <w:rsid w:val="00B01355"/>
    <w:rsid w:val="00B03337"/>
    <w:rsid w:val="00B03AA6"/>
    <w:rsid w:val="00B03D2F"/>
    <w:rsid w:val="00B03E34"/>
    <w:rsid w:val="00B04484"/>
    <w:rsid w:val="00B04985"/>
    <w:rsid w:val="00B053E8"/>
    <w:rsid w:val="00B05B1E"/>
    <w:rsid w:val="00B105A6"/>
    <w:rsid w:val="00B12042"/>
    <w:rsid w:val="00B1210E"/>
    <w:rsid w:val="00B14612"/>
    <w:rsid w:val="00B14881"/>
    <w:rsid w:val="00B155D0"/>
    <w:rsid w:val="00B15835"/>
    <w:rsid w:val="00B15960"/>
    <w:rsid w:val="00B208D3"/>
    <w:rsid w:val="00B20B13"/>
    <w:rsid w:val="00B20EFE"/>
    <w:rsid w:val="00B213EA"/>
    <w:rsid w:val="00B24636"/>
    <w:rsid w:val="00B27107"/>
    <w:rsid w:val="00B30F25"/>
    <w:rsid w:val="00B316C0"/>
    <w:rsid w:val="00B32646"/>
    <w:rsid w:val="00B34797"/>
    <w:rsid w:val="00B34B25"/>
    <w:rsid w:val="00B35A21"/>
    <w:rsid w:val="00B36769"/>
    <w:rsid w:val="00B36A69"/>
    <w:rsid w:val="00B40133"/>
    <w:rsid w:val="00B41351"/>
    <w:rsid w:val="00B41FAF"/>
    <w:rsid w:val="00B42254"/>
    <w:rsid w:val="00B450CA"/>
    <w:rsid w:val="00B452D8"/>
    <w:rsid w:val="00B45667"/>
    <w:rsid w:val="00B459F3"/>
    <w:rsid w:val="00B45B78"/>
    <w:rsid w:val="00B45F4B"/>
    <w:rsid w:val="00B46D10"/>
    <w:rsid w:val="00B50655"/>
    <w:rsid w:val="00B5096B"/>
    <w:rsid w:val="00B50AA1"/>
    <w:rsid w:val="00B515DB"/>
    <w:rsid w:val="00B51EC1"/>
    <w:rsid w:val="00B5231A"/>
    <w:rsid w:val="00B5549D"/>
    <w:rsid w:val="00B570AD"/>
    <w:rsid w:val="00B57130"/>
    <w:rsid w:val="00B57FE0"/>
    <w:rsid w:val="00B60ACA"/>
    <w:rsid w:val="00B60D27"/>
    <w:rsid w:val="00B62C72"/>
    <w:rsid w:val="00B62DE7"/>
    <w:rsid w:val="00B6429F"/>
    <w:rsid w:val="00B645B7"/>
    <w:rsid w:val="00B64E04"/>
    <w:rsid w:val="00B65CB7"/>
    <w:rsid w:val="00B67291"/>
    <w:rsid w:val="00B67714"/>
    <w:rsid w:val="00B7040C"/>
    <w:rsid w:val="00B70759"/>
    <w:rsid w:val="00B7165F"/>
    <w:rsid w:val="00B716C1"/>
    <w:rsid w:val="00B719F2"/>
    <w:rsid w:val="00B727B0"/>
    <w:rsid w:val="00B731C3"/>
    <w:rsid w:val="00B737AE"/>
    <w:rsid w:val="00B74E2C"/>
    <w:rsid w:val="00B75391"/>
    <w:rsid w:val="00B758EC"/>
    <w:rsid w:val="00B75EE9"/>
    <w:rsid w:val="00B760C1"/>
    <w:rsid w:val="00B76BD9"/>
    <w:rsid w:val="00B8071B"/>
    <w:rsid w:val="00B8226F"/>
    <w:rsid w:val="00B8279E"/>
    <w:rsid w:val="00B82A14"/>
    <w:rsid w:val="00B83BA7"/>
    <w:rsid w:val="00B86DF1"/>
    <w:rsid w:val="00B9150A"/>
    <w:rsid w:val="00B91BD6"/>
    <w:rsid w:val="00B92A04"/>
    <w:rsid w:val="00B9357D"/>
    <w:rsid w:val="00B93DDC"/>
    <w:rsid w:val="00B94544"/>
    <w:rsid w:val="00B95965"/>
    <w:rsid w:val="00BA0526"/>
    <w:rsid w:val="00BA05C1"/>
    <w:rsid w:val="00BA16E8"/>
    <w:rsid w:val="00BA230D"/>
    <w:rsid w:val="00BA2A7D"/>
    <w:rsid w:val="00BA3A54"/>
    <w:rsid w:val="00BA4A02"/>
    <w:rsid w:val="00BA569F"/>
    <w:rsid w:val="00BA5B39"/>
    <w:rsid w:val="00BB02CC"/>
    <w:rsid w:val="00BB0A17"/>
    <w:rsid w:val="00BB39EA"/>
    <w:rsid w:val="00BC1C39"/>
    <w:rsid w:val="00BC2B60"/>
    <w:rsid w:val="00BC2D77"/>
    <w:rsid w:val="00BC468B"/>
    <w:rsid w:val="00BC5286"/>
    <w:rsid w:val="00BC61BE"/>
    <w:rsid w:val="00BC64AF"/>
    <w:rsid w:val="00BC6C2B"/>
    <w:rsid w:val="00BC7D95"/>
    <w:rsid w:val="00BD367B"/>
    <w:rsid w:val="00BD36F4"/>
    <w:rsid w:val="00BD5E0F"/>
    <w:rsid w:val="00BD6218"/>
    <w:rsid w:val="00BD6A8E"/>
    <w:rsid w:val="00BD6C2F"/>
    <w:rsid w:val="00BE012D"/>
    <w:rsid w:val="00BE0EBE"/>
    <w:rsid w:val="00BE1246"/>
    <w:rsid w:val="00BE1875"/>
    <w:rsid w:val="00BE57EF"/>
    <w:rsid w:val="00BE59AB"/>
    <w:rsid w:val="00BE5AB4"/>
    <w:rsid w:val="00BE5D60"/>
    <w:rsid w:val="00BE604E"/>
    <w:rsid w:val="00BE61EC"/>
    <w:rsid w:val="00BE6342"/>
    <w:rsid w:val="00BE7017"/>
    <w:rsid w:val="00BE784E"/>
    <w:rsid w:val="00BE7DB8"/>
    <w:rsid w:val="00BF03A1"/>
    <w:rsid w:val="00BF0B8A"/>
    <w:rsid w:val="00BF1D18"/>
    <w:rsid w:val="00BF29D8"/>
    <w:rsid w:val="00BF2F3F"/>
    <w:rsid w:val="00BF3207"/>
    <w:rsid w:val="00BF33AD"/>
    <w:rsid w:val="00BF3509"/>
    <w:rsid w:val="00BF3561"/>
    <w:rsid w:val="00BF4841"/>
    <w:rsid w:val="00BF60D5"/>
    <w:rsid w:val="00C02D77"/>
    <w:rsid w:val="00C03F2C"/>
    <w:rsid w:val="00C042EC"/>
    <w:rsid w:val="00C05F8F"/>
    <w:rsid w:val="00C063C9"/>
    <w:rsid w:val="00C06DE6"/>
    <w:rsid w:val="00C06E6C"/>
    <w:rsid w:val="00C06F2D"/>
    <w:rsid w:val="00C0737A"/>
    <w:rsid w:val="00C07C2A"/>
    <w:rsid w:val="00C1067B"/>
    <w:rsid w:val="00C121D9"/>
    <w:rsid w:val="00C13320"/>
    <w:rsid w:val="00C1360A"/>
    <w:rsid w:val="00C14601"/>
    <w:rsid w:val="00C14A43"/>
    <w:rsid w:val="00C162CC"/>
    <w:rsid w:val="00C16809"/>
    <w:rsid w:val="00C2121C"/>
    <w:rsid w:val="00C2139E"/>
    <w:rsid w:val="00C225D1"/>
    <w:rsid w:val="00C22E27"/>
    <w:rsid w:val="00C23DA3"/>
    <w:rsid w:val="00C245F6"/>
    <w:rsid w:val="00C246A2"/>
    <w:rsid w:val="00C2595F"/>
    <w:rsid w:val="00C25FA4"/>
    <w:rsid w:val="00C26A64"/>
    <w:rsid w:val="00C2709D"/>
    <w:rsid w:val="00C30CC8"/>
    <w:rsid w:val="00C311FB"/>
    <w:rsid w:val="00C321E2"/>
    <w:rsid w:val="00C323D9"/>
    <w:rsid w:val="00C327F1"/>
    <w:rsid w:val="00C32E6C"/>
    <w:rsid w:val="00C3438A"/>
    <w:rsid w:val="00C35081"/>
    <w:rsid w:val="00C35385"/>
    <w:rsid w:val="00C3563A"/>
    <w:rsid w:val="00C35BC4"/>
    <w:rsid w:val="00C378CD"/>
    <w:rsid w:val="00C414E2"/>
    <w:rsid w:val="00C42CBF"/>
    <w:rsid w:val="00C432F5"/>
    <w:rsid w:val="00C43311"/>
    <w:rsid w:val="00C45232"/>
    <w:rsid w:val="00C47041"/>
    <w:rsid w:val="00C476A1"/>
    <w:rsid w:val="00C50C29"/>
    <w:rsid w:val="00C50C4D"/>
    <w:rsid w:val="00C5187B"/>
    <w:rsid w:val="00C52F0B"/>
    <w:rsid w:val="00C54030"/>
    <w:rsid w:val="00C54386"/>
    <w:rsid w:val="00C54E34"/>
    <w:rsid w:val="00C559DD"/>
    <w:rsid w:val="00C568DB"/>
    <w:rsid w:val="00C579FC"/>
    <w:rsid w:val="00C57C17"/>
    <w:rsid w:val="00C60B5E"/>
    <w:rsid w:val="00C66AB0"/>
    <w:rsid w:val="00C66DBE"/>
    <w:rsid w:val="00C72CC1"/>
    <w:rsid w:val="00C72E85"/>
    <w:rsid w:val="00C73360"/>
    <w:rsid w:val="00C73DD1"/>
    <w:rsid w:val="00C74499"/>
    <w:rsid w:val="00C758A1"/>
    <w:rsid w:val="00C76440"/>
    <w:rsid w:val="00C7674B"/>
    <w:rsid w:val="00C7688C"/>
    <w:rsid w:val="00C76ACB"/>
    <w:rsid w:val="00C7760B"/>
    <w:rsid w:val="00C80D81"/>
    <w:rsid w:val="00C80F2E"/>
    <w:rsid w:val="00C81490"/>
    <w:rsid w:val="00C82E6B"/>
    <w:rsid w:val="00C82FE2"/>
    <w:rsid w:val="00C8717F"/>
    <w:rsid w:val="00C87242"/>
    <w:rsid w:val="00C908F0"/>
    <w:rsid w:val="00C9150A"/>
    <w:rsid w:val="00C919BA"/>
    <w:rsid w:val="00C93B46"/>
    <w:rsid w:val="00C94816"/>
    <w:rsid w:val="00C95D67"/>
    <w:rsid w:val="00CA1338"/>
    <w:rsid w:val="00CA1B0D"/>
    <w:rsid w:val="00CA2B60"/>
    <w:rsid w:val="00CA3C85"/>
    <w:rsid w:val="00CA3EA3"/>
    <w:rsid w:val="00CA4E86"/>
    <w:rsid w:val="00CA528E"/>
    <w:rsid w:val="00CA535F"/>
    <w:rsid w:val="00CA66BD"/>
    <w:rsid w:val="00CA6A7D"/>
    <w:rsid w:val="00CA6A99"/>
    <w:rsid w:val="00CA6EF3"/>
    <w:rsid w:val="00CB1C10"/>
    <w:rsid w:val="00CB2040"/>
    <w:rsid w:val="00CB5036"/>
    <w:rsid w:val="00CB50EF"/>
    <w:rsid w:val="00CB53BC"/>
    <w:rsid w:val="00CB5C8C"/>
    <w:rsid w:val="00CB7532"/>
    <w:rsid w:val="00CB775F"/>
    <w:rsid w:val="00CB7BD9"/>
    <w:rsid w:val="00CC0B3B"/>
    <w:rsid w:val="00CC2E36"/>
    <w:rsid w:val="00CC52F7"/>
    <w:rsid w:val="00CC757B"/>
    <w:rsid w:val="00CC762A"/>
    <w:rsid w:val="00CD0675"/>
    <w:rsid w:val="00CD173E"/>
    <w:rsid w:val="00CD3D93"/>
    <w:rsid w:val="00CD4A6A"/>
    <w:rsid w:val="00CD563F"/>
    <w:rsid w:val="00CD7187"/>
    <w:rsid w:val="00CD7619"/>
    <w:rsid w:val="00CE0901"/>
    <w:rsid w:val="00CE1266"/>
    <w:rsid w:val="00CE14DB"/>
    <w:rsid w:val="00CE1BE2"/>
    <w:rsid w:val="00CE1C4A"/>
    <w:rsid w:val="00CE4DC2"/>
    <w:rsid w:val="00CE53B4"/>
    <w:rsid w:val="00CE714F"/>
    <w:rsid w:val="00CE76F0"/>
    <w:rsid w:val="00CE7841"/>
    <w:rsid w:val="00CF246B"/>
    <w:rsid w:val="00CF7850"/>
    <w:rsid w:val="00CF78D7"/>
    <w:rsid w:val="00D006DE"/>
    <w:rsid w:val="00D01285"/>
    <w:rsid w:val="00D01E99"/>
    <w:rsid w:val="00D037E7"/>
    <w:rsid w:val="00D03C43"/>
    <w:rsid w:val="00D05739"/>
    <w:rsid w:val="00D057F7"/>
    <w:rsid w:val="00D0643E"/>
    <w:rsid w:val="00D07F87"/>
    <w:rsid w:val="00D1005D"/>
    <w:rsid w:val="00D10938"/>
    <w:rsid w:val="00D10B31"/>
    <w:rsid w:val="00D11352"/>
    <w:rsid w:val="00D11677"/>
    <w:rsid w:val="00D11DB9"/>
    <w:rsid w:val="00D126EE"/>
    <w:rsid w:val="00D1389B"/>
    <w:rsid w:val="00D14048"/>
    <w:rsid w:val="00D1416D"/>
    <w:rsid w:val="00D14331"/>
    <w:rsid w:val="00D14814"/>
    <w:rsid w:val="00D14A0C"/>
    <w:rsid w:val="00D16ED6"/>
    <w:rsid w:val="00D173F0"/>
    <w:rsid w:val="00D1763D"/>
    <w:rsid w:val="00D17EE0"/>
    <w:rsid w:val="00D210FC"/>
    <w:rsid w:val="00D225AE"/>
    <w:rsid w:val="00D23265"/>
    <w:rsid w:val="00D24207"/>
    <w:rsid w:val="00D24ABA"/>
    <w:rsid w:val="00D25178"/>
    <w:rsid w:val="00D25C3A"/>
    <w:rsid w:val="00D2603C"/>
    <w:rsid w:val="00D2664D"/>
    <w:rsid w:val="00D271A2"/>
    <w:rsid w:val="00D272C5"/>
    <w:rsid w:val="00D27A96"/>
    <w:rsid w:val="00D308EE"/>
    <w:rsid w:val="00D315E8"/>
    <w:rsid w:val="00D32BCB"/>
    <w:rsid w:val="00D32C35"/>
    <w:rsid w:val="00D32F6E"/>
    <w:rsid w:val="00D33BE7"/>
    <w:rsid w:val="00D34CBF"/>
    <w:rsid w:val="00D36254"/>
    <w:rsid w:val="00D37FF7"/>
    <w:rsid w:val="00D4324A"/>
    <w:rsid w:val="00D43568"/>
    <w:rsid w:val="00D43BD9"/>
    <w:rsid w:val="00D44AB7"/>
    <w:rsid w:val="00D44C3E"/>
    <w:rsid w:val="00D4641E"/>
    <w:rsid w:val="00D52038"/>
    <w:rsid w:val="00D5220D"/>
    <w:rsid w:val="00D522D0"/>
    <w:rsid w:val="00D52CDE"/>
    <w:rsid w:val="00D53376"/>
    <w:rsid w:val="00D53800"/>
    <w:rsid w:val="00D541AD"/>
    <w:rsid w:val="00D55090"/>
    <w:rsid w:val="00D55612"/>
    <w:rsid w:val="00D55A54"/>
    <w:rsid w:val="00D5667B"/>
    <w:rsid w:val="00D56B71"/>
    <w:rsid w:val="00D578D3"/>
    <w:rsid w:val="00D57FB1"/>
    <w:rsid w:val="00D60DAC"/>
    <w:rsid w:val="00D6258F"/>
    <w:rsid w:val="00D62972"/>
    <w:rsid w:val="00D62C0B"/>
    <w:rsid w:val="00D65885"/>
    <w:rsid w:val="00D658BC"/>
    <w:rsid w:val="00D65E91"/>
    <w:rsid w:val="00D673E5"/>
    <w:rsid w:val="00D67AB4"/>
    <w:rsid w:val="00D67E10"/>
    <w:rsid w:val="00D70496"/>
    <w:rsid w:val="00D70B11"/>
    <w:rsid w:val="00D73315"/>
    <w:rsid w:val="00D734E4"/>
    <w:rsid w:val="00D74995"/>
    <w:rsid w:val="00D7541F"/>
    <w:rsid w:val="00D76D8D"/>
    <w:rsid w:val="00D80E14"/>
    <w:rsid w:val="00D81732"/>
    <w:rsid w:val="00D83859"/>
    <w:rsid w:val="00D84571"/>
    <w:rsid w:val="00D86D5B"/>
    <w:rsid w:val="00D875CA"/>
    <w:rsid w:val="00D879F4"/>
    <w:rsid w:val="00D908B8"/>
    <w:rsid w:val="00D938E3"/>
    <w:rsid w:val="00D94B46"/>
    <w:rsid w:val="00D95896"/>
    <w:rsid w:val="00D95F88"/>
    <w:rsid w:val="00D960F0"/>
    <w:rsid w:val="00D96604"/>
    <w:rsid w:val="00D96F65"/>
    <w:rsid w:val="00D97510"/>
    <w:rsid w:val="00D97C12"/>
    <w:rsid w:val="00D97F97"/>
    <w:rsid w:val="00DA0C4A"/>
    <w:rsid w:val="00DA3B4B"/>
    <w:rsid w:val="00DA3E9B"/>
    <w:rsid w:val="00DA460D"/>
    <w:rsid w:val="00DA4E55"/>
    <w:rsid w:val="00DA6CD7"/>
    <w:rsid w:val="00DA7B5D"/>
    <w:rsid w:val="00DA7F6A"/>
    <w:rsid w:val="00DB0430"/>
    <w:rsid w:val="00DB06DA"/>
    <w:rsid w:val="00DB0905"/>
    <w:rsid w:val="00DB0E45"/>
    <w:rsid w:val="00DB1171"/>
    <w:rsid w:val="00DB21FF"/>
    <w:rsid w:val="00DB3682"/>
    <w:rsid w:val="00DB3D6F"/>
    <w:rsid w:val="00DB438A"/>
    <w:rsid w:val="00DB5162"/>
    <w:rsid w:val="00DB5432"/>
    <w:rsid w:val="00DB560E"/>
    <w:rsid w:val="00DB5726"/>
    <w:rsid w:val="00DB6ABF"/>
    <w:rsid w:val="00DB6D8A"/>
    <w:rsid w:val="00DB7379"/>
    <w:rsid w:val="00DB7550"/>
    <w:rsid w:val="00DB79B6"/>
    <w:rsid w:val="00DC111A"/>
    <w:rsid w:val="00DC18AD"/>
    <w:rsid w:val="00DC1DF7"/>
    <w:rsid w:val="00DC2651"/>
    <w:rsid w:val="00DC4131"/>
    <w:rsid w:val="00DC4BF4"/>
    <w:rsid w:val="00DC4FAE"/>
    <w:rsid w:val="00DC53D9"/>
    <w:rsid w:val="00DC5A7C"/>
    <w:rsid w:val="00DC5AFF"/>
    <w:rsid w:val="00DC77F3"/>
    <w:rsid w:val="00DD0042"/>
    <w:rsid w:val="00DD34FC"/>
    <w:rsid w:val="00DD3E15"/>
    <w:rsid w:val="00DD5D71"/>
    <w:rsid w:val="00DD5D79"/>
    <w:rsid w:val="00DD6FC3"/>
    <w:rsid w:val="00DD7052"/>
    <w:rsid w:val="00DD7F77"/>
    <w:rsid w:val="00DE1951"/>
    <w:rsid w:val="00DE1D50"/>
    <w:rsid w:val="00DE3D4B"/>
    <w:rsid w:val="00DE4167"/>
    <w:rsid w:val="00DE48B9"/>
    <w:rsid w:val="00DE57F9"/>
    <w:rsid w:val="00DE6101"/>
    <w:rsid w:val="00DE7A37"/>
    <w:rsid w:val="00DF12ED"/>
    <w:rsid w:val="00DF1883"/>
    <w:rsid w:val="00DF18D8"/>
    <w:rsid w:val="00DF5271"/>
    <w:rsid w:val="00DF63E7"/>
    <w:rsid w:val="00DF6911"/>
    <w:rsid w:val="00DF75B1"/>
    <w:rsid w:val="00E00E84"/>
    <w:rsid w:val="00E02D64"/>
    <w:rsid w:val="00E03520"/>
    <w:rsid w:val="00E03801"/>
    <w:rsid w:val="00E049CA"/>
    <w:rsid w:val="00E06729"/>
    <w:rsid w:val="00E118CD"/>
    <w:rsid w:val="00E1202D"/>
    <w:rsid w:val="00E127EB"/>
    <w:rsid w:val="00E134D0"/>
    <w:rsid w:val="00E13A5E"/>
    <w:rsid w:val="00E1539E"/>
    <w:rsid w:val="00E161CE"/>
    <w:rsid w:val="00E16CA3"/>
    <w:rsid w:val="00E17A49"/>
    <w:rsid w:val="00E20D47"/>
    <w:rsid w:val="00E211ED"/>
    <w:rsid w:val="00E217FF"/>
    <w:rsid w:val="00E229AD"/>
    <w:rsid w:val="00E24AC1"/>
    <w:rsid w:val="00E26819"/>
    <w:rsid w:val="00E27336"/>
    <w:rsid w:val="00E27DE7"/>
    <w:rsid w:val="00E30A7E"/>
    <w:rsid w:val="00E313A7"/>
    <w:rsid w:val="00E32A06"/>
    <w:rsid w:val="00E334C4"/>
    <w:rsid w:val="00E33A95"/>
    <w:rsid w:val="00E34B3A"/>
    <w:rsid w:val="00E34BB7"/>
    <w:rsid w:val="00E357A1"/>
    <w:rsid w:val="00E359B1"/>
    <w:rsid w:val="00E36F84"/>
    <w:rsid w:val="00E40164"/>
    <w:rsid w:val="00E42B32"/>
    <w:rsid w:val="00E43E4D"/>
    <w:rsid w:val="00E442D2"/>
    <w:rsid w:val="00E45041"/>
    <w:rsid w:val="00E4508C"/>
    <w:rsid w:val="00E451FD"/>
    <w:rsid w:val="00E477BC"/>
    <w:rsid w:val="00E5213B"/>
    <w:rsid w:val="00E52AE7"/>
    <w:rsid w:val="00E53D4D"/>
    <w:rsid w:val="00E54534"/>
    <w:rsid w:val="00E54CE4"/>
    <w:rsid w:val="00E57166"/>
    <w:rsid w:val="00E57736"/>
    <w:rsid w:val="00E61FB6"/>
    <w:rsid w:val="00E620C2"/>
    <w:rsid w:val="00E6250D"/>
    <w:rsid w:val="00E64122"/>
    <w:rsid w:val="00E6488B"/>
    <w:rsid w:val="00E64F2D"/>
    <w:rsid w:val="00E66978"/>
    <w:rsid w:val="00E672B4"/>
    <w:rsid w:val="00E67307"/>
    <w:rsid w:val="00E7085D"/>
    <w:rsid w:val="00E70BE1"/>
    <w:rsid w:val="00E70D3F"/>
    <w:rsid w:val="00E724F0"/>
    <w:rsid w:val="00E73010"/>
    <w:rsid w:val="00E765BC"/>
    <w:rsid w:val="00E76F3C"/>
    <w:rsid w:val="00E8030A"/>
    <w:rsid w:val="00E82529"/>
    <w:rsid w:val="00E86962"/>
    <w:rsid w:val="00E91B88"/>
    <w:rsid w:val="00E91D63"/>
    <w:rsid w:val="00E953B5"/>
    <w:rsid w:val="00EA1939"/>
    <w:rsid w:val="00EA2555"/>
    <w:rsid w:val="00EA3D79"/>
    <w:rsid w:val="00EA409A"/>
    <w:rsid w:val="00EA5842"/>
    <w:rsid w:val="00EA6FA2"/>
    <w:rsid w:val="00EA7E63"/>
    <w:rsid w:val="00EB036B"/>
    <w:rsid w:val="00EB10B1"/>
    <w:rsid w:val="00EB12E8"/>
    <w:rsid w:val="00EB21B3"/>
    <w:rsid w:val="00EB22B2"/>
    <w:rsid w:val="00EB23A0"/>
    <w:rsid w:val="00EB279D"/>
    <w:rsid w:val="00EB30EA"/>
    <w:rsid w:val="00EB4847"/>
    <w:rsid w:val="00EB4C5E"/>
    <w:rsid w:val="00EB5011"/>
    <w:rsid w:val="00EB5079"/>
    <w:rsid w:val="00EB5405"/>
    <w:rsid w:val="00EB6FC4"/>
    <w:rsid w:val="00EC025E"/>
    <w:rsid w:val="00EC0837"/>
    <w:rsid w:val="00EC0F78"/>
    <w:rsid w:val="00EC52C9"/>
    <w:rsid w:val="00EC6650"/>
    <w:rsid w:val="00EC6EBC"/>
    <w:rsid w:val="00EC7F19"/>
    <w:rsid w:val="00ED0489"/>
    <w:rsid w:val="00ED20DB"/>
    <w:rsid w:val="00ED226A"/>
    <w:rsid w:val="00ED232D"/>
    <w:rsid w:val="00ED306A"/>
    <w:rsid w:val="00ED4088"/>
    <w:rsid w:val="00ED5B3E"/>
    <w:rsid w:val="00ED625D"/>
    <w:rsid w:val="00ED6B00"/>
    <w:rsid w:val="00ED7734"/>
    <w:rsid w:val="00EE0174"/>
    <w:rsid w:val="00EE1872"/>
    <w:rsid w:val="00EE3BFA"/>
    <w:rsid w:val="00EE42CC"/>
    <w:rsid w:val="00EE44F9"/>
    <w:rsid w:val="00EF0EFA"/>
    <w:rsid w:val="00EF3936"/>
    <w:rsid w:val="00EF4912"/>
    <w:rsid w:val="00EF4CC0"/>
    <w:rsid w:val="00EF5B8F"/>
    <w:rsid w:val="00EF74F9"/>
    <w:rsid w:val="00F00197"/>
    <w:rsid w:val="00F00742"/>
    <w:rsid w:val="00F00A8D"/>
    <w:rsid w:val="00F00EE2"/>
    <w:rsid w:val="00F0153B"/>
    <w:rsid w:val="00F01A18"/>
    <w:rsid w:val="00F01C3F"/>
    <w:rsid w:val="00F02131"/>
    <w:rsid w:val="00F02620"/>
    <w:rsid w:val="00F067AF"/>
    <w:rsid w:val="00F0795A"/>
    <w:rsid w:val="00F10938"/>
    <w:rsid w:val="00F12029"/>
    <w:rsid w:val="00F12287"/>
    <w:rsid w:val="00F130E2"/>
    <w:rsid w:val="00F13DB1"/>
    <w:rsid w:val="00F1453E"/>
    <w:rsid w:val="00F15865"/>
    <w:rsid w:val="00F15F0D"/>
    <w:rsid w:val="00F15F75"/>
    <w:rsid w:val="00F16034"/>
    <w:rsid w:val="00F16702"/>
    <w:rsid w:val="00F16A50"/>
    <w:rsid w:val="00F16E15"/>
    <w:rsid w:val="00F17E4F"/>
    <w:rsid w:val="00F20CDF"/>
    <w:rsid w:val="00F21E99"/>
    <w:rsid w:val="00F21F74"/>
    <w:rsid w:val="00F22571"/>
    <w:rsid w:val="00F258E8"/>
    <w:rsid w:val="00F2609C"/>
    <w:rsid w:val="00F26FCB"/>
    <w:rsid w:val="00F27864"/>
    <w:rsid w:val="00F311E3"/>
    <w:rsid w:val="00F3132E"/>
    <w:rsid w:val="00F32BEE"/>
    <w:rsid w:val="00F33DC3"/>
    <w:rsid w:val="00F34754"/>
    <w:rsid w:val="00F3483C"/>
    <w:rsid w:val="00F363F8"/>
    <w:rsid w:val="00F36C38"/>
    <w:rsid w:val="00F37587"/>
    <w:rsid w:val="00F44424"/>
    <w:rsid w:val="00F44635"/>
    <w:rsid w:val="00F4671F"/>
    <w:rsid w:val="00F46A47"/>
    <w:rsid w:val="00F47FEF"/>
    <w:rsid w:val="00F51305"/>
    <w:rsid w:val="00F533E0"/>
    <w:rsid w:val="00F5386C"/>
    <w:rsid w:val="00F53DD2"/>
    <w:rsid w:val="00F544B7"/>
    <w:rsid w:val="00F638E6"/>
    <w:rsid w:val="00F63AA6"/>
    <w:rsid w:val="00F64E67"/>
    <w:rsid w:val="00F667D6"/>
    <w:rsid w:val="00F703F2"/>
    <w:rsid w:val="00F71D92"/>
    <w:rsid w:val="00F756AA"/>
    <w:rsid w:val="00F77891"/>
    <w:rsid w:val="00F80975"/>
    <w:rsid w:val="00F813F1"/>
    <w:rsid w:val="00F841A7"/>
    <w:rsid w:val="00F844B2"/>
    <w:rsid w:val="00F84C17"/>
    <w:rsid w:val="00F856FA"/>
    <w:rsid w:val="00F8705F"/>
    <w:rsid w:val="00F91391"/>
    <w:rsid w:val="00F9147E"/>
    <w:rsid w:val="00F93843"/>
    <w:rsid w:val="00F947C3"/>
    <w:rsid w:val="00F949B6"/>
    <w:rsid w:val="00F96306"/>
    <w:rsid w:val="00F964A8"/>
    <w:rsid w:val="00FA01AA"/>
    <w:rsid w:val="00FA0903"/>
    <w:rsid w:val="00FA3928"/>
    <w:rsid w:val="00FA57B7"/>
    <w:rsid w:val="00FA6190"/>
    <w:rsid w:val="00FA64D2"/>
    <w:rsid w:val="00FA6CEC"/>
    <w:rsid w:val="00FA7158"/>
    <w:rsid w:val="00FB1958"/>
    <w:rsid w:val="00FB2304"/>
    <w:rsid w:val="00FC0FB9"/>
    <w:rsid w:val="00FC11C6"/>
    <w:rsid w:val="00FC1CC0"/>
    <w:rsid w:val="00FC24B1"/>
    <w:rsid w:val="00FC2C40"/>
    <w:rsid w:val="00FC3D21"/>
    <w:rsid w:val="00FC5D35"/>
    <w:rsid w:val="00FC5D85"/>
    <w:rsid w:val="00FC6213"/>
    <w:rsid w:val="00FC7C60"/>
    <w:rsid w:val="00FD06B9"/>
    <w:rsid w:val="00FD108A"/>
    <w:rsid w:val="00FD145A"/>
    <w:rsid w:val="00FD25B7"/>
    <w:rsid w:val="00FD2E8C"/>
    <w:rsid w:val="00FD3B36"/>
    <w:rsid w:val="00FD3F5D"/>
    <w:rsid w:val="00FD47D9"/>
    <w:rsid w:val="00FD4EBD"/>
    <w:rsid w:val="00FD53F0"/>
    <w:rsid w:val="00FD6AEC"/>
    <w:rsid w:val="00FD6F7B"/>
    <w:rsid w:val="00FD7660"/>
    <w:rsid w:val="00FD7694"/>
    <w:rsid w:val="00FD7FEB"/>
    <w:rsid w:val="00FE04A2"/>
    <w:rsid w:val="00FE1D9D"/>
    <w:rsid w:val="00FE27E4"/>
    <w:rsid w:val="00FE3680"/>
    <w:rsid w:val="00FE5F08"/>
    <w:rsid w:val="00FE7209"/>
    <w:rsid w:val="00FF0416"/>
    <w:rsid w:val="00FF1933"/>
    <w:rsid w:val="00FF2304"/>
    <w:rsid w:val="00FF5297"/>
    <w:rsid w:val="01001E15"/>
    <w:rsid w:val="01682146"/>
    <w:rsid w:val="017D2D1F"/>
    <w:rsid w:val="01966549"/>
    <w:rsid w:val="0198186C"/>
    <w:rsid w:val="01AC5DF9"/>
    <w:rsid w:val="01DD41C2"/>
    <w:rsid w:val="01E345AE"/>
    <w:rsid w:val="01E4148F"/>
    <w:rsid w:val="02101434"/>
    <w:rsid w:val="023B769A"/>
    <w:rsid w:val="024164DA"/>
    <w:rsid w:val="02790092"/>
    <w:rsid w:val="028820E8"/>
    <w:rsid w:val="029F2B68"/>
    <w:rsid w:val="02AC06FC"/>
    <w:rsid w:val="02F42900"/>
    <w:rsid w:val="02FA1195"/>
    <w:rsid w:val="0302618A"/>
    <w:rsid w:val="032D0B2F"/>
    <w:rsid w:val="03EB470A"/>
    <w:rsid w:val="044429C2"/>
    <w:rsid w:val="04564F01"/>
    <w:rsid w:val="04695794"/>
    <w:rsid w:val="04810C52"/>
    <w:rsid w:val="04862661"/>
    <w:rsid w:val="04972EB4"/>
    <w:rsid w:val="04A05004"/>
    <w:rsid w:val="04A57DAB"/>
    <w:rsid w:val="04A635F5"/>
    <w:rsid w:val="05122EEA"/>
    <w:rsid w:val="053E7A15"/>
    <w:rsid w:val="055B7332"/>
    <w:rsid w:val="056A3FE9"/>
    <w:rsid w:val="058C77EF"/>
    <w:rsid w:val="059F4FD1"/>
    <w:rsid w:val="05AF0D86"/>
    <w:rsid w:val="05BE2B4E"/>
    <w:rsid w:val="05D070DB"/>
    <w:rsid w:val="05D44C82"/>
    <w:rsid w:val="060523AD"/>
    <w:rsid w:val="061D0302"/>
    <w:rsid w:val="064F66A3"/>
    <w:rsid w:val="065F0FCA"/>
    <w:rsid w:val="066F200F"/>
    <w:rsid w:val="067A02E5"/>
    <w:rsid w:val="067C7D80"/>
    <w:rsid w:val="069C1DC3"/>
    <w:rsid w:val="06A00B12"/>
    <w:rsid w:val="06AA240D"/>
    <w:rsid w:val="06D7755B"/>
    <w:rsid w:val="06E6452A"/>
    <w:rsid w:val="071D6B91"/>
    <w:rsid w:val="07205F42"/>
    <w:rsid w:val="07234A9B"/>
    <w:rsid w:val="072D7269"/>
    <w:rsid w:val="074273A6"/>
    <w:rsid w:val="075A7BFD"/>
    <w:rsid w:val="07B129D2"/>
    <w:rsid w:val="07B77118"/>
    <w:rsid w:val="07C558B9"/>
    <w:rsid w:val="07D0362B"/>
    <w:rsid w:val="08081A1B"/>
    <w:rsid w:val="081A45F4"/>
    <w:rsid w:val="08254790"/>
    <w:rsid w:val="0848623A"/>
    <w:rsid w:val="08674098"/>
    <w:rsid w:val="089963F4"/>
    <w:rsid w:val="08F03474"/>
    <w:rsid w:val="09162A16"/>
    <w:rsid w:val="091A7535"/>
    <w:rsid w:val="091D497D"/>
    <w:rsid w:val="092E369A"/>
    <w:rsid w:val="09557421"/>
    <w:rsid w:val="09642659"/>
    <w:rsid w:val="098118B6"/>
    <w:rsid w:val="09B14F92"/>
    <w:rsid w:val="09BF626E"/>
    <w:rsid w:val="0A2B3B75"/>
    <w:rsid w:val="0A382C50"/>
    <w:rsid w:val="0A50402E"/>
    <w:rsid w:val="0A6A1BD4"/>
    <w:rsid w:val="0A897EA0"/>
    <w:rsid w:val="0AB86C5C"/>
    <w:rsid w:val="0AC01DD5"/>
    <w:rsid w:val="0AC34AEB"/>
    <w:rsid w:val="0AD96324"/>
    <w:rsid w:val="0AEF58AD"/>
    <w:rsid w:val="0AFE39F5"/>
    <w:rsid w:val="0AFE687F"/>
    <w:rsid w:val="0B294C31"/>
    <w:rsid w:val="0B3B6521"/>
    <w:rsid w:val="0B61253C"/>
    <w:rsid w:val="0B7216D3"/>
    <w:rsid w:val="0B7F7677"/>
    <w:rsid w:val="0BDC6843"/>
    <w:rsid w:val="0BE307CB"/>
    <w:rsid w:val="0C12283C"/>
    <w:rsid w:val="0C13013B"/>
    <w:rsid w:val="0C1F073A"/>
    <w:rsid w:val="0C606D18"/>
    <w:rsid w:val="0C6101CD"/>
    <w:rsid w:val="0C7C38C4"/>
    <w:rsid w:val="0C84565F"/>
    <w:rsid w:val="0CA3013F"/>
    <w:rsid w:val="0CC50503"/>
    <w:rsid w:val="0CC83B28"/>
    <w:rsid w:val="0CC87C49"/>
    <w:rsid w:val="0CCA3B52"/>
    <w:rsid w:val="0D213998"/>
    <w:rsid w:val="0D2C1997"/>
    <w:rsid w:val="0D344BBB"/>
    <w:rsid w:val="0D7908CD"/>
    <w:rsid w:val="0D7F4256"/>
    <w:rsid w:val="0D842038"/>
    <w:rsid w:val="0DC437DB"/>
    <w:rsid w:val="0E1C4090"/>
    <w:rsid w:val="0E1C5AFD"/>
    <w:rsid w:val="0E3E5F3C"/>
    <w:rsid w:val="0E5D118A"/>
    <w:rsid w:val="0E6D7440"/>
    <w:rsid w:val="0E823F28"/>
    <w:rsid w:val="0E8D6C2C"/>
    <w:rsid w:val="0E932AA1"/>
    <w:rsid w:val="0EBE69D9"/>
    <w:rsid w:val="0ECB20BE"/>
    <w:rsid w:val="0EEB113D"/>
    <w:rsid w:val="0EF61473"/>
    <w:rsid w:val="0F4A5D5D"/>
    <w:rsid w:val="0F7347A4"/>
    <w:rsid w:val="0F8B77D5"/>
    <w:rsid w:val="0F944885"/>
    <w:rsid w:val="0FA25AF2"/>
    <w:rsid w:val="0FA83AEC"/>
    <w:rsid w:val="0FBE5D9F"/>
    <w:rsid w:val="0FD36B3B"/>
    <w:rsid w:val="0FD47E3C"/>
    <w:rsid w:val="101260B2"/>
    <w:rsid w:val="1018216D"/>
    <w:rsid w:val="102173FB"/>
    <w:rsid w:val="10256C94"/>
    <w:rsid w:val="1028597F"/>
    <w:rsid w:val="10370220"/>
    <w:rsid w:val="104416C8"/>
    <w:rsid w:val="1051696C"/>
    <w:rsid w:val="107728F9"/>
    <w:rsid w:val="107C0AD5"/>
    <w:rsid w:val="108834DF"/>
    <w:rsid w:val="10A416B6"/>
    <w:rsid w:val="10AD1231"/>
    <w:rsid w:val="10B306BD"/>
    <w:rsid w:val="10F031FA"/>
    <w:rsid w:val="10FE73BE"/>
    <w:rsid w:val="111B4AA2"/>
    <w:rsid w:val="11497A7D"/>
    <w:rsid w:val="114B33CD"/>
    <w:rsid w:val="116D5365"/>
    <w:rsid w:val="118C6292"/>
    <w:rsid w:val="11C5544D"/>
    <w:rsid w:val="120B242D"/>
    <w:rsid w:val="120E6AD9"/>
    <w:rsid w:val="121477AB"/>
    <w:rsid w:val="1220793F"/>
    <w:rsid w:val="1227630D"/>
    <w:rsid w:val="12594533"/>
    <w:rsid w:val="125D64CF"/>
    <w:rsid w:val="127739F2"/>
    <w:rsid w:val="12AC3037"/>
    <w:rsid w:val="12AE3370"/>
    <w:rsid w:val="12B16A9E"/>
    <w:rsid w:val="12B2666E"/>
    <w:rsid w:val="12CC69A3"/>
    <w:rsid w:val="12EE66B1"/>
    <w:rsid w:val="12FA1EB6"/>
    <w:rsid w:val="13272F7A"/>
    <w:rsid w:val="13361405"/>
    <w:rsid w:val="13780D69"/>
    <w:rsid w:val="137A2F78"/>
    <w:rsid w:val="13B9577F"/>
    <w:rsid w:val="14242A20"/>
    <w:rsid w:val="1452749D"/>
    <w:rsid w:val="14877A3D"/>
    <w:rsid w:val="148C62E1"/>
    <w:rsid w:val="14922F3A"/>
    <w:rsid w:val="14946370"/>
    <w:rsid w:val="14A752F0"/>
    <w:rsid w:val="14AC5001"/>
    <w:rsid w:val="14CA7B69"/>
    <w:rsid w:val="14FD2A2E"/>
    <w:rsid w:val="15081429"/>
    <w:rsid w:val="150E6E01"/>
    <w:rsid w:val="15136A33"/>
    <w:rsid w:val="15140673"/>
    <w:rsid w:val="153D5CAE"/>
    <w:rsid w:val="154950C5"/>
    <w:rsid w:val="158A718E"/>
    <w:rsid w:val="15CE1415"/>
    <w:rsid w:val="15EA5123"/>
    <w:rsid w:val="16140FA1"/>
    <w:rsid w:val="16313179"/>
    <w:rsid w:val="165923BB"/>
    <w:rsid w:val="1665613C"/>
    <w:rsid w:val="16B56EA5"/>
    <w:rsid w:val="16C50D75"/>
    <w:rsid w:val="16DD2C2C"/>
    <w:rsid w:val="170610F8"/>
    <w:rsid w:val="17126E39"/>
    <w:rsid w:val="174F49CD"/>
    <w:rsid w:val="176A56C2"/>
    <w:rsid w:val="176D2C29"/>
    <w:rsid w:val="179C380B"/>
    <w:rsid w:val="17AB0959"/>
    <w:rsid w:val="17B648CC"/>
    <w:rsid w:val="17DE1291"/>
    <w:rsid w:val="18AB0FDA"/>
    <w:rsid w:val="18AD553C"/>
    <w:rsid w:val="18D47B41"/>
    <w:rsid w:val="190A40B1"/>
    <w:rsid w:val="193233B3"/>
    <w:rsid w:val="19694521"/>
    <w:rsid w:val="196D5335"/>
    <w:rsid w:val="197039DA"/>
    <w:rsid w:val="197772D6"/>
    <w:rsid w:val="19A67A64"/>
    <w:rsid w:val="19B95D40"/>
    <w:rsid w:val="19BF0C31"/>
    <w:rsid w:val="19CE5C01"/>
    <w:rsid w:val="19E43962"/>
    <w:rsid w:val="19F26C9A"/>
    <w:rsid w:val="1A6D597B"/>
    <w:rsid w:val="1A9609E5"/>
    <w:rsid w:val="1ACC2467"/>
    <w:rsid w:val="1ACE4D14"/>
    <w:rsid w:val="1AD027EB"/>
    <w:rsid w:val="1AD8706B"/>
    <w:rsid w:val="1B1067A4"/>
    <w:rsid w:val="1B2C5E4B"/>
    <w:rsid w:val="1B4874D7"/>
    <w:rsid w:val="1B575597"/>
    <w:rsid w:val="1BA700D2"/>
    <w:rsid w:val="1C2844A0"/>
    <w:rsid w:val="1C420503"/>
    <w:rsid w:val="1C525155"/>
    <w:rsid w:val="1C8E406A"/>
    <w:rsid w:val="1CF14E2A"/>
    <w:rsid w:val="1CF27B09"/>
    <w:rsid w:val="1CFF1026"/>
    <w:rsid w:val="1D24348A"/>
    <w:rsid w:val="1D5408EF"/>
    <w:rsid w:val="1D5D5368"/>
    <w:rsid w:val="1D9B7242"/>
    <w:rsid w:val="1D9F6CD4"/>
    <w:rsid w:val="1DEA3522"/>
    <w:rsid w:val="1E053181"/>
    <w:rsid w:val="1E13401C"/>
    <w:rsid w:val="1E414C2F"/>
    <w:rsid w:val="1E474BEE"/>
    <w:rsid w:val="1E584A03"/>
    <w:rsid w:val="1E7B2E90"/>
    <w:rsid w:val="1E835E6A"/>
    <w:rsid w:val="1EA705ED"/>
    <w:rsid w:val="1EB401AB"/>
    <w:rsid w:val="1EB67161"/>
    <w:rsid w:val="1EDA3596"/>
    <w:rsid w:val="1EDC0931"/>
    <w:rsid w:val="1F302C65"/>
    <w:rsid w:val="1F44792A"/>
    <w:rsid w:val="1F6670ED"/>
    <w:rsid w:val="1F6E547F"/>
    <w:rsid w:val="1F8007B8"/>
    <w:rsid w:val="1F8B1B13"/>
    <w:rsid w:val="1FE271D5"/>
    <w:rsid w:val="1FE501FD"/>
    <w:rsid w:val="1FEB5623"/>
    <w:rsid w:val="1FEF712E"/>
    <w:rsid w:val="2026733C"/>
    <w:rsid w:val="20611216"/>
    <w:rsid w:val="20621FC3"/>
    <w:rsid w:val="20867EBC"/>
    <w:rsid w:val="2099410A"/>
    <w:rsid w:val="20D7755A"/>
    <w:rsid w:val="20DF48B4"/>
    <w:rsid w:val="20E35BE9"/>
    <w:rsid w:val="20E6532B"/>
    <w:rsid w:val="21156A1C"/>
    <w:rsid w:val="21310B1A"/>
    <w:rsid w:val="21353F88"/>
    <w:rsid w:val="21582C9B"/>
    <w:rsid w:val="218A325D"/>
    <w:rsid w:val="21AE3E3A"/>
    <w:rsid w:val="22083849"/>
    <w:rsid w:val="22193302"/>
    <w:rsid w:val="22255D12"/>
    <w:rsid w:val="22660001"/>
    <w:rsid w:val="227605BB"/>
    <w:rsid w:val="229F4199"/>
    <w:rsid w:val="22BD7457"/>
    <w:rsid w:val="22E36C68"/>
    <w:rsid w:val="23476928"/>
    <w:rsid w:val="23550037"/>
    <w:rsid w:val="235E3944"/>
    <w:rsid w:val="23B073D3"/>
    <w:rsid w:val="23E502C6"/>
    <w:rsid w:val="23EB7C72"/>
    <w:rsid w:val="23F22595"/>
    <w:rsid w:val="2422296D"/>
    <w:rsid w:val="2426102C"/>
    <w:rsid w:val="244E349E"/>
    <w:rsid w:val="24666EE4"/>
    <w:rsid w:val="24701946"/>
    <w:rsid w:val="24772DE1"/>
    <w:rsid w:val="24AA7DF8"/>
    <w:rsid w:val="24BA2272"/>
    <w:rsid w:val="24C7160C"/>
    <w:rsid w:val="24E206D9"/>
    <w:rsid w:val="25280AEE"/>
    <w:rsid w:val="253004CF"/>
    <w:rsid w:val="253A7146"/>
    <w:rsid w:val="25846666"/>
    <w:rsid w:val="25E42F4C"/>
    <w:rsid w:val="261074AD"/>
    <w:rsid w:val="261C46B1"/>
    <w:rsid w:val="26284BE7"/>
    <w:rsid w:val="26700563"/>
    <w:rsid w:val="267F4B9F"/>
    <w:rsid w:val="26977C44"/>
    <w:rsid w:val="26DE23CE"/>
    <w:rsid w:val="26F42E9C"/>
    <w:rsid w:val="2703128E"/>
    <w:rsid w:val="270A5EB3"/>
    <w:rsid w:val="27166A22"/>
    <w:rsid w:val="273415EF"/>
    <w:rsid w:val="2763069C"/>
    <w:rsid w:val="27CA536D"/>
    <w:rsid w:val="27D87113"/>
    <w:rsid w:val="27E75A20"/>
    <w:rsid w:val="280D4269"/>
    <w:rsid w:val="284B0B33"/>
    <w:rsid w:val="284B58E2"/>
    <w:rsid w:val="2857308D"/>
    <w:rsid w:val="285E7E52"/>
    <w:rsid w:val="289B47AA"/>
    <w:rsid w:val="289D1723"/>
    <w:rsid w:val="28A21BB6"/>
    <w:rsid w:val="28CE632C"/>
    <w:rsid w:val="28F24BD1"/>
    <w:rsid w:val="2914325F"/>
    <w:rsid w:val="29580E55"/>
    <w:rsid w:val="29613214"/>
    <w:rsid w:val="297D7D58"/>
    <w:rsid w:val="2A0A4057"/>
    <w:rsid w:val="2A1A3E75"/>
    <w:rsid w:val="2A1F09F7"/>
    <w:rsid w:val="2A2B045D"/>
    <w:rsid w:val="2A2F63DF"/>
    <w:rsid w:val="2A536944"/>
    <w:rsid w:val="2A68129C"/>
    <w:rsid w:val="2A703001"/>
    <w:rsid w:val="2A825D75"/>
    <w:rsid w:val="2A8455C0"/>
    <w:rsid w:val="2A927AF4"/>
    <w:rsid w:val="2AAC57FC"/>
    <w:rsid w:val="2AC57B6D"/>
    <w:rsid w:val="2ACA0963"/>
    <w:rsid w:val="2ACE5E57"/>
    <w:rsid w:val="2AFE6487"/>
    <w:rsid w:val="2B026B6A"/>
    <w:rsid w:val="2B277B63"/>
    <w:rsid w:val="2B567AF4"/>
    <w:rsid w:val="2B670D75"/>
    <w:rsid w:val="2B7C2596"/>
    <w:rsid w:val="2B874C1C"/>
    <w:rsid w:val="2BE905FE"/>
    <w:rsid w:val="2BF0650D"/>
    <w:rsid w:val="2C056F32"/>
    <w:rsid w:val="2C073CF8"/>
    <w:rsid w:val="2C1F3615"/>
    <w:rsid w:val="2C4F7C16"/>
    <w:rsid w:val="2C743B66"/>
    <w:rsid w:val="2CAC008E"/>
    <w:rsid w:val="2CE23E10"/>
    <w:rsid w:val="2D023258"/>
    <w:rsid w:val="2D302376"/>
    <w:rsid w:val="2D4430E7"/>
    <w:rsid w:val="2D577C24"/>
    <w:rsid w:val="2D63682A"/>
    <w:rsid w:val="2D8F7C42"/>
    <w:rsid w:val="2DA15A3A"/>
    <w:rsid w:val="2DB407F3"/>
    <w:rsid w:val="2DE2584A"/>
    <w:rsid w:val="2E003688"/>
    <w:rsid w:val="2E0D0740"/>
    <w:rsid w:val="2E49213C"/>
    <w:rsid w:val="2E4C0B8C"/>
    <w:rsid w:val="2E67006F"/>
    <w:rsid w:val="2E694D3E"/>
    <w:rsid w:val="2E773C34"/>
    <w:rsid w:val="2E875C48"/>
    <w:rsid w:val="2E9824AB"/>
    <w:rsid w:val="2E9B4249"/>
    <w:rsid w:val="2E9D17EB"/>
    <w:rsid w:val="2EB81304"/>
    <w:rsid w:val="2EBF7D19"/>
    <w:rsid w:val="2F0F4BAF"/>
    <w:rsid w:val="2F187B7D"/>
    <w:rsid w:val="2F2537F2"/>
    <w:rsid w:val="2F2B230B"/>
    <w:rsid w:val="2F4720FB"/>
    <w:rsid w:val="2F4C28B1"/>
    <w:rsid w:val="2F517B36"/>
    <w:rsid w:val="2F72633A"/>
    <w:rsid w:val="2F893355"/>
    <w:rsid w:val="2FC31341"/>
    <w:rsid w:val="2FD05083"/>
    <w:rsid w:val="2FF77F3F"/>
    <w:rsid w:val="305E03E8"/>
    <w:rsid w:val="3069595F"/>
    <w:rsid w:val="30843362"/>
    <w:rsid w:val="30945D00"/>
    <w:rsid w:val="30962127"/>
    <w:rsid w:val="30C4049D"/>
    <w:rsid w:val="30CD07F3"/>
    <w:rsid w:val="30E365D5"/>
    <w:rsid w:val="30E766F3"/>
    <w:rsid w:val="313E08F3"/>
    <w:rsid w:val="31570E00"/>
    <w:rsid w:val="31700A39"/>
    <w:rsid w:val="31704514"/>
    <w:rsid w:val="31816DAF"/>
    <w:rsid w:val="319A085D"/>
    <w:rsid w:val="31B1462B"/>
    <w:rsid w:val="31C9657A"/>
    <w:rsid w:val="31D003EB"/>
    <w:rsid w:val="31E37099"/>
    <w:rsid w:val="32290279"/>
    <w:rsid w:val="322D5960"/>
    <w:rsid w:val="32527C83"/>
    <w:rsid w:val="325F53B6"/>
    <w:rsid w:val="32655415"/>
    <w:rsid w:val="32756596"/>
    <w:rsid w:val="3294292F"/>
    <w:rsid w:val="32A962BF"/>
    <w:rsid w:val="32F07D5C"/>
    <w:rsid w:val="33092CE8"/>
    <w:rsid w:val="333E4B12"/>
    <w:rsid w:val="33A06705"/>
    <w:rsid w:val="33A57424"/>
    <w:rsid w:val="33B74880"/>
    <w:rsid w:val="33D80D3F"/>
    <w:rsid w:val="33EE637D"/>
    <w:rsid w:val="344352E2"/>
    <w:rsid w:val="34624864"/>
    <w:rsid w:val="346D778B"/>
    <w:rsid w:val="348B5FA9"/>
    <w:rsid w:val="34AE59AA"/>
    <w:rsid w:val="34E63D4F"/>
    <w:rsid w:val="353A3B24"/>
    <w:rsid w:val="35746954"/>
    <w:rsid w:val="35B629C4"/>
    <w:rsid w:val="35F72828"/>
    <w:rsid w:val="3633583B"/>
    <w:rsid w:val="363C359C"/>
    <w:rsid w:val="36777823"/>
    <w:rsid w:val="367B0D86"/>
    <w:rsid w:val="36914CBC"/>
    <w:rsid w:val="369B06A2"/>
    <w:rsid w:val="36AB2F9F"/>
    <w:rsid w:val="36AF1C31"/>
    <w:rsid w:val="36B27BFF"/>
    <w:rsid w:val="36BB7043"/>
    <w:rsid w:val="36DE2E4C"/>
    <w:rsid w:val="36F11025"/>
    <w:rsid w:val="370655C1"/>
    <w:rsid w:val="37537249"/>
    <w:rsid w:val="377D7EC2"/>
    <w:rsid w:val="37B4486C"/>
    <w:rsid w:val="37BF28B0"/>
    <w:rsid w:val="37C125AD"/>
    <w:rsid w:val="37C83765"/>
    <w:rsid w:val="37CA28A7"/>
    <w:rsid w:val="37CB0B6E"/>
    <w:rsid w:val="37DE7948"/>
    <w:rsid w:val="37FB2519"/>
    <w:rsid w:val="38487464"/>
    <w:rsid w:val="3860698D"/>
    <w:rsid w:val="386F51CA"/>
    <w:rsid w:val="387006A5"/>
    <w:rsid w:val="38927B5B"/>
    <w:rsid w:val="38A316BD"/>
    <w:rsid w:val="38D87BFC"/>
    <w:rsid w:val="390943B3"/>
    <w:rsid w:val="391D76E1"/>
    <w:rsid w:val="39C2411A"/>
    <w:rsid w:val="39E364AA"/>
    <w:rsid w:val="39F111DE"/>
    <w:rsid w:val="3A1D3D59"/>
    <w:rsid w:val="3A22476C"/>
    <w:rsid w:val="3A690764"/>
    <w:rsid w:val="3AA71527"/>
    <w:rsid w:val="3ACB0BE3"/>
    <w:rsid w:val="3AE3102C"/>
    <w:rsid w:val="3B5C18EA"/>
    <w:rsid w:val="3B7E6C11"/>
    <w:rsid w:val="3B9F1A5A"/>
    <w:rsid w:val="3BAA4A5F"/>
    <w:rsid w:val="3C080FAE"/>
    <w:rsid w:val="3C145E47"/>
    <w:rsid w:val="3C256528"/>
    <w:rsid w:val="3C3C1C9A"/>
    <w:rsid w:val="3C541570"/>
    <w:rsid w:val="3C6E37E5"/>
    <w:rsid w:val="3C7922D7"/>
    <w:rsid w:val="3C9342B0"/>
    <w:rsid w:val="3CAD36D2"/>
    <w:rsid w:val="3CC81535"/>
    <w:rsid w:val="3CD26729"/>
    <w:rsid w:val="3CEA275C"/>
    <w:rsid w:val="3CEC25F5"/>
    <w:rsid w:val="3CF50FF2"/>
    <w:rsid w:val="3CFA6C83"/>
    <w:rsid w:val="3CFF3626"/>
    <w:rsid w:val="3D052A2E"/>
    <w:rsid w:val="3D0659AA"/>
    <w:rsid w:val="3D602B13"/>
    <w:rsid w:val="3D8F09E6"/>
    <w:rsid w:val="3DB06FD6"/>
    <w:rsid w:val="3DB946E3"/>
    <w:rsid w:val="3DEB5DAB"/>
    <w:rsid w:val="3DF86BB0"/>
    <w:rsid w:val="3E0755D2"/>
    <w:rsid w:val="3E213103"/>
    <w:rsid w:val="3E361F66"/>
    <w:rsid w:val="3E9574BA"/>
    <w:rsid w:val="3E9B4698"/>
    <w:rsid w:val="3EA7555E"/>
    <w:rsid w:val="3EA826CA"/>
    <w:rsid w:val="3EB623DD"/>
    <w:rsid w:val="3EBC2053"/>
    <w:rsid w:val="3ED16BCE"/>
    <w:rsid w:val="3EF35410"/>
    <w:rsid w:val="3EF64E80"/>
    <w:rsid w:val="3EF65574"/>
    <w:rsid w:val="3EF74D5D"/>
    <w:rsid w:val="3F0E3644"/>
    <w:rsid w:val="3F2C6D83"/>
    <w:rsid w:val="3F6566F9"/>
    <w:rsid w:val="3FC67EF2"/>
    <w:rsid w:val="40024B2B"/>
    <w:rsid w:val="40095305"/>
    <w:rsid w:val="40115AEB"/>
    <w:rsid w:val="401869D9"/>
    <w:rsid w:val="4019384B"/>
    <w:rsid w:val="40417EA6"/>
    <w:rsid w:val="40454B26"/>
    <w:rsid w:val="404D6F26"/>
    <w:rsid w:val="4068392C"/>
    <w:rsid w:val="4073545D"/>
    <w:rsid w:val="40EA2C99"/>
    <w:rsid w:val="40F15BB0"/>
    <w:rsid w:val="411E4CFA"/>
    <w:rsid w:val="41AF35D2"/>
    <w:rsid w:val="422C654A"/>
    <w:rsid w:val="423B3320"/>
    <w:rsid w:val="42474BD5"/>
    <w:rsid w:val="424A6855"/>
    <w:rsid w:val="42847BD2"/>
    <w:rsid w:val="428739CE"/>
    <w:rsid w:val="42B308CF"/>
    <w:rsid w:val="42BC3919"/>
    <w:rsid w:val="42D9273C"/>
    <w:rsid w:val="42F830BA"/>
    <w:rsid w:val="43001D3E"/>
    <w:rsid w:val="433247B7"/>
    <w:rsid w:val="434F5EDE"/>
    <w:rsid w:val="43512594"/>
    <w:rsid w:val="435D7C4C"/>
    <w:rsid w:val="4373669D"/>
    <w:rsid w:val="43742B4E"/>
    <w:rsid w:val="438927DA"/>
    <w:rsid w:val="43A10AE3"/>
    <w:rsid w:val="43A24D63"/>
    <w:rsid w:val="43CC6434"/>
    <w:rsid w:val="44144A26"/>
    <w:rsid w:val="4450655D"/>
    <w:rsid w:val="44C21E7F"/>
    <w:rsid w:val="44D409B2"/>
    <w:rsid w:val="44D81835"/>
    <w:rsid w:val="44EA1C5C"/>
    <w:rsid w:val="44FE4FE6"/>
    <w:rsid w:val="4508749B"/>
    <w:rsid w:val="451A1619"/>
    <w:rsid w:val="4538652E"/>
    <w:rsid w:val="45446C5B"/>
    <w:rsid w:val="455A3BE0"/>
    <w:rsid w:val="45631DE6"/>
    <w:rsid w:val="45BE46D0"/>
    <w:rsid w:val="461D5993"/>
    <w:rsid w:val="4626303F"/>
    <w:rsid w:val="463D43BC"/>
    <w:rsid w:val="463E3B5B"/>
    <w:rsid w:val="4686120C"/>
    <w:rsid w:val="46A40348"/>
    <w:rsid w:val="46A42944"/>
    <w:rsid w:val="46BF5F95"/>
    <w:rsid w:val="46F44C0D"/>
    <w:rsid w:val="47422D75"/>
    <w:rsid w:val="47C4700F"/>
    <w:rsid w:val="47F10090"/>
    <w:rsid w:val="480A6EB1"/>
    <w:rsid w:val="482805E7"/>
    <w:rsid w:val="484A4B13"/>
    <w:rsid w:val="48EC6CE0"/>
    <w:rsid w:val="490B1841"/>
    <w:rsid w:val="491178F4"/>
    <w:rsid w:val="493D7EB8"/>
    <w:rsid w:val="494D402D"/>
    <w:rsid w:val="49602710"/>
    <w:rsid w:val="49810EE2"/>
    <w:rsid w:val="49837706"/>
    <w:rsid w:val="4A295537"/>
    <w:rsid w:val="4A2C24CF"/>
    <w:rsid w:val="4A340D7B"/>
    <w:rsid w:val="4A5F084F"/>
    <w:rsid w:val="4A754721"/>
    <w:rsid w:val="4A83134F"/>
    <w:rsid w:val="4AD621E9"/>
    <w:rsid w:val="4B04790D"/>
    <w:rsid w:val="4B1C5E3D"/>
    <w:rsid w:val="4B212DAF"/>
    <w:rsid w:val="4B3D2633"/>
    <w:rsid w:val="4B513EF9"/>
    <w:rsid w:val="4B777B2B"/>
    <w:rsid w:val="4B8D60C9"/>
    <w:rsid w:val="4BA40563"/>
    <w:rsid w:val="4BAF0E92"/>
    <w:rsid w:val="4BD42F60"/>
    <w:rsid w:val="4C795D79"/>
    <w:rsid w:val="4C8814CF"/>
    <w:rsid w:val="4CA06FAD"/>
    <w:rsid w:val="4CC01258"/>
    <w:rsid w:val="4CDC302C"/>
    <w:rsid w:val="4CE15AB0"/>
    <w:rsid w:val="4D5F0096"/>
    <w:rsid w:val="4D692F51"/>
    <w:rsid w:val="4D823B9B"/>
    <w:rsid w:val="4D830101"/>
    <w:rsid w:val="4D8F462F"/>
    <w:rsid w:val="4DB63C6E"/>
    <w:rsid w:val="4DC21407"/>
    <w:rsid w:val="4E0373B3"/>
    <w:rsid w:val="4E1D544D"/>
    <w:rsid w:val="4E4168DE"/>
    <w:rsid w:val="4E5A5EEF"/>
    <w:rsid w:val="4E7E543D"/>
    <w:rsid w:val="4E8F4E02"/>
    <w:rsid w:val="4E917647"/>
    <w:rsid w:val="4E927C05"/>
    <w:rsid w:val="4EB3025E"/>
    <w:rsid w:val="4EE53A50"/>
    <w:rsid w:val="4F174104"/>
    <w:rsid w:val="4F262EAE"/>
    <w:rsid w:val="4F6449F0"/>
    <w:rsid w:val="4FA15633"/>
    <w:rsid w:val="4FAA13C7"/>
    <w:rsid w:val="4FAA5715"/>
    <w:rsid w:val="4FBD38DE"/>
    <w:rsid w:val="4FD03A76"/>
    <w:rsid w:val="4FDA6D84"/>
    <w:rsid w:val="4FDD4C36"/>
    <w:rsid w:val="4FEF1990"/>
    <w:rsid w:val="50090FD4"/>
    <w:rsid w:val="50334BAB"/>
    <w:rsid w:val="503A0AC9"/>
    <w:rsid w:val="504036C6"/>
    <w:rsid w:val="507C59AC"/>
    <w:rsid w:val="50AC1BAF"/>
    <w:rsid w:val="5116342E"/>
    <w:rsid w:val="511B5AEC"/>
    <w:rsid w:val="512706FA"/>
    <w:rsid w:val="513F6058"/>
    <w:rsid w:val="514A5027"/>
    <w:rsid w:val="514F1E89"/>
    <w:rsid w:val="5214061D"/>
    <w:rsid w:val="523B2FA4"/>
    <w:rsid w:val="52655DBB"/>
    <w:rsid w:val="526F6D01"/>
    <w:rsid w:val="52A3690D"/>
    <w:rsid w:val="52A4746A"/>
    <w:rsid w:val="52B11C55"/>
    <w:rsid w:val="52BF6755"/>
    <w:rsid w:val="52C553E8"/>
    <w:rsid w:val="531269BE"/>
    <w:rsid w:val="53131876"/>
    <w:rsid w:val="534149C0"/>
    <w:rsid w:val="53417BDE"/>
    <w:rsid w:val="535E1B1A"/>
    <w:rsid w:val="538C361F"/>
    <w:rsid w:val="538E4E0E"/>
    <w:rsid w:val="53986FA1"/>
    <w:rsid w:val="539B3D11"/>
    <w:rsid w:val="53A476F3"/>
    <w:rsid w:val="53C176EF"/>
    <w:rsid w:val="53CE4D8C"/>
    <w:rsid w:val="53E378B1"/>
    <w:rsid w:val="53FE35C2"/>
    <w:rsid w:val="540168F4"/>
    <w:rsid w:val="543F4ECD"/>
    <w:rsid w:val="548430A3"/>
    <w:rsid w:val="55056B34"/>
    <w:rsid w:val="55684A1A"/>
    <w:rsid w:val="55930B2C"/>
    <w:rsid w:val="559521BD"/>
    <w:rsid w:val="55A056E0"/>
    <w:rsid w:val="55AD43BA"/>
    <w:rsid w:val="55C81083"/>
    <w:rsid w:val="55CA6BD2"/>
    <w:rsid w:val="55F72D92"/>
    <w:rsid w:val="56155E37"/>
    <w:rsid w:val="56231C41"/>
    <w:rsid w:val="564163D1"/>
    <w:rsid w:val="564D6A26"/>
    <w:rsid w:val="56AA3629"/>
    <w:rsid w:val="56AC2568"/>
    <w:rsid w:val="56C41358"/>
    <w:rsid w:val="56DD2A92"/>
    <w:rsid w:val="57132F6C"/>
    <w:rsid w:val="57321C84"/>
    <w:rsid w:val="57732E88"/>
    <w:rsid w:val="577B5E13"/>
    <w:rsid w:val="5782519E"/>
    <w:rsid w:val="578C4726"/>
    <w:rsid w:val="579E53D7"/>
    <w:rsid w:val="57A44EC0"/>
    <w:rsid w:val="57A70E21"/>
    <w:rsid w:val="57DC3357"/>
    <w:rsid w:val="57E26ABC"/>
    <w:rsid w:val="57E9504D"/>
    <w:rsid w:val="57ED4190"/>
    <w:rsid w:val="58265470"/>
    <w:rsid w:val="582664D1"/>
    <w:rsid w:val="58310F9B"/>
    <w:rsid w:val="58311772"/>
    <w:rsid w:val="583A6878"/>
    <w:rsid w:val="584C299A"/>
    <w:rsid w:val="585E3CC8"/>
    <w:rsid w:val="58754A86"/>
    <w:rsid w:val="587B2CDE"/>
    <w:rsid w:val="588A63B0"/>
    <w:rsid w:val="58BC7AA4"/>
    <w:rsid w:val="58CC50CD"/>
    <w:rsid w:val="58E54DF2"/>
    <w:rsid w:val="58F80B80"/>
    <w:rsid w:val="593475CA"/>
    <w:rsid w:val="59A40FE5"/>
    <w:rsid w:val="59BE55DC"/>
    <w:rsid w:val="59DF65CD"/>
    <w:rsid w:val="59EC5D9C"/>
    <w:rsid w:val="5A1A7162"/>
    <w:rsid w:val="5A2F0903"/>
    <w:rsid w:val="5A3508BF"/>
    <w:rsid w:val="5A753690"/>
    <w:rsid w:val="5A9D701A"/>
    <w:rsid w:val="5AA20705"/>
    <w:rsid w:val="5AC35526"/>
    <w:rsid w:val="5AD230A1"/>
    <w:rsid w:val="5AE75489"/>
    <w:rsid w:val="5AF17AEE"/>
    <w:rsid w:val="5B0E4680"/>
    <w:rsid w:val="5B543D4B"/>
    <w:rsid w:val="5B5C368E"/>
    <w:rsid w:val="5C021D5C"/>
    <w:rsid w:val="5C12484B"/>
    <w:rsid w:val="5CA93512"/>
    <w:rsid w:val="5CD033D2"/>
    <w:rsid w:val="5CD746C6"/>
    <w:rsid w:val="5D02224E"/>
    <w:rsid w:val="5D0B433F"/>
    <w:rsid w:val="5D1F7DEB"/>
    <w:rsid w:val="5D256F17"/>
    <w:rsid w:val="5D3123BC"/>
    <w:rsid w:val="5D566611"/>
    <w:rsid w:val="5D7A3273"/>
    <w:rsid w:val="5D89024E"/>
    <w:rsid w:val="5D896E22"/>
    <w:rsid w:val="5DD15E2F"/>
    <w:rsid w:val="5DD520B1"/>
    <w:rsid w:val="5E0A4A50"/>
    <w:rsid w:val="5F004B33"/>
    <w:rsid w:val="5F2B7CAD"/>
    <w:rsid w:val="5F2D0E8F"/>
    <w:rsid w:val="5F7F0D0C"/>
    <w:rsid w:val="5FEB2BA4"/>
    <w:rsid w:val="60154491"/>
    <w:rsid w:val="60315450"/>
    <w:rsid w:val="60663484"/>
    <w:rsid w:val="609A4BC4"/>
    <w:rsid w:val="60B3302E"/>
    <w:rsid w:val="60F5158E"/>
    <w:rsid w:val="6104719B"/>
    <w:rsid w:val="61481242"/>
    <w:rsid w:val="6171498D"/>
    <w:rsid w:val="61A27765"/>
    <w:rsid w:val="61EE441B"/>
    <w:rsid w:val="61F20540"/>
    <w:rsid w:val="620D3BAE"/>
    <w:rsid w:val="62483940"/>
    <w:rsid w:val="62566B31"/>
    <w:rsid w:val="62723DC7"/>
    <w:rsid w:val="62756CD8"/>
    <w:rsid w:val="62C55526"/>
    <w:rsid w:val="62CD64D2"/>
    <w:rsid w:val="62EE64CA"/>
    <w:rsid w:val="62F30E54"/>
    <w:rsid w:val="630001F4"/>
    <w:rsid w:val="63003C41"/>
    <w:rsid w:val="63046AC8"/>
    <w:rsid w:val="635345BA"/>
    <w:rsid w:val="637F5A87"/>
    <w:rsid w:val="63A34684"/>
    <w:rsid w:val="63F7395E"/>
    <w:rsid w:val="64104514"/>
    <w:rsid w:val="642369A8"/>
    <w:rsid w:val="642369C3"/>
    <w:rsid w:val="64433C52"/>
    <w:rsid w:val="645C4BBE"/>
    <w:rsid w:val="645D0573"/>
    <w:rsid w:val="649C3378"/>
    <w:rsid w:val="64A602CF"/>
    <w:rsid w:val="64E533D4"/>
    <w:rsid w:val="65640DB5"/>
    <w:rsid w:val="659B25C1"/>
    <w:rsid w:val="659D449E"/>
    <w:rsid w:val="65B06A34"/>
    <w:rsid w:val="65CC049D"/>
    <w:rsid w:val="65D02642"/>
    <w:rsid w:val="65EF244B"/>
    <w:rsid w:val="65EF6484"/>
    <w:rsid w:val="66081B5E"/>
    <w:rsid w:val="660B2255"/>
    <w:rsid w:val="66215B04"/>
    <w:rsid w:val="66266BF4"/>
    <w:rsid w:val="66342560"/>
    <w:rsid w:val="663F469F"/>
    <w:rsid w:val="664D7962"/>
    <w:rsid w:val="665A5C96"/>
    <w:rsid w:val="667E3DD4"/>
    <w:rsid w:val="669B2A1A"/>
    <w:rsid w:val="66A107E8"/>
    <w:rsid w:val="66BA1864"/>
    <w:rsid w:val="66C67529"/>
    <w:rsid w:val="66FD01A0"/>
    <w:rsid w:val="6717764C"/>
    <w:rsid w:val="674744E4"/>
    <w:rsid w:val="67893B07"/>
    <w:rsid w:val="67C30077"/>
    <w:rsid w:val="67C91746"/>
    <w:rsid w:val="67DA60A4"/>
    <w:rsid w:val="67DD08A6"/>
    <w:rsid w:val="67F535C2"/>
    <w:rsid w:val="68197B2A"/>
    <w:rsid w:val="687A0821"/>
    <w:rsid w:val="68A51D8F"/>
    <w:rsid w:val="68AD4B60"/>
    <w:rsid w:val="68D74416"/>
    <w:rsid w:val="68E63001"/>
    <w:rsid w:val="6902695F"/>
    <w:rsid w:val="692D337C"/>
    <w:rsid w:val="694B5495"/>
    <w:rsid w:val="69507E77"/>
    <w:rsid w:val="695B79DC"/>
    <w:rsid w:val="6971586A"/>
    <w:rsid w:val="69822EEB"/>
    <w:rsid w:val="69852AE5"/>
    <w:rsid w:val="699911C9"/>
    <w:rsid w:val="69CE7367"/>
    <w:rsid w:val="6A044068"/>
    <w:rsid w:val="6A17724A"/>
    <w:rsid w:val="6A303494"/>
    <w:rsid w:val="6A3A435E"/>
    <w:rsid w:val="6A54079E"/>
    <w:rsid w:val="6A911D7B"/>
    <w:rsid w:val="6ABE35C7"/>
    <w:rsid w:val="6AED04C7"/>
    <w:rsid w:val="6B3C4D16"/>
    <w:rsid w:val="6BAF2EAE"/>
    <w:rsid w:val="6C0C66AB"/>
    <w:rsid w:val="6C1D5A8D"/>
    <w:rsid w:val="6C254AC8"/>
    <w:rsid w:val="6C461F46"/>
    <w:rsid w:val="6C506D05"/>
    <w:rsid w:val="6CAB3449"/>
    <w:rsid w:val="6CB5299E"/>
    <w:rsid w:val="6CC91D04"/>
    <w:rsid w:val="6CCB679C"/>
    <w:rsid w:val="6CD754CF"/>
    <w:rsid w:val="6CD9476D"/>
    <w:rsid w:val="6D3F6E6A"/>
    <w:rsid w:val="6D4A340A"/>
    <w:rsid w:val="6D61130D"/>
    <w:rsid w:val="6D647CF1"/>
    <w:rsid w:val="6D8E032B"/>
    <w:rsid w:val="6D9C470A"/>
    <w:rsid w:val="6E082895"/>
    <w:rsid w:val="6E1259F5"/>
    <w:rsid w:val="6E350FDC"/>
    <w:rsid w:val="6E4D37E7"/>
    <w:rsid w:val="6E5248EE"/>
    <w:rsid w:val="6E5626ED"/>
    <w:rsid w:val="6E596897"/>
    <w:rsid w:val="6E6041EB"/>
    <w:rsid w:val="6E6A22DF"/>
    <w:rsid w:val="6E942999"/>
    <w:rsid w:val="6EB966E9"/>
    <w:rsid w:val="6EC46A44"/>
    <w:rsid w:val="6EF07839"/>
    <w:rsid w:val="6EF141B6"/>
    <w:rsid w:val="6F241291"/>
    <w:rsid w:val="6FCC795E"/>
    <w:rsid w:val="6FD74A57"/>
    <w:rsid w:val="700A4990"/>
    <w:rsid w:val="703379DD"/>
    <w:rsid w:val="705F2679"/>
    <w:rsid w:val="7061300B"/>
    <w:rsid w:val="709E5881"/>
    <w:rsid w:val="70CD5B2D"/>
    <w:rsid w:val="70F032D5"/>
    <w:rsid w:val="714C49C7"/>
    <w:rsid w:val="7172232C"/>
    <w:rsid w:val="71746267"/>
    <w:rsid w:val="71795B48"/>
    <w:rsid w:val="71EC67DB"/>
    <w:rsid w:val="7200443B"/>
    <w:rsid w:val="7212477D"/>
    <w:rsid w:val="72206D0A"/>
    <w:rsid w:val="72221950"/>
    <w:rsid w:val="722F3576"/>
    <w:rsid w:val="72AD02ED"/>
    <w:rsid w:val="73394CE8"/>
    <w:rsid w:val="73521535"/>
    <w:rsid w:val="73C21591"/>
    <w:rsid w:val="73CE16AA"/>
    <w:rsid w:val="73E32C44"/>
    <w:rsid w:val="73F15BC3"/>
    <w:rsid w:val="73FA64D3"/>
    <w:rsid w:val="741A6471"/>
    <w:rsid w:val="742849A5"/>
    <w:rsid w:val="74B06E8E"/>
    <w:rsid w:val="74B16002"/>
    <w:rsid w:val="74E042F3"/>
    <w:rsid w:val="74FF02FF"/>
    <w:rsid w:val="75001B2D"/>
    <w:rsid w:val="751A6115"/>
    <w:rsid w:val="752F13FF"/>
    <w:rsid w:val="756C235B"/>
    <w:rsid w:val="75B93E6A"/>
    <w:rsid w:val="75CD688F"/>
    <w:rsid w:val="760163E2"/>
    <w:rsid w:val="761864DA"/>
    <w:rsid w:val="765242FC"/>
    <w:rsid w:val="76557327"/>
    <w:rsid w:val="766B1D21"/>
    <w:rsid w:val="76724656"/>
    <w:rsid w:val="76B707BB"/>
    <w:rsid w:val="76C84945"/>
    <w:rsid w:val="770E5CDE"/>
    <w:rsid w:val="772D017A"/>
    <w:rsid w:val="773B7F36"/>
    <w:rsid w:val="775D7768"/>
    <w:rsid w:val="779A7617"/>
    <w:rsid w:val="780473EC"/>
    <w:rsid w:val="780B4978"/>
    <w:rsid w:val="781B18E6"/>
    <w:rsid w:val="788063D1"/>
    <w:rsid w:val="78A377DC"/>
    <w:rsid w:val="78ED2AF3"/>
    <w:rsid w:val="78F921A7"/>
    <w:rsid w:val="790F45F0"/>
    <w:rsid w:val="7919031A"/>
    <w:rsid w:val="79331447"/>
    <w:rsid w:val="794022C6"/>
    <w:rsid w:val="7957552B"/>
    <w:rsid w:val="795D2E81"/>
    <w:rsid w:val="796A68D5"/>
    <w:rsid w:val="79771BB8"/>
    <w:rsid w:val="79C752DF"/>
    <w:rsid w:val="79CE505D"/>
    <w:rsid w:val="79F06ADA"/>
    <w:rsid w:val="7A5B19C1"/>
    <w:rsid w:val="7A5C1D7E"/>
    <w:rsid w:val="7A646989"/>
    <w:rsid w:val="7A6D4434"/>
    <w:rsid w:val="7A7B5E5C"/>
    <w:rsid w:val="7AA51A85"/>
    <w:rsid w:val="7AC202A3"/>
    <w:rsid w:val="7AC34054"/>
    <w:rsid w:val="7AC86A4E"/>
    <w:rsid w:val="7AD6524D"/>
    <w:rsid w:val="7AD71832"/>
    <w:rsid w:val="7B0A711E"/>
    <w:rsid w:val="7B5C439D"/>
    <w:rsid w:val="7B8F410F"/>
    <w:rsid w:val="7BC558DD"/>
    <w:rsid w:val="7BCE3D0E"/>
    <w:rsid w:val="7BF5010E"/>
    <w:rsid w:val="7BF55D0D"/>
    <w:rsid w:val="7C2C1A43"/>
    <w:rsid w:val="7C2C344B"/>
    <w:rsid w:val="7C3D0C61"/>
    <w:rsid w:val="7C6D6B10"/>
    <w:rsid w:val="7C9710CF"/>
    <w:rsid w:val="7CB10C20"/>
    <w:rsid w:val="7CEF002C"/>
    <w:rsid w:val="7D0E6940"/>
    <w:rsid w:val="7D1D57F3"/>
    <w:rsid w:val="7D3C4A6E"/>
    <w:rsid w:val="7D62210E"/>
    <w:rsid w:val="7D7D4684"/>
    <w:rsid w:val="7DA535D3"/>
    <w:rsid w:val="7DA737B9"/>
    <w:rsid w:val="7DC82ABF"/>
    <w:rsid w:val="7DD543E5"/>
    <w:rsid w:val="7DEC1647"/>
    <w:rsid w:val="7DF41070"/>
    <w:rsid w:val="7DFD0827"/>
    <w:rsid w:val="7E147DF3"/>
    <w:rsid w:val="7E34579B"/>
    <w:rsid w:val="7E4160B8"/>
    <w:rsid w:val="7E7F535E"/>
    <w:rsid w:val="7E9140CF"/>
    <w:rsid w:val="7E9970F6"/>
    <w:rsid w:val="7EC856DB"/>
    <w:rsid w:val="7ED42FFD"/>
    <w:rsid w:val="7EE20E69"/>
    <w:rsid w:val="7EFA5574"/>
    <w:rsid w:val="7F1F157F"/>
    <w:rsid w:val="7F64148E"/>
    <w:rsid w:val="7FA64FA7"/>
    <w:rsid w:val="7FB421BD"/>
    <w:rsid w:val="7FC27C35"/>
    <w:rsid w:val="7FE95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iPriority="0" w:name="index 2"/>
    <w:lsdException w:qFormat="1" w:uiPriority="0" w:name="index 3"/>
    <w:lsdException w:qFormat="1" w:uiPriority="0" w:name="index 4"/>
    <w:lsdException w:qFormat="1" w:uiPriority="0" w:name="index 5"/>
    <w:lsdException w:qFormat="1" w:uiPriority="0" w:name="index 6"/>
    <w:lsdException w:qFormat="1" w:uiPriority="0" w:name="index 7"/>
    <w:lsdException w:qFormat="1" w:unhideWhenUsed="0" w:uiPriority="0" w:semiHidden="0" w:name="index 8"/>
    <w:lsdException w:qFormat="1" w:uiPriority="0" w:name="index 9"/>
    <w:lsdException w:qFormat="1" w:uiPriority="0" w:semiHidden="0" w:name="toc 1"/>
    <w:lsdException w:qFormat="1" w:uiPriority="0"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nhideWhenUsed="0" w:uiPriority="0" w:name="toc 8"/>
    <w:lsdException w:qFormat="1" w:uiPriority="0"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iPriority="0" w:semiHidden="0" w:name="header"/>
    <w:lsdException w:qFormat="1" w:uiPriority="0" w:semiHidden="0" w:name="footer"/>
    <w:lsdException w:qFormat="1" w:uiPriority="0" w:name="index heading"/>
    <w:lsdException w:qFormat="1" w:unhideWhenUsed="0" w:uiPriority="0" w:semiHidden="0" w:name="caption"/>
    <w:lsdException w:qFormat="1" w:uiPriority="0" w:name="table of figures"/>
    <w:lsdException w:qFormat="1" w:unhideWhenUsed="0" w:uiPriority="0" w:name="envelope address"/>
    <w:lsdException w:qFormat="1" w:uiPriority="0" w:name="envelope return"/>
    <w:lsdException w:qFormat="1" w:unhideWhenUsed="0" w:uiPriority="0" w:name="footnote reference"/>
    <w:lsdException w:qFormat="1" w:uiPriority="0" w:semiHidden="0" w:name="annotation reference"/>
    <w:lsdException w:qFormat="1" w:uiPriority="0" w:name="line number"/>
    <w:lsdException w:qFormat="1" w:uiPriority="99" w:semiHidden="0" w:name="page number"/>
    <w:lsdException w:qFormat="1" w:unhideWhenUsed="0" w:uiPriority="0" w:name="endnote reference"/>
    <w:lsdException w:qFormat="1" w:unhideWhenUsed="0" w:uiPriority="0" w:name="endnote text"/>
    <w:lsdException w:uiPriority="99" w:name="table of authorities"/>
    <w:lsdException w:uiPriority="99" w:name="macro"/>
    <w:lsdException w:qFormat="1" w:uiPriority="0" w:name="toa heading"/>
    <w:lsdException w:qFormat="1" w:unhideWhenUsed="0" w:uiPriority="0" w:name="List"/>
    <w:lsdException w:qFormat="1" w:unhideWhenUsed="0" w:uiPriority="0" w:name="List Bullet"/>
    <w:lsdException w:qFormat="1" w:uiPriority="0" w:name="List Number"/>
    <w:lsdException w:qFormat="1" w:uiPriority="0" w:name="List 2"/>
    <w:lsdException w:qFormat="1" w:uiPriority="0" w:name="List 3"/>
    <w:lsdException w:qFormat="1" w:uiPriority="0" w:name="List 4"/>
    <w:lsdException w:qFormat="1" w:uiPriority="0" w:name="List 5"/>
    <w:lsdException w:qFormat="1" w:uiPriority="0" w:name="List Bullet 2"/>
    <w:lsdException w:qFormat="1" w:uiPriority="0" w:name="List Bullet 3"/>
    <w:lsdException w:qFormat="1" w:uiPriority="0" w:name="List Bullet 4"/>
    <w:lsdException w:qFormat="1" w:uiPriority="0" w:name="List Bullet 5"/>
    <w:lsdException w:qFormat="1" w:uiPriority="0" w:name="List Number 2"/>
    <w:lsdException w:qFormat="1" w:uiPriority="0" w:name="List Number 3"/>
    <w:lsdException w:qFormat="1" w:uiPriority="0" w:name="List Number 4"/>
    <w:lsdException w:qFormat="1"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name="Default Paragraph Font"/>
    <w:lsdException w:qFormat="1" w:unhideWhenUsed="0" w:uiPriority="99" w:semiHidden="0" w:name="Body Text"/>
    <w:lsdException w:qFormat="1" w:uiPriority="99" w:semiHidden="0" w:name="Body Text Indent"/>
    <w:lsdException w:qFormat="1" w:uiPriority="0" w:name="List Continue"/>
    <w:lsdException w:qFormat="1" w:uiPriority="0" w:name="List Continue 2"/>
    <w:lsdException w:qFormat="1" w:uiPriority="0" w:name="List Continue 3"/>
    <w:lsdException w:qFormat="1" w:uiPriority="0" w:name="List Continue 4"/>
    <w:lsdException w:qFormat="1" w:uiPriority="0" w:name="List Continue 5"/>
    <w:lsdException w:qFormat="1" w:unhideWhenUsed="0" w:uiPriority="0" w:name="Message Header"/>
    <w:lsdException w:qFormat="1" w:unhideWhenUsed="0" w:uiPriority="11" w:semiHidden="0" w:name="Subtitle"/>
    <w:lsdException w:qFormat="1" w:unhideWhenUsed="0" w:uiPriority="0" w:name="Salutation"/>
    <w:lsdException w:qFormat="1" w:uiPriority="0" w:semiHidden="0" w:name="Date"/>
    <w:lsdException w:qFormat="1" w:uiPriority="0" w:semiHidden="0" w:name="Body Text First Indent"/>
    <w:lsdException w:qFormat="1" w:uiPriority="0" w:semiHidden="0" w:name="Body Text First Indent 2"/>
    <w:lsdException w:qFormat="1" w:unhideWhenUsed="0" w:uiPriority="0" w:name="Note Heading"/>
    <w:lsdException w:uiPriority="99" w:name="Body Text 2"/>
    <w:lsdException w:qFormat="1" w:unhideWhenUsed="0" w:uiPriority="0" w:name="Body Text 3"/>
    <w:lsdException w:qFormat="1" w:unhideWhenUsed="0" w:uiPriority="0" w:name="Body Text Indent 2"/>
    <w:lsdException w:uiPriority="99" w:name="Body Text Indent 3"/>
    <w:lsdException w:qFormat="1" w:uiPriority="0" w:name="Block Text"/>
    <w:lsdException w:qFormat="1" w:unhideWhenUsed="0" w:uiPriority="0"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qFormat="1" w:unhideWhenUsed="0" w:uiPriority="0" w:name="E-mail Signature"/>
    <w:lsdException w:qFormat="1" w:uiPriority="99" w:semiHidden="0" w:name="Normal (Web)"/>
    <w:lsdException w:qFormat="1" w:uiPriority="0" w:name="HTML Acronym"/>
    <w:lsdException w:qFormat="1" w:unhideWhenUsed="0"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name="HTML Preformatted"/>
    <w:lsdException w:qFormat="1" w:unhideWhenUsed="0" w:uiPriority="0" w:semiHidden="0" w:name="HTML Sample"/>
    <w:lsdException w:qFormat="1" w:unhideWhenUsed="0" w:uiPriority="0" w:name="HTML Typewriter"/>
    <w:lsdException w:qFormat="1" w:unhideWhenUsed="0" w:uiPriority="0" w:semiHidden="0" w:name="HTML Variable"/>
    <w:lsdException w:qFormat="1" w:uiPriority="99" w:name="Normal Table"/>
    <w:lsdException w:qFormat="1"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nhideWhenUsed="0" w:uiPriority="0" w:name="Table List 4"/>
    <w:lsdException w:qFormat="1" w:unhideWhenUsed="0"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iPriority="0" w:semiHidden="0" w:name="Balloon Text"/>
    <w:lsdException w:qFormat="1" w:unhideWhenUsed="0" w:uiPriority="0" w:semiHidden="0" w:name="Table Grid"/>
    <w:lsdException w:qFormat="1"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74"/>
    <w:qFormat/>
    <w:uiPriority w:val="0"/>
    <w:pPr>
      <w:keepNext/>
      <w:keepLines/>
      <w:numPr>
        <w:ilvl w:val="0"/>
        <w:numId w:val="1"/>
      </w:numPr>
      <w:tabs>
        <w:tab w:val="left" w:pos="1080"/>
      </w:tabs>
      <w:spacing w:before="340" w:after="330" w:line="578" w:lineRule="auto"/>
      <w:outlineLvl w:val="0"/>
    </w:pPr>
    <w:rPr>
      <w:b/>
      <w:bCs/>
      <w:kern w:val="44"/>
      <w:sz w:val="44"/>
      <w:szCs w:val="44"/>
    </w:rPr>
  </w:style>
  <w:style w:type="paragraph" w:styleId="5">
    <w:name w:val="heading 2"/>
    <w:basedOn w:val="1"/>
    <w:next w:val="1"/>
    <w:link w:val="75"/>
    <w:qFormat/>
    <w:uiPriority w:val="0"/>
    <w:pPr>
      <w:keepNext/>
      <w:keepLines/>
      <w:numPr>
        <w:ilvl w:val="1"/>
        <w:numId w:val="1"/>
      </w:numPr>
      <w:tabs>
        <w:tab w:val="left" w:pos="720"/>
      </w:tabs>
      <w:spacing w:before="260" w:after="260" w:line="416" w:lineRule="auto"/>
      <w:outlineLvl w:val="1"/>
    </w:pPr>
    <w:rPr>
      <w:rFonts w:ascii="Cambria" w:hAnsi="Cambria"/>
      <w:b/>
      <w:bCs/>
      <w:sz w:val="32"/>
      <w:szCs w:val="32"/>
    </w:rPr>
  </w:style>
  <w:style w:type="paragraph" w:styleId="6">
    <w:name w:val="heading 3"/>
    <w:basedOn w:val="1"/>
    <w:next w:val="1"/>
    <w:link w:val="76"/>
    <w:qFormat/>
    <w:uiPriority w:val="0"/>
    <w:pPr>
      <w:keepNext/>
      <w:keepLines/>
      <w:numPr>
        <w:ilvl w:val="2"/>
        <w:numId w:val="1"/>
      </w:numPr>
      <w:tabs>
        <w:tab w:val="left" w:pos="720"/>
      </w:tabs>
      <w:spacing w:before="260" w:after="260" w:line="416" w:lineRule="auto"/>
      <w:outlineLvl w:val="2"/>
    </w:pPr>
    <w:rPr>
      <w:b/>
      <w:bCs/>
      <w:sz w:val="32"/>
      <w:szCs w:val="32"/>
    </w:rPr>
  </w:style>
  <w:style w:type="paragraph" w:styleId="7">
    <w:name w:val="heading 4"/>
    <w:basedOn w:val="1"/>
    <w:next w:val="1"/>
    <w:link w:val="77"/>
    <w:qFormat/>
    <w:uiPriority w:val="0"/>
    <w:pPr>
      <w:widowControl/>
      <w:numPr>
        <w:ilvl w:val="3"/>
        <w:numId w:val="1"/>
      </w:numPr>
      <w:tabs>
        <w:tab w:val="left" w:pos="864"/>
      </w:tabs>
      <w:jc w:val="left"/>
      <w:outlineLvl w:val="3"/>
    </w:pPr>
    <w:rPr>
      <w:rFonts w:ascii="宋体" w:hAnsi="宋体" w:cs="宋体"/>
      <w:b/>
      <w:bCs/>
      <w:kern w:val="0"/>
      <w:sz w:val="24"/>
      <w:szCs w:val="24"/>
    </w:rPr>
  </w:style>
  <w:style w:type="paragraph" w:styleId="8">
    <w:name w:val="heading 5"/>
    <w:basedOn w:val="1"/>
    <w:next w:val="1"/>
    <w:link w:val="78"/>
    <w:qFormat/>
    <w:uiPriority w:val="0"/>
    <w:pPr>
      <w:ind w:left="1008" w:hanging="432"/>
      <w:outlineLvl w:val="4"/>
    </w:pPr>
    <w:rPr>
      <w:rFonts w:ascii="Times New Roman" w:hAnsi="Times New Roman"/>
      <w:kern w:val="0"/>
      <w:sz w:val="20"/>
      <w:szCs w:val="20"/>
    </w:rPr>
  </w:style>
  <w:style w:type="paragraph" w:styleId="9">
    <w:name w:val="heading 6"/>
    <w:basedOn w:val="1"/>
    <w:next w:val="1"/>
    <w:link w:val="79"/>
    <w:qFormat/>
    <w:uiPriority w:val="0"/>
    <w:pPr>
      <w:ind w:left="1152" w:hanging="432"/>
      <w:outlineLvl w:val="5"/>
    </w:pPr>
    <w:rPr>
      <w:rFonts w:ascii="Times New Roman" w:hAnsi="Times New Roman"/>
      <w:kern w:val="0"/>
      <w:sz w:val="20"/>
      <w:szCs w:val="20"/>
    </w:rPr>
  </w:style>
  <w:style w:type="paragraph" w:styleId="10">
    <w:name w:val="heading 7"/>
    <w:basedOn w:val="1"/>
    <w:next w:val="1"/>
    <w:link w:val="80"/>
    <w:qFormat/>
    <w:uiPriority w:val="0"/>
    <w:pPr>
      <w:keepNext/>
      <w:keepLines/>
      <w:numPr>
        <w:ilvl w:val="6"/>
        <w:numId w:val="1"/>
      </w:numPr>
      <w:tabs>
        <w:tab w:val="left" w:pos="1296"/>
      </w:tabs>
      <w:spacing w:before="240" w:after="64" w:line="320" w:lineRule="auto"/>
      <w:outlineLvl w:val="6"/>
    </w:pPr>
    <w:rPr>
      <w:b/>
      <w:bCs/>
      <w:sz w:val="24"/>
      <w:szCs w:val="24"/>
    </w:rPr>
  </w:style>
  <w:style w:type="paragraph" w:styleId="11">
    <w:name w:val="heading 8"/>
    <w:basedOn w:val="1"/>
    <w:next w:val="1"/>
    <w:link w:val="81"/>
    <w:qFormat/>
    <w:uiPriority w:val="0"/>
    <w:pPr>
      <w:ind w:left="1440" w:hanging="432"/>
      <w:outlineLvl w:val="7"/>
    </w:pPr>
    <w:rPr>
      <w:rFonts w:ascii="Times New Roman" w:hAnsi="Times New Roman"/>
      <w:kern w:val="0"/>
      <w:sz w:val="20"/>
      <w:szCs w:val="20"/>
    </w:rPr>
  </w:style>
  <w:style w:type="paragraph" w:styleId="12">
    <w:name w:val="heading 9"/>
    <w:basedOn w:val="1"/>
    <w:next w:val="1"/>
    <w:link w:val="82"/>
    <w:qFormat/>
    <w:uiPriority w:val="0"/>
    <w:pPr>
      <w:ind w:left="1584" w:hanging="144"/>
      <w:outlineLvl w:val="8"/>
    </w:pPr>
    <w:rPr>
      <w:rFonts w:ascii="Times New Roman" w:hAnsi="Times New Roman"/>
      <w:kern w:val="0"/>
      <w:sz w:val="20"/>
      <w:szCs w:val="20"/>
    </w:rPr>
  </w:style>
  <w:style w:type="character" w:default="1" w:styleId="58">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9"/>
    <w:qFormat/>
    <w:uiPriority w:val="99"/>
    <w:pPr>
      <w:spacing w:line="360" w:lineRule="auto"/>
    </w:pPr>
    <w:rPr>
      <w:rFonts w:ascii="宋体" w:hAnsi="宋体"/>
      <w:kern w:val="0"/>
      <w:sz w:val="24"/>
      <w:szCs w:val="24"/>
    </w:rPr>
  </w:style>
  <w:style w:type="paragraph" w:styleId="3">
    <w:name w:val="Title"/>
    <w:basedOn w:val="1"/>
    <w:next w:val="1"/>
    <w:link w:val="159"/>
    <w:qFormat/>
    <w:uiPriority w:val="0"/>
    <w:pPr>
      <w:spacing w:before="240" w:after="60"/>
      <w:jc w:val="center"/>
      <w:outlineLvl w:val="0"/>
    </w:pPr>
    <w:rPr>
      <w:rFonts w:ascii="Cambria" w:hAnsi="Cambria"/>
      <w:b/>
      <w:bCs/>
      <w:sz w:val="32"/>
      <w:szCs w:val="32"/>
    </w:rPr>
  </w:style>
  <w:style w:type="paragraph" w:styleId="13">
    <w:name w:val="toc 7"/>
    <w:basedOn w:val="1"/>
    <w:next w:val="1"/>
    <w:unhideWhenUsed/>
    <w:qFormat/>
    <w:uiPriority w:val="0"/>
    <w:pPr>
      <w:ind w:left="2520" w:leftChars="1200"/>
    </w:pPr>
  </w:style>
  <w:style w:type="paragraph" w:styleId="14">
    <w:name w:val="Note Heading"/>
    <w:basedOn w:val="1"/>
    <w:next w:val="1"/>
    <w:link w:val="117"/>
    <w:semiHidden/>
    <w:qFormat/>
    <w:uiPriority w:val="0"/>
    <w:pPr>
      <w:jc w:val="center"/>
    </w:pPr>
    <w:rPr>
      <w:rFonts w:ascii="Times New Roman" w:hAnsi="Times New Roman"/>
      <w:szCs w:val="24"/>
    </w:rPr>
  </w:style>
  <w:style w:type="paragraph" w:styleId="15">
    <w:name w:val="index 8"/>
    <w:basedOn w:val="1"/>
    <w:next w:val="1"/>
    <w:qFormat/>
    <w:uiPriority w:val="0"/>
    <w:pPr>
      <w:ind w:left="1400" w:leftChars="1400"/>
    </w:pPr>
    <w:rPr>
      <w:rFonts w:ascii="Times New Roman" w:hAnsi="Times New Roman"/>
      <w:szCs w:val="24"/>
    </w:rPr>
  </w:style>
  <w:style w:type="paragraph" w:styleId="16">
    <w:name w:val="E-mail Signature"/>
    <w:basedOn w:val="1"/>
    <w:link w:val="118"/>
    <w:semiHidden/>
    <w:qFormat/>
    <w:uiPriority w:val="0"/>
    <w:rPr>
      <w:rFonts w:ascii="Times New Roman" w:hAnsi="Times New Roman"/>
      <w:szCs w:val="24"/>
    </w:rPr>
  </w:style>
  <w:style w:type="paragraph" w:styleId="17">
    <w:name w:val="Normal Indent"/>
    <w:basedOn w:val="1"/>
    <w:qFormat/>
    <w:uiPriority w:val="0"/>
    <w:pPr>
      <w:tabs>
        <w:tab w:val="left" w:pos="4680"/>
      </w:tabs>
      <w:spacing w:beforeLines="50" w:line="300" w:lineRule="auto"/>
      <w:ind w:firstLine="420"/>
    </w:pPr>
    <w:rPr>
      <w:rFonts w:ascii="Times New Roman" w:hAnsi="Times New Roman"/>
      <w:bCs/>
      <w:szCs w:val="21"/>
    </w:rPr>
  </w:style>
  <w:style w:type="paragraph" w:styleId="18">
    <w:name w:val="caption"/>
    <w:basedOn w:val="1"/>
    <w:next w:val="1"/>
    <w:qFormat/>
    <w:uiPriority w:val="0"/>
    <w:rPr>
      <w:rFonts w:ascii="Arial" w:hAnsi="Arial" w:eastAsia="黑体" w:cs="Arial"/>
      <w:sz w:val="20"/>
      <w:szCs w:val="20"/>
    </w:rPr>
  </w:style>
  <w:style w:type="paragraph" w:styleId="19">
    <w:name w:val="List Bullet"/>
    <w:basedOn w:val="1"/>
    <w:semiHidden/>
    <w:qFormat/>
    <w:uiPriority w:val="0"/>
    <w:pPr>
      <w:tabs>
        <w:tab w:val="left" w:pos="360"/>
      </w:tabs>
      <w:ind w:left="360" w:hanging="360"/>
    </w:pPr>
    <w:rPr>
      <w:rFonts w:ascii="Times New Roman" w:hAnsi="Times New Roman"/>
      <w:szCs w:val="24"/>
    </w:rPr>
  </w:style>
  <w:style w:type="paragraph" w:styleId="20">
    <w:name w:val="envelope address"/>
    <w:basedOn w:val="1"/>
    <w:semiHidden/>
    <w:qFormat/>
    <w:uiPriority w:val="0"/>
    <w:pPr>
      <w:framePr w:w="7920" w:h="1980" w:hRule="exact" w:hSpace="180" w:wrap="around" w:vAnchor="margin" w:hAnchor="page" w:xAlign="center" w:yAlign="bottom"/>
      <w:snapToGrid w:val="0"/>
      <w:ind w:left="100" w:leftChars="1400"/>
    </w:pPr>
    <w:rPr>
      <w:rFonts w:ascii="Arial" w:hAnsi="Arial" w:cs="Arial"/>
      <w:sz w:val="24"/>
      <w:szCs w:val="24"/>
    </w:rPr>
  </w:style>
  <w:style w:type="paragraph" w:styleId="21">
    <w:name w:val="Document Map"/>
    <w:basedOn w:val="1"/>
    <w:link w:val="96"/>
    <w:unhideWhenUsed/>
    <w:qFormat/>
    <w:uiPriority w:val="0"/>
    <w:rPr>
      <w:rFonts w:ascii="宋体"/>
      <w:sz w:val="18"/>
      <w:szCs w:val="18"/>
    </w:rPr>
  </w:style>
  <w:style w:type="paragraph" w:styleId="22">
    <w:name w:val="annotation text"/>
    <w:basedOn w:val="1"/>
    <w:link w:val="88"/>
    <w:unhideWhenUsed/>
    <w:qFormat/>
    <w:uiPriority w:val="0"/>
    <w:pPr>
      <w:jc w:val="left"/>
    </w:pPr>
  </w:style>
  <w:style w:type="paragraph" w:styleId="23">
    <w:name w:val="Salutation"/>
    <w:basedOn w:val="1"/>
    <w:next w:val="1"/>
    <w:link w:val="119"/>
    <w:semiHidden/>
    <w:qFormat/>
    <w:uiPriority w:val="0"/>
    <w:rPr>
      <w:rFonts w:ascii="Times New Roman" w:hAnsi="Times New Roman"/>
      <w:szCs w:val="24"/>
    </w:rPr>
  </w:style>
  <w:style w:type="paragraph" w:styleId="24">
    <w:name w:val="Body Text 3"/>
    <w:basedOn w:val="1"/>
    <w:link w:val="120"/>
    <w:semiHidden/>
    <w:qFormat/>
    <w:uiPriority w:val="0"/>
    <w:pPr>
      <w:spacing w:after="120"/>
    </w:pPr>
    <w:rPr>
      <w:rFonts w:ascii="Times New Roman" w:hAnsi="Times New Roman"/>
      <w:sz w:val="16"/>
      <w:szCs w:val="16"/>
    </w:rPr>
  </w:style>
  <w:style w:type="paragraph" w:styleId="25">
    <w:name w:val="Closing"/>
    <w:basedOn w:val="1"/>
    <w:link w:val="121"/>
    <w:semiHidden/>
    <w:qFormat/>
    <w:uiPriority w:val="0"/>
    <w:pPr>
      <w:ind w:left="100" w:leftChars="2100"/>
    </w:pPr>
    <w:rPr>
      <w:rFonts w:ascii="Times New Roman" w:hAnsi="Times New Roman"/>
      <w:szCs w:val="24"/>
    </w:rPr>
  </w:style>
  <w:style w:type="paragraph" w:styleId="26">
    <w:name w:val="Body Text Indent"/>
    <w:basedOn w:val="1"/>
    <w:link w:val="87"/>
    <w:unhideWhenUsed/>
    <w:qFormat/>
    <w:uiPriority w:val="99"/>
    <w:pPr>
      <w:spacing w:after="120"/>
      <w:ind w:left="420" w:leftChars="200"/>
    </w:pPr>
  </w:style>
  <w:style w:type="paragraph" w:styleId="27">
    <w:name w:val="HTML Address"/>
    <w:basedOn w:val="1"/>
    <w:link w:val="122"/>
    <w:semiHidden/>
    <w:qFormat/>
    <w:uiPriority w:val="0"/>
    <w:rPr>
      <w:rFonts w:ascii="Times New Roman" w:hAnsi="Times New Roman"/>
      <w:i/>
      <w:iCs/>
      <w:szCs w:val="24"/>
    </w:rPr>
  </w:style>
  <w:style w:type="paragraph" w:styleId="28">
    <w:name w:val="toc 5"/>
    <w:basedOn w:val="1"/>
    <w:next w:val="1"/>
    <w:unhideWhenUsed/>
    <w:qFormat/>
    <w:uiPriority w:val="0"/>
    <w:pPr>
      <w:ind w:left="1680" w:leftChars="800"/>
    </w:pPr>
  </w:style>
  <w:style w:type="paragraph" w:styleId="29">
    <w:name w:val="toc 3"/>
    <w:basedOn w:val="1"/>
    <w:next w:val="1"/>
    <w:unhideWhenUsed/>
    <w:qFormat/>
    <w:uiPriority w:val="0"/>
    <w:pPr>
      <w:ind w:left="840" w:leftChars="400"/>
    </w:pPr>
  </w:style>
  <w:style w:type="paragraph" w:styleId="30">
    <w:name w:val="Plain Text"/>
    <w:basedOn w:val="1"/>
    <w:next w:val="15"/>
    <w:link w:val="92"/>
    <w:qFormat/>
    <w:uiPriority w:val="0"/>
    <w:rPr>
      <w:rFonts w:ascii="宋体" w:hAnsi="Courier New"/>
      <w:szCs w:val="21"/>
    </w:rPr>
  </w:style>
  <w:style w:type="paragraph" w:styleId="31">
    <w:name w:val="toc 8"/>
    <w:basedOn w:val="1"/>
    <w:next w:val="1"/>
    <w:semiHidden/>
    <w:qFormat/>
    <w:uiPriority w:val="0"/>
    <w:pPr>
      <w:ind w:left="2940" w:leftChars="1400"/>
    </w:pPr>
  </w:style>
  <w:style w:type="paragraph" w:styleId="32">
    <w:name w:val="Date"/>
    <w:basedOn w:val="1"/>
    <w:next w:val="1"/>
    <w:link w:val="123"/>
    <w:unhideWhenUsed/>
    <w:qFormat/>
    <w:uiPriority w:val="0"/>
    <w:pPr>
      <w:ind w:left="100" w:leftChars="2500"/>
    </w:pPr>
    <w:rPr>
      <w:rFonts w:ascii="Times New Roman" w:hAnsi="Times New Roman"/>
      <w:szCs w:val="20"/>
    </w:rPr>
  </w:style>
  <w:style w:type="paragraph" w:styleId="33">
    <w:name w:val="Body Text Indent 2"/>
    <w:basedOn w:val="1"/>
    <w:link w:val="124"/>
    <w:semiHidden/>
    <w:qFormat/>
    <w:uiPriority w:val="0"/>
    <w:pPr>
      <w:spacing w:after="120" w:line="480" w:lineRule="auto"/>
      <w:ind w:left="420" w:leftChars="200"/>
    </w:pPr>
    <w:rPr>
      <w:rFonts w:ascii="Times New Roman" w:hAnsi="Times New Roman"/>
      <w:szCs w:val="24"/>
    </w:rPr>
  </w:style>
  <w:style w:type="paragraph" w:styleId="34">
    <w:name w:val="endnote text"/>
    <w:basedOn w:val="1"/>
    <w:link w:val="125"/>
    <w:semiHidden/>
    <w:qFormat/>
    <w:uiPriority w:val="0"/>
    <w:pPr>
      <w:snapToGrid w:val="0"/>
      <w:jc w:val="left"/>
    </w:pPr>
    <w:rPr>
      <w:rFonts w:ascii="Times New Roman" w:hAnsi="Times New Roman"/>
      <w:szCs w:val="24"/>
    </w:rPr>
  </w:style>
  <w:style w:type="paragraph" w:styleId="35">
    <w:name w:val="Balloon Text"/>
    <w:basedOn w:val="1"/>
    <w:link w:val="91"/>
    <w:unhideWhenUsed/>
    <w:qFormat/>
    <w:uiPriority w:val="0"/>
    <w:rPr>
      <w:kern w:val="0"/>
      <w:sz w:val="18"/>
      <w:szCs w:val="18"/>
    </w:rPr>
  </w:style>
  <w:style w:type="paragraph" w:styleId="36">
    <w:name w:val="footer"/>
    <w:basedOn w:val="1"/>
    <w:link w:val="90"/>
    <w:unhideWhenUsed/>
    <w:qFormat/>
    <w:uiPriority w:val="0"/>
    <w:pPr>
      <w:tabs>
        <w:tab w:val="center" w:pos="4153"/>
        <w:tab w:val="right" w:pos="8306"/>
      </w:tabs>
      <w:snapToGrid w:val="0"/>
      <w:jc w:val="left"/>
    </w:pPr>
    <w:rPr>
      <w:kern w:val="0"/>
      <w:sz w:val="18"/>
      <w:szCs w:val="18"/>
    </w:rPr>
  </w:style>
  <w:style w:type="paragraph" w:styleId="37">
    <w:name w:val="header"/>
    <w:basedOn w:val="1"/>
    <w:link w:val="83"/>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8">
    <w:name w:val="Signature"/>
    <w:basedOn w:val="1"/>
    <w:link w:val="126"/>
    <w:semiHidden/>
    <w:qFormat/>
    <w:uiPriority w:val="0"/>
    <w:pPr>
      <w:ind w:left="100" w:leftChars="2100"/>
    </w:pPr>
    <w:rPr>
      <w:rFonts w:ascii="Times New Roman" w:hAnsi="Times New Roman"/>
      <w:szCs w:val="24"/>
    </w:rPr>
  </w:style>
  <w:style w:type="paragraph" w:styleId="39">
    <w:name w:val="toc 1"/>
    <w:basedOn w:val="1"/>
    <w:next w:val="1"/>
    <w:unhideWhenUsed/>
    <w:qFormat/>
    <w:uiPriority w:val="0"/>
  </w:style>
  <w:style w:type="paragraph" w:styleId="40">
    <w:name w:val="toc 4"/>
    <w:basedOn w:val="1"/>
    <w:next w:val="1"/>
    <w:unhideWhenUsed/>
    <w:qFormat/>
    <w:uiPriority w:val="0"/>
    <w:pPr>
      <w:ind w:left="1260" w:leftChars="600"/>
    </w:pPr>
  </w:style>
  <w:style w:type="paragraph" w:styleId="41">
    <w:name w:val="Subtitle"/>
    <w:basedOn w:val="1"/>
    <w:next w:val="1"/>
    <w:link w:val="160"/>
    <w:qFormat/>
    <w:uiPriority w:val="11"/>
    <w:pPr>
      <w:spacing w:before="240" w:after="60" w:line="312" w:lineRule="auto"/>
      <w:jc w:val="center"/>
      <w:outlineLvl w:val="1"/>
    </w:pPr>
    <w:rPr>
      <w:rFonts w:ascii="Cambria" w:hAnsi="Cambria"/>
      <w:b/>
      <w:bCs/>
      <w:kern w:val="28"/>
      <w:sz w:val="32"/>
      <w:szCs w:val="32"/>
    </w:rPr>
  </w:style>
  <w:style w:type="paragraph" w:styleId="42">
    <w:name w:val="List"/>
    <w:basedOn w:val="1"/>
    <w:semiHidden/>
    <w:qFormat/>
    <w:uiPriority w:val="0"/>
    <w:pPr>
      <w:ind w:left="200" w:hanging="200" w:hangingChars="200"/>
    </w:pPr>
    <w:rPr>
      <w:rFonts w:ascii="Times New Roman" w:hAnsi="Times New Roman"/>
      <w:szCs w:val="24"/>
    </w:rPr>
  </w:style>
  <w:style w:type="paragraph" w:styleId="43">
    <w:name w:val="footnote text"/>
    <w:basedOn w:val="1"/>
    <w:link w:val="127"/>
    <w:semiHidden/>
    <w:qFormat/>
    <w:uiPriority w:val="0"/>
    <w:pPr>
      <w:snapToGrid w:val="0"/>
      <w:jc w:val="left"/>
    </w:pPr>
    <w:rPr>
      <w:rFonts w:ascii="Times New Roman" w:hAnsi="Times New Roman"/>
      <w:sz w:val="18"/>
      <w:szCs w:val="20"/>
    </w:rPr>
  </w:style>
  <w:style w:type="paragraph" w:styleId="44">
    <w:name w:val="toc 6"/>
    <w:basedOn w:val="1"/>
    <w:next w:val="1"/>
    <w:unhideWhenUsed/>
    <w:qFormat/>
    <w:uiPriority w:val="0"/>
    <w:pPr>
      <w:ind w:left="2100" w:leftChars="1000"/>
    </w:pPr>
  </w:style>
  <w:style w:type="paragraph" w:styleId="45">
    <w:name w:val="toc 2"/>
    <w:basedOn w:val="1"/>
    <w:next w:val="1"/>
    <w:unhideWhenUsed/>
    <w:qFormat/>
    <w:uiPriority w:val="0"/>
    <w:pPr>
      <w:ind w:left="420" w:leftChars="200"/>
    </w:pPr>
  </w:style>
  <w:style w:type="paragraph" w:styleId="46">
    <w:name w:val="toc 9"/>
    <w:basedOn w:val="1"/>
    <w:next w:val="1"/>
    <w:unhideWhenUsed/>
    <w:qFormat/>
    <w:uiPriority w:val="0"/>
    <w:pPr>
      <w:ind w:left="3360" w:leftChars="1600"/>
    </w:pPr>
  </w:style>
  <w:style w:type="paragraph" w:styleId="47">
    <w:name w:val="Message Header"/>
    <w:basedOn w:val="1"/>
    <w:link w:val="128"/>
    <w:semiHidden/>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48">
    <w:name w:val="HTML Preformatted"/>
    <w:basedOn w:val="1"/>
    <w:link w:val="129"/>
    <w:semiHidden/>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szCs w:val="24"/>
    </w:rPr>
  </w:style>
  <w:style w:type="paragraph" w:styleId="4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50">
    <w:name w:val="index 1"/>
    <w:basedOn w:val="1"/>
    <w:next w:val="1"/>
    <w:unhideWhenUsed/>
    <w:qFormat/>
    <w:uiPriority w:val="0"/>
  </w:style>
  <w:style w:type="paragraph" w:styleId="51">
    <w:name w:val="annotation subject"/>
    <w:basedOn w:val="22"/>
    <w:next w:val="22"/>
    <w:link w:val="97"/>
    <w:unhideWhenUsed/>
    <w:qFormat/>
    <w:uiPriority w:val="0"/>
    <w:rPr>
      <w:b/>
      <w:bCs/>
    </w:rPr>
  </w:style>
  <w:style w:type="paragraph" w:styleId="52">
    <w:name w:val="Body Text First Indent"/>
    <w:basedOn w:val="2"/>
    <w:link w:val="114"/>
    <w:unhideWhenUsed/>
    <w:qFormat/>
    <w:uiPriority w:val="0"/>
    <w:pPr>
      <w:spacing w:after="120" w:line="240" w:lineRule="auto"/>
      <w:ind w:firstLine="420" w:firstLineChars="100"/>
    </w:pPr>
    <w:rPr>
      <w:rFonts w:ascii="Calibri" w:hAnsi="Calibri"/>
      <w:kern w:val="2"/>
      <w:sz w:val="21"/>
      <w:szCs w:val="22"/>
    </w:rPr>
  </w:style>
  <w:style w:type="paragraph" w:styleId="53">
    <w:name w:val="Body Text First Indent 2"/>
    <w:basedOn w:val="26"/>
    <w:link w:val="86"/>
    <w:unhideWhenUsed/>
    <w:qFormat/>
    <w:uiPriority w:val="0"/>
    <w:pPr>
      <w:ind w:firstLine="420" w:firstLineChars="200"/>
    </w:pPr>
  </w:style>
  <w:style w:type="table" w:styleId="55">
    <w:name w:val="Table Grid"/>
    <w:basedOn w:val="5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56">
    <w:name w:val="Table List 4"/>
    <w:basedOn w:val="54"/>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57">
    <w:name w:val="Table List 5"/>
    <w:basedOn w:val="54"/>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character" w:styleId="59">
    <w:name w:val="Strong"/>
    <w:basedOn w:val="58"/>
    <w:qFormat/>
    <w:uiPriority w:val="22"/>
    <w:rPr>
      <w:b/>
    </w:rPr>
  </w:style>
  <w:style w:type="character" w:styleId="60">
    <w:name w:val="endnote reference"/>
    <w:semiHidden/>
    <w:qFormat/>
    <w:uiPriority w:val="0"/>
    <w:rPr>
      <w:vertAlign w:val="superscript"/>
    </w:rPr>
  </w:style>
  <w:style w:type="character" w:styleId="61">
    <w:name w:val="page number"/>
    <w:basedOn w:val="58"/>
    <w:unhideWhenUsed/>
    <w:qFormat/>
    <w:uiPriority w:val="99"/>
  </w:style>
  <w:style w:type="character" w:styleId="62">
    <w:name w:val="FollowedHyperlink"/>
    <w:qFormat/>
    <w:uiPriority w:val="99"/>
    <w:rPr>
      <w:color w:val="800080"/>
      <w:u w:val="single"/>
    </w:rPr>
  </w:style>
  <w:style w:type="character" w:styleId="63">
    <w:name w:val="Emphasis"/>
    <w:basedOn w:val="58"/>
    <w:qFormat/>
    <w:uiPriority w:val="20"/>
  </w:style>
  <w:style w:type="character" w:styleId="64">
    <w:name w:val="HTML Definition"/>
    <w:qFormat/>
    <w:uiPriority w:val="0"/>
    <w:rPr>
      <w:i/>
      <w:iCs/>
    </w:rPr>
  </w:style>
  <w:style w:type="character" w:styleId="65">
    <w:name w:val="HTML Typewriter"/>
    <w:semiHidden/>
    <w:qFormat/>
    <w:uiPriority w:val="0"/>
    <w:rPr>
      <w:rFonts w:ascii="Courier New" w:hAnsi="Courier New" w:cs="Courier New"/>
      <w:sz w:val="20"/>
      <w:szCs w:val="20"/>
    </w:rPr>
  </w:style>
  <w:style w:type="character" w:styleId="66">
    <w:name w:val="HTML Variable"/>
    <w:qFormat/>
    <w:uiPriority w:val="0"/>
    <w:rPr>
      <w:i/>
      <w:iCs/>
    </w:rPr>
  </w:style>
  <w:style w:type="character" w:styleId="67">
    <w:name w:val="Hyperlink"/>
    <w:qFormat/>
    <w:uiPriority w:val="0"/>
    <w:rPr>
      <w:color w:val="0000FF"/>
      <w:u w:val="single"/>
    </w:rPr>
  </w:style>
  <w:style w:type="character" w:styleId="68">
    <w:name w:val="HTML Code"/>
    <w:qFormat/>
    <w:uiPriority w:val="0"/>
    <w:rPr>
      <w:rFonts w:ascii="Courier New" w:hAnsi="Courier New" w:cs="Courier New"/>
      <w:sz w:val="20"/>
      <w:szCs w:val="20"/>
    </w:rPr>
  </w:style>
  <w:style w:type="character" w:styleId="69">
    <w:name w:val="annotation reference"/>
    <w:unhideWhenUsed/>
    <w:qFormat/>
    <w:uiPriority w:val="0"/>
    <w:rPr>
      <w:sz w:val="21"/>
      <w:szCs w:val="21"/>
    </w:rPr>
  </w:style>
  <w:style w:type="character" w:styleId="70">
    <w:name w:val="HTML Cite"/>
    <w:qFormat/>
    <w:uiPriority w:val="0"/>
    <w:rPr>
      <w:i/>
      <w:iCs/>
    </w:rPr>
  </w:style>
  <w:style w:type="character" w:styleId="71">
    <w:name w:val="footnote reference"/>
    <w:semiHidden/>
    <w:qFormat/>
    <w:uiPriority w:val="0"/>
    <w:rPr>
      <w:vertAlign w:val="superscript"/>
    </w:rPr>
  </w:style>
  <w:style w:type="character" w:styleId="72">
    <w:name w:val="HTML Keyboard"/>
    <w:qFormat/>
    <w:uiPriority w:val="0"/>
    <w:rPr>
      <w:rFonts w:ascii="Courier New" w:hAnsi="Courier New" w:cs="Courier New"/>
      <w:sz w:val="20"/>
      <w:szCs w:val="20"/>
    </w:rPr>
  </w:style>
  <w:style w:type="character" w:styleId="73">
    <w:name w:val="HTML Sample"/>
    <w:qFormat/>
    <w:uiPriority w:val="0"/>
    <w:rPr>
      <w:rFonts w:ascii="Courier New" w:hAnsi="Courier New" w:cs="Courier New"/>
    </w:rPr>
  </w:style>
  <w:style w:type="character" w:customStyle="1" w:styleId="74">
    <w:name w:val="标题 1 Char"/>
    <w:link w:val="4"/>
    <w:qFormat/>
    <w:uiPriority w:val="0"/>
    <w:rPr>
      <w:b/>
      <w:bCs/>
      <w:kern w:val="44"/>
      <w:sz w:val="44"/>
      <w:szCs w:val="44"/>
    </w:rPr>
  </w:style>
  <w:style w:type="character" w:customStyle="1" w:styleId="75">
    <w:name w:val="标题 2 Char"/>
    <w:link w:val="5"/>
    <w:qFormat/>
    <w:uiPriority w:val="0"/>
    <w:rPr>
      <w:rFonts w:ascii="Cambria" w:hAnsi="Cambria" w:eastAsia="宋体"/>
      <w:b/>
      <w:bCs/>
      <w:kern w:val="2"/>
      <w:sz w:val="32"/>
      <w:szCs w:val="32"/>
      <w:lang w:val="en-US" w:eastAsia="zh-CN" w:bidi="ar-SA"/>
    </w:rPr>
  </w:style>
  <w:style w:type="character" w:customStyle="1" w:styleId="76">
    <w:name w:val="标题 3 Char"/>
    <w:link w:val="6"/>
    <w:qFormat/>
    <w:uiPriority w:val="0"/>
    <w:rPr>
      <w:rFonts w:ascii="Calibri" w:hAnsi="Calibri" w:eastAsia="宋体"/>
      <w:b/>
      <w:bCs/>
      <w:kern w:val="2"/>
      <w:sz w:val="32"/>
      <w:szCs w:val="32"/>
      <w:lang w:val="en-US" w:eastAsia="zh-CN" w:bidi="ar-SA"/>
    </w:rPr>
  </w:style>
  <w:style w:type="character" w:customStyle="1" w:styleId="77">
    <w:name w:val="标题 4 Char"/>
    <w:link w:val="7"/>
    <w:qFormat/>
    <w:uiPriority w:val="0"/>
    <w:rPr>
      <w:rFonts w:ascii="宋体" w:hAnsi="宋体" w:eastAsia="宋体" w:cs="宋体"/>
      <w:b/>
      <w:bCs/>
      <w:sz w:val="24"/>
      <w:szCs w:val="24"/>
      <w:lang w:val="en-US" w:eastAsia="zh-CN" w:bidi="ar-SA"/>
    </w:rPr>
  </w:style>
  <w:style w:type="character" w:customStyle="1" w:styleId="78">
    <w:name w:val="标题 5 Char"/>
    <w:basedOn w:val="58"/>
    <w:link w:val="8"/>
    <w:qFormat/>
    <w:uiPriority w:val="0"/>
    <w:rPr>
      <w:rFonts w:ascii="Times New Roman" w:hAnsi="Times New Roman"/>
    </w:rPr>
  </w:style>
  <w:style w:type="character" w:customStyle="1" w:styleId="79">
    <w:name w:val="标题 6 Char"/>
    <w:basedOn w:val="58"/>
    <w:link w:val="9"/>
    <w:qFormat/>
    <w:uiPriority w:val="0"/>
    <w:rPr>
      <w:rFonts w:ascii="Times New Roman" w:hAnsi="Times New Roman"/>
    </w:rPr>
  </w:style>
  <w:style w:type="character" w:customStyle="1" w:styleId="80">
    <w:name w:val="标题 7 Char"/>
    <w:link w:val="10"/>
    <w:qFormat/>
    <w:uiPriority w:val="0"/>
    <w:rPr>
      <w:rFonts w:ascii="Calibri" w:hAnsi="Calibri" w:eastAsia="宋体"/>
      <w:b/>
      <w:bCs/>
      <w:kern w:val="2"/>
      <w:sz w:val="24"/>
      <w:szCs w:val="24"/>
      <w:lang w:val="en-US" w:eastAsia="zh-CN" w:bidi="ar-SA"/>
    </w:rPr>
  </w:style>
  <w:style w:type="character" w:customStyle="1" w:styleId="81">
    <w:name w:val="标题 8 Char"/>
    <w:basedOn w:val="58"/>
    <w:link w:val="11"/>
    <w:qFormat/>
    <w:uiPriority w:val="0"/>
    <w:rPr>
      <w:rFonts w:ascii="Times New Roman" w:hAnsi="Times New Roman"/>
    </w:rPr>
  </w:style>
  <w:style w:type="character" w:customStyle="1" w:styleId="82">
    <w:name w:val="标题 9 Char"/>
    <w:basedOn w:val="58"/>
    <w:link w:val="12"/>
    <w:qFormat/>
    <w:uiPriority w:val="0"/>
    <w:rPr>
      <w:rFonts w:ascii="Times New Roman" w:hAnsi="Times New Roman"/>
    </w:rPr>
  </w:style>
  <w:style w:type="character" w:customStyle="1" w:styleId="83">
    <w:name w:val="页眉 Char"/>
    <w:link w:val="37"/>
    <w:qFormat/>
    <w:uiPriority w:val="0"/>
    <w:rPr>
      <w:sz w:val="18"/>
      <w:szCs w:val="18"/>
    </w:rPr>
  </w:style>
  <w:style w:type="character" w:styleId="84">
    <w:name w:val="Placeholder Text"/>
    <w:semiHidden/>
    <w:qFormat/>
    <w:uiPriority w:val="99"/>
    <w:rPr>
      <w:color w:val="808080"/>
    </w:rPr>
  </w:style>
  <w:style w:type="character" w:customStyle="1" w:styleId="85">
    <w:name w:val="title"/>
    <w:basedOn w:val="58"/>
    <w:qFormat/>
    <w:uiPriority w:val="0"/>
  </w:style>
  <w:style w:type="character" w:customStyle="1" w:styleId="86">
    <w:name w:val="正文首行缩进 2 Char"/>
    <w:basedOn w:val="87"/>
    <w:link w:val="53"/>
    <w:qFormat/>
    <w:uiPriority w:val="0"/>
  </w:style>
  <w:style w:type="character" w:customStyle="1" w:styleId="87">
    <w:name w:val="正文文本缩进 Char"/>
    <w:basedOn w:val="58"/>
    <w:link w:val="26"/>
    <w:semiHidden/>
    <w:qFormat/>
    <w:uiPriority w:val="99"/>
  </w:style>
  <w:style w:type="character" w:customStyle="1" w:styleId="88">
    <w:name w:val="批注文字 Char"/>
    <w:link w:val="22"/>
    <w:semiHidden/>
    <w:qFormat/>
    <w:uiPriority w:val="0"/>
    <w:rPr>
      <w:kern w:val="2"/>
      <w:sz w:val="21"/>
      <w:szCs w:val="22"/>
    </w:rPr>
  </w:style>
  <w:style w:type="character" w:customStyle="1" w:styleId="89">
    <w:name w:val="正文文本 Char"/>
    <w:link w:val="2"/>
    <w:qFormat/>
    <w:uiPriority w:val="99"/>
    <w:rPr>
      <w:rFonts w:ascii="宋体" w:hAnsi="宋体" w:eastAsia="宋体" w:cs="Times New Roman"/>
      <w:sz w:val="24"/>
      <w:szCs w:val="24"/>
    </w:rPr>
  </w:style>
  <w:style w:type="character" w:customStyle="1" w:styleId="90">
    <w:name w:val="页脚 Char"/>
    <w:link w:val="36"/>
    <w:qFormat/>
    <w:uiPriority w:val="0"/>
    <w:rPr>
      <w:sz w:val="18"/>
      <w:szCs w:val="18"/>
    </w:rPr>
  </w:style>
  <w:style w:type="character" w:customStyle="1" w:styleId="91">
    <w:name w:val="批注框文本 Char"/>
    <w:link w:val="35"/>
    <w:semiHidden/>
    <w:qFormat/>
    <w:uiPriority w:val="0"/>
    <w:rPr>
      <w:sz w:val="18"/>
      <w:szCs w:val="18"/>
    </w:rPr>
  </w:style>
  <w:style w:type="character" w:customStyle="1" w:styleId="92">
    <w:name w:val="纯文本 Char"/>
    <w:link w:val="30"/>
    <w:qFormat/>
    <w:uiPriority w:val="0"/>
    <w:rPr>
      <w:rFonts w:ascii="宋体" w:hAnsi="Courier New" w:cs="Courier New"/>
      <w:kern w:val="2"/>
      <w:sz w:val="21"/>
      <w:szCs w:val="21"/>
    </w:rPr>
  </w:style>
  <w:style w:type="character" w:customStyle="1" w:styleId="93">
    <w:name w:val="标题3 Char"/>
    <w:link w:val="94"/>
    <w:qFormat/>
    <w:uiPriority w:val="0"/>
    <w:rPr>
      <w:rFonts w:ascii="宋体" w:hAnsi="宋体"/>
      <w:color w:val="000000"/>
      <w:sz w:val="24"/>
    </w:rPr>
  </w:style>
  <w:style w:type="paragraph" w:customStyle="1" w:styleId="94">
    <w:name w:val="标题3"/>
    <w:basedOn w:val="6"/>
    <w:link w:val="93"/>
    <w:qFormat/>
    <w:uiPriority w:val="0"/>
    <w:pPr>
      <w:spacing w:line="360" w:lineRule="auto"/>
      <w:ind w:firstLine="472" w:firstLineChars="196"/>
    </w:pPr>
    <w:rPr>
      <w:rFonts w:ascii="宋体" w:hAnsi="宋体"/>
      <w:b w:val="0"/>
      <w:bCs w:val="0"/>
      <w:color w:val="000000"/>
      <w:kern w:val="0"/>
      <w:sz w:val="24"/>
      <w:szCs w:val="20"/>
    </w:rPr>
  </w:style>
  <w:style w:type="character" w:customStyle="1" w:styleId="95">
    <w:name w:val="样式 标题 1 + 宋体 三号 加粗 下划线 非全部大写 Char"/>
    <w:qFormat/>
    <w:uiPriority w:val="0"/>
    <w:rPr>
      <w:rFonts w:ascii="宋体" w:hAnsi="宋体" w:eastAsia="宋体" w:cs="Courier New"/>
      <w:b/>
      <w:bCs/>
      <w:caps/>
      <w:kern w:val="2"/>
      <w:sz w:val="32"/>
      <w:szCs w:val="21"/>
      <w:u w:val="single"/>
      <w:lang w:val="en-US" w:eastAsia="en-US" w:bidi="ar-SA"/>
    </w:rPr>
  </w:style>
  <w:style w:type="character" w:customStyle="1" w:styleId="96">
    <w:name w:val="文档结构图 Char"/>
    <w:link w:val="21"/>
    <w:qFormat/>
    <w:uiPriority w:val="0"/>
    <w:rPr>
      <w:rFonts w:ascii="宋体"/>
      <w:kern w:val="2"/>
      <w:sz w:val="18"/>
      <w:szCs w:val="18"/>
    </w:rPr>
  </w:style>
  <w:style w:type="character" w:customStyle="1" w:styleId="97">
    <w:name w:val="批注主题 Char"/>
    <w:link w:val="51"/>
    <w:semiHidden/>
    <w:qFormat/>
    <w:uiPriority w:val="0"/>
    <w:rPr>
      <w:b/>
      <w:bCs/>
      <w:kern w:val="2"/>
      <w:sz w:val="21"/>
      <w:szCs w:val="22"/>
    </w:rPr>
  </w:style>
  <w:style w:type="paragraph" w:customStyle="1" w:styleId="98">
    <w:name w:val="Report正文"/>
    <w:basedOn w:val="1"/>
    <w:qFormat/>
    <w:uiPriority w:val="0"/>
    <w:pPr>
      <w:widowControl/>
      <w:spacing w:beforeLines="100" w:afterLines="150" w:line="440" w:lineRule="exact"/>
      <w:ind w:left="420"/>
      <w:jc w:val="left"/>
    </w:pPr>
    <w:rPr>
      <w:rFonts w:ascii="华文细黑" w:hAnsi="华文细黑" w:eastAsia="华文细黑"/>
      <w:kern w:val="0"/>
      <w:sz w:val="24"/>
      <w:szCs w:val="24"/>
      <w:lang w:val="en-GB"/>
    </w:rPr>
  </w:style>
  <w:style w:type="paragraph" w:styleId="99">
    <w:name w:val="List Paragraph"/>
    <w:basedOn w:val="1"/>
    <w:qFormat/>
    <w:uiPriority w:val="34"/>
    <w:pPr>
      <w:ind w:firstLine="420" w:firstLineChars="200"/>
    </w:pPr>
  </w:style>
  <w:style w:type="paragraph" w:customStyle="1" w:styleId="100">
    <w:name w:val="TOC Heading"/>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01">
    <w:name w:val="p3"/>
    <w:basedOn w:val="1"/>
    <w:qFormat/>
    <w:uiPriority w:val="0"/>
    <w:pPr>
      <w:spacing w:line="30" w:lineRule="atLeast"/>
      <w:jc w:val="center"/>
    </w:pPr>
    <w:rPr>
      <w:rFonts w:hint="eastAsia" w:ascii="宋体" w:hAnsi="宋体" w:cs="宋体"/>
      <w:kern w:val="0"/>
      <w:sz w:val="36"/>
      <w:szCs w:val="36"/>
    </w:rPr>
  </w:style>
  <w:style w:type="paragraph" w:customStyle="1" w:styleId="102">
    <w:name w:val="Report 1.1.1"/>
    <w:basedOn w:val="103"/>
    <w:qFormat/>
    <w:uiPriority w:val="0"/>
    <w:pPr>
      <w:tabs>
        <w:tab w:val="left" w:pos="720"/>
      </w:tabs>
    </w:pPr>
    <w:rPr>
      <w:rFonts w:hAnsi="华文细黑" w:eastAsia="华文细黑" w:cs="Arial"/>
      <w:lang w:eastAsia="zh-CN"/>
    </w:rPr>
  </w:style>
  <w:style w:type="paragraph" w:customStyle="1" w:styleId="103">
    <w:name w:val="DTZ Heading 3"/>
    <w:basedOn w:val="1"/>
    <w:next w:val="1"/>
    <w:qFormat/>
    <w:uiPriority w:val="0"/>
    <w:pPr>
      <w:widowControl/>
      <w:tabs>
        <w:tab w:val="left" w:pos="720"/>
      </w:tabs>
      <w:spacing w:line="280" w:lineRule="exact"/>
      <w:ind w:left="720" w:hanging="720"/>
      <w:jc w:val="left"/>
    </w:pPr>
    <w:rPr>
      <w:rFonts w:ascii="Arial" w:hAnsi="Arial"/>
      <w:b/>
      <w:kern w:val="0"/>
      <w:sz w:val="24"/>
      <w:szCs w:val="24"/>
      <w:lang w:val="en-GB" w:eastAsia="en-US"/>
    </w:rPr>
  </w:style>
  <w:style w:type="paragraph" w:customStyle="1" w:styleId="104">
    <w:name w:val="Char Char Char1 Char"/>
    <w:basedOn w:val="37"/>
    <w:next w:val="1"/>
    <w:qFormat/>
    <w:uiPriority w:val="0"/>
    <w:pPr>
      <w:pBdr>
        <w:bottom w:val="none" w:color="auto" w:sz="0" w:space="0"/>
      </w:pBdr>
      <w:shd w:val="clear" w:color="auto" w:fill="000080"/>
      <w:tabs>
        <w:tab w:val="clear" w:pos="4153"/>
        <w:tab w:val="clear" w:pos="8306"/>
      </w:tabs>
      <w:snapToGrid/>
      <w:jc w:val="both"/>
    </w:pPr>
    <w:rPr>
      <w:rFonts w:ascii="Times New Roman" w:hAnsi="Times New Roman"/>
      <w:sz w:val="21"/>
      <w:szCs w:val="20"/>
    </w:rPr>
  </w:style>
  <w:style w:type="paragraph" w:customStyle="1" w:styleId="105">
    <w:name w:val="Default"/>
    <w:qFormat/>
    <w:uiPriority w:val="0"/>
    <w:pPr>
      <w:widowControl w:val="0"/>
      <w:autoSpaceDE w:val="0"/>
      <w:autoSpaceDN w:val="0"/>
      <w:adjustRightInd w:val="0"/>
    </w:pPr>
    <w:rPr>
      <w:rFonts w:ascii="方正黑体简体" w:hAnsi="Times New Roman" w:eastAsia="方正黑体简体" w:cs="方正黑体简体"/>
      <w:color w:val="000000"/>
      <w:sz w:val="24"/>
      <w:szCs w:val="24"/>
      <w:lang w:val="en-US" w:eastAsia="zh-CN" w:bidi="ar-SA"/>
    </w:rPr>
  </w:style>
  <w:style w:type="paragraph" w:customStyle="1" w:styleId="106">
    <w:name w:val="DTZ Heading 4"/>
    <w:basedOn w:val="1"/>
    <w:qFormat/>
    <w:uiPriority w:val="0"/>
    <w:pPr>
      <w:widowControl/>
      <w:numPr>
        <w:ilvl w:val="3"/>
        <w:numId w:val="2"/>
      </w:numPr>
      <w:spacing w:line="260" w:lineRule="exact"/>
      <w:jc w:val="left"/>
    </w:pPr>
    <w:rPr>
      <w:rFonts w:ascii="Arial" w:hAnsi="Arial"/>
      <w:b/>
      <w:kern w:val="0"/>
      <w:sz w:val="20"/>
      <w:szCs w:val="24"/>
      <w:lang w:val="en-GB" w:eastAsia="en-US"/>
    </w:rPr>
  </w:style>
  <w:style w:type="paragraph" w:customStyle="1" w:styleId="107">
    <w:name w:val="DTZ Heading 1"/>
    <w:basedOn w:val="1"/>
    <w:next w:val="1"/>
    <w:qFormat/>
    <w:uiPriority w:val="0"/>
    <w:pPr>
      <w:widowControl/>
      <w:numPr>
        <w:ilvl w:val="0"/>
        <w:numId w:val="2"/>
      </w:numPr>
      <w:spacing w:after="260" w:line="380" w:lineRule="exact"/>
      <w:jc w:val="left"/>
    </w:pPr>
    <w:rPr>
      <w:rFonts w:ascii="Arial" w:hAnsi="Arial"/>
      <w:b/>
      <w:kern w:val="0"/>
      <w:sz w:val="32"/>
      <w:szCs w:val="24"/>
      <w:lang w:val="en-GB" w:eastAsia="en-US"/>
    </w:rPr>
  </w:style>
  <w:style w:type="paragraph" w:customStyle="1" w:styleId="108">
    <w:name w:val="xl81"/>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109">
    <w:name w:val="样式3"/>
    <w:basedOn w:val="2"/>
    <w:qFormat/>
    <w:uiPriority w:val="0"/>
    <w:pPr>
      <w:spacing w:after="120"/>
    </w:pPr>
    <w:rPr>
      <w:rFonts w:hAnsi="Times New Roman"/>
      <w:sz w:val="21"/>
    </w:rPr>
  </w:style>
  <w:style w:type="paragraph" w:customStyle="1" w:styleId="110">
    <w:name w:val="DTZ Heading 2"/>
    <w:basedOn w:val="107"/>
    <w:next w:val="1"/>
    <w:qFormat/>
    <w:uiPriority w:val="0"/>
    <w:pPr>
      <w:numPr>
        <w:ilvl w:val="1"/>
      </w:numPr>
      <w:tabs>
        <w:tab w:val="left" w:pos="5963"/>
      </w:tabs>
      <w:spacing w:after="0" w:line="340" w:lineRule="exact"/>
    </w:pPr>
    <w:rPr>
      <w:sz w:val="28"/>
    </w:rPr>
  </w:style>
  <w:style w:type="paragraph" w:customStyle="1" w:styleId="111">
    <w:name w:val="保留正文"/>
    <w:basedOn w:val="2"/>
    <w:qFormat/>
    <w:uiPriority w:val="0"/>
    <w:pPr>
      <w:keepNext/>
      <w:spacing w:after="160" w:line="240" w:lineRule="auto"/>
    </w:pPr>
    <w:rPr>
      <w:rFonts w:ascii="Times New Roman" w:hAnsi="Times New Roman"/>
      <w:sz w:val="21"/>
    </w:rPr>
  </w:style>
  <w:style w:type="paragraph" w:customStyle="1" w:styleId="112">
    <w:name w:val="小标题 2"/>
    <w:basedOn w:val="1"/>
    <w:qFormat/>
    <w:uiPriority w:val="0"/>
    <w:pPr>
      <w:autoSpaceDE w:val="0"/>
      <w:autoSpaceDN w:val="0"/>
      <w:adjustRightInd w:val="0"/>
    </w:pPr>
    <w:rPr>
      <w:rFonts w:ascii="金桥简粗宋" w:hAnsi="Times New Roman" w:eastAsia="金桥简粗宋"/>
      <w:kern w:val="0"/>
      <w:sz w:val="28"/>
      <w:szCs w:val="28"/>
    </w:rPr>
  </w:style>
  <w:style w:type="paragraph" w:customStyle="1" w:styleId="113">
    <w:name w:val="一、"/>
    <w:basedOn w:val="1"/>
    <w:qFormat/>
    <w:uiPriority w:val="0"/>
    <w:pPr>
      <w:tabs>
        <w:tab w:val="left" w:pos="720"/>
      </w:tabs>
      <w:spacing w:line="740" w:lineRule="exact"/>
    </w:pPr>
    <w:rPr>
      <w:sz w:val="28"/>
      <w:szCs w:val="24"/>
    </w:rPr>
  </w:style>
  <w:style w:type="character" w:customStyle="1" w:styleId="114">
    <w:name w:val="正文首行缩进 Char"/>
    <w:basedOn w:val="89"/>
    <w:link w:val="52"/>
    <w:semiHidden/>
    <w:qFormat/>
    <w:uiPriority w:val="0"/>
    <w:rPr>
      <w:kern w:val="2"/>
      <w:sz w:val="21"/>
      <w:szCs w:val="22"/>
    </w:rPr>
  </w:style>
  <w:style w:type="paragraph" w:customStyle="1" w:styleId="115">
    <w:name w:val="_Style 2"/>
    <w:basedOn w:val="1"/>
    <w:qFormat/>
    <w:uiPriority w:val="99"/>
    <w:pPr>
      <w:ind w:firstLine="420" w:firstLineChars="200"/>
    </w:pPr>
  </w:style>
  <w:style w:type="paragraph" w:customStyle="1" w:styleId="116">
    <w:name w:val="UserStyle_0"/>
    <w:basedOn w:val="1"/>
    <w:qFormat/>
    <w:uiPriority w:val="0"/>
    <w:pPr>
      <w:spacing w:before="15"/>
      <w:ind w:left="120"/>
    </w:pPr>
    <w:rPr>
      <w:rFonts w:ascii="Arial Unicode MS" w:hAnsi="Arial Unicode MS" w:eastAsia="Arial Unicode MS"/>
      <w:sz w:val="32"/>
      <w:szCs w:val="32"/>
    </w:rPr>
  </w:style>
  <w:style w:type="character" w:customStyle="1" w:styleId="117">
    <w:name w:val="注释标题 Char"/>
    <w:basedOn w:val="58"/>
    <w:link w:val="14"/>
    <w:semiHidden/>
    <w:qFormat/>
    <w:uiPriority w:val="0"/>
    <w:rPr>
      <w:rFonts w:ascii="Times New Roman" w:hAnsi="Times New Roman"/>
      <w:kern w:val="2"/>
      <w:sz w:val="21"/>
      <w:szCs w:val="24"/>
    </w:rPr>
  </w:style>
  <w:style w:type="character" w:customStyle="1" w:styleId="118">
    <w:name w:val="电子邮件签名 Char"/>
    <w:basedOn w:val="58"/>
    <w:link w:val="16"/>
    <w:semiHidden/>
    <w:qFormat/>
    <w:uiPriority w:val="0"/>
    <w:rPr>
      <w:rFonts w:ascii="Times New Roman" w:hAnsi="Times New Roman"/>
      <w:kern w:val="2"/>
      <w:sz w:val="21"/>
      <w:szCs w:val="24"/>
    </w:rPr>
  </w:style>
  <w:style w:type="character" w:customStyle="1" w:styleId="119">
    <w:name w:val="称呼 Char"/>
    <w:basedOn w:val="58"/>
    <w:link w:val="23"/>
    <w:semiHidden/>
    <w:qFormat/>
    <w:uiPriority w:val="0"/>
    <w:rPr>
      <w:rFonts w:ascii="Times New Roman" w:hAnsi="Times New Roman"/>
      <w:kern w:val="2"/>
      <w:sz w:val="21"/>
      <w:szCs w:val="24"/>
    </w:rPr>
  </w:style>
  <w:style w:type="character" w:customStyle="1" w:styleId="120">
    <w:name w:val="正文文本 3 Char"/>
    <w:basedOn w:val="58"/>
    <w:link w:val="24"/>
    <w:semiHidden/>
    <w:qFormat/>
    <w:uiPriority w:val="0"/>
    <w:rPr>
      <w:rFonts w:ascii="Times New Roman" w:hAnsi="Times New Roman"/>
      <w:kern w:val="2"/>
      <w:sz w:val="16"/>
      <w:szCs w:val="16"/>
    </w:rPr>
  </w:style>
  <w:style w:type="character" w:customStyle="1" w:styleId="121">
    <w:name w:val="结束语 Char"/>
    <w:basedOn w:val="58"/>
    <w:link w:val="25"/>
    <w:semiHidden/>
    <w:qFormat/>
    <w:uiPriority w:val="0"/>
    <w:rPr>
      <w:rFonts w:ascii="Times New Roman" w:hAnsi="Times New Roman"/>
      <w:kern w:val="2"/>
      <w:sz w:val="21"/>
      <w:szCs w:val="24"/>
    </w:rPr>
  </w:style>
  <w:style w:type="character" w:customStyle="1" w:styleId="122">
    <w:name w:val="HTML 地址 Char"/>
    <w:basedOn w:val="58"/>
    <w:link w:val="27"/>
    <w:semiHidden/>
    <w:qFormat/>
    <w:uiPriority w:val="0"/>
    <w:rPr>
      <w:rFonts w:ascii="Times New Roman" w:hAnsi="Times New Roman"/>
      <w:i/>
      <w:iCs/>
      <w:kern w:val="2"/>
      <w:sz w:val="21"/>
      <w:szCs w:val="24"/>
    </w:rPr>
  </w:style>
  <w:style w:type="character" w:customStyle="1" w:styleId="123">
    <w:name w:val="日期 Char"/>
    <w:basedOn w:val="58"/>
    <w:link w:val="32"/>
    <w:qFormat/>
    <w:uiPriority w:val="0"/>
    <w:rPr>
      <w:rFonts w:ascii="Times New Roman" w:hAnsi="Times New Roman"/>
      <w:kern w:val="2"/>
      <w:sz w:val="21"/>
    </w:rPr>
  </w:style>
  <w:style w:type="character" w:customStyle="1" w:styleId="124">
    <w:name w:val="正文文本缩进 2 Char"/>
    <w:basedOn w:val="58"/>
    <w:link w:val="33"/>
    <w:semiHidden/>
    <w:qFormat/>
    <w:uiPriority w:val="0"/>
    <w:rPr>
      <w:rFonts w:ascii="Times New Roman" w:hAnsi="Times New Roman"/>
      <w:kern w:val="2"/>
      <w:sz w:val="21"/>
      <w:szCs w:val="24"/>
    </w:rPr>
  </w:style>
  <w:style w:type="character" w:customStyle="1" w:styleId="125">
    <w:name w:val="尾注文本 Char"/>
    <w:basedOn w:val="58"/>
    <w:link w:val="34"/>
    <w:semiHidden/>
    <w:qFormat/>
    <w:uiPriority w:val="0"/>
    <w:rPr>
      <w:rFonts w:ascii="Times New Roman" w:hAnsi="Times New Roman"/>
      <w:kern w:val="2"/>
      <w:sz w:val="21"/>
      <w:szCs w:val="24"/>
    </w:rPr>
  </w:style>
  <w:style w:type="character" w:customStyle="1" w:styleId="126">
    <w:name w:val="签名 Char"/>
    <w:basedOn w:val="58"/>
    <w:link w:val="38"/>
    <w:semiHidden/>
    <w:qFormat/>
    <w:uiPriority w:val="0"/>
    <w:rPr>
      <w:rFonts w:ascii="Times New Roman" w:hAnsi="Times New Roman"/>
      <w:kern w:val="2"/>
      <w:sz w:val="21"/>
      <w:szCs w:val="24"/>
    </w:rPr>
  </w:style>
  <w:style w:type="character" w:customStyle="1" w:styleId="127">
    <w:name w:val="脚注文本 Char"/>
    <w:basedOn w:val="58"/>
    <w:link w:val="43"/>
    <w:semiHidden/>
    <w:qFormat/>
    <w:uiPriority w:val="0"/>
    <w:rPr>
      <w:rFonts w:ascii="Times New Roman" w:hAnsi="Times New Roman"/>
      <w:kern w:val="2"/>
      <w:sz w:val="18"/>
    </w:rPr>
  </w:style>
  <w:style w:type="character" w:customStyle="1" w:styleId="128">
    <w:name w:val="信息标题 Char"/>
    <w:basedOn w:val="58"/>
    <w:link w:val="47"/>
    <w:semiHidden/>
    <w:qFormat/>
    <w:uiPriority w:val="0"/>
    <w:rPr>
      <w:rFonts w:ascii="Arial" w:hAnsi="Arial" w:cs="Arial"/>
      <w:kern w:val="2"/>
      <w:sz w:val="24"/>
      <w:szCs w:val="24"/>
      <w:shd w:val="pct20" w:color="auto" w:fill="auto"/>
    </w:rPr>
  </w:style>
  <w:style w:type="character" w:customStyle="1" w:styleId="129">
    <w:name w:val="HTML 预设格式 Char"/>
    <w:basedOn w:val="58"/>
    <w:link w:val="48"/>
    <w:semiHidden/>
    <w:qFormat/>
    <w:uiPriority w:val="0"/>
    <w:rPr>
      <w:rFonts w:ascii="宋体" w:hAnsi="宋体" w:cs="宋体"/>
      <w:color w:val="000000"/>
      <w:sz w:val="24"/>
      <w:szCs w:val="24"/>
    </w:rPr>
  </w:style>
  <w:style w:type="character" w:customStyle="1" w:styleId="130">
    <w:name w:val="unnamed211"/>
    <w:semiHidden/>
    <w:qFormat/>
    <w:uiPriority w:val="0"/>
    <w:rPr>
      <w:sz w:val="23"/>
      <w:szCs w:val="23"/>
    </w:rPr>
  </w:style>
  <w:style w:type="character" w:customStyle="1" w:styleId="131">
    <w:name w:val="ss1"/>
    <w:semiHidden/>
    <w:qFormat/>
    <w:uiPriority w:val="0"/>
    <w:rPr>
      <w:rFonts w:hint="default" w:ascii="ˎ̥" w:hAnsi="ˎ̥"/>
      <w:color w:val="000000"/>
      <w:sz w:val="18"/>
      <w:szCs w:val="18"/>
      <w:u w:val="none"/>
    </w:rPr>
  </w:style>
  <w:style w:type="character" w:customStyle="1" w:styleId="132">
    <w:name w:val="f142"/>
    <w:semiHidden/>
    <w:qFormat/>
    <w:uiPriority w:val="0"/>
    <w:rPr>
      <w:sz w:val="21"/>
      <w:szCs w:val="21"/>
    </w:rPr>
  </w:style>
  <w:style w:type="character" w:customStyle="1" w:styleId="133">
    <w:name w:val="f14b1"/>
    <w:semiHidden/>
    <w:qFormat/>
    <w:uiPriority w:val="0"/>
    <w:rPr>
      <w:b/>
      <w:bCs/>
      <w:sz w:val="21"/>
      <w:szCs w:val="21"/>
    </w:rPr>
  </w:style>
  <w:style w:type="character" w:customStyle="1" w:styleId="134">
    <w:name w:val="ca-41"/>
    <w:qFormat/>
    <w:uiPriority w:val="0"/>
    <w:rPr>
      <w:rFonts w:hint="eastAsia" w:ascii="黑体" w:eastAsia="黑体"/>
      <w:b/>
      <w:bCs/>
      <w:spacing w:val="-20"/>
      <w:sz w:val="30"/>
      <w:szCs w:val="30"/>
    </w:rPr>
  </w:style>
  <w:style w:type="character" w:customStyle="1" w:styleId="135">
    <w:name w:val="签名 Char1"/>
    <w:basedOn w:val="58"/>
    <w:semiHidden/>
    <w:qFormat/>
    <w:uiPriority w:val="99"/>
    <w:rPr>
      <w:rFonts w:ascii="Times New Roman" w:hAnsi="Times New Roman" w:eastAsia="宋体" w:cs="Times New Roman"/>
      <w:szCs w:val="20"/>
    </w:rPr>
  </w:style>
  <w:style w:type="character" w:customStyle="1" w:styleId="136">
    <w:name w:val="正文文本缩进 2 Char1"/>
    <w:basedOn w:val="58"/>
    <w:semiHidden/>
    <w:qFormat/>
    <w:uiPriority w:val="99"/>
    <w:rPr>
      <w:rFonts w:ascii="Times New Roman" w:hAnsi="Times New Roman" w:eastAsia="宋体" w:cs="Times New Roman"/>
      <w:szCs w:val="20"/>
    </w:rPr>
  </w:style>
  <w:style w:type="paragraph" w:customStyle="1" w:styleId="137">
    <w:name w:val="style93"/>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38">
    <w:name w:val="纯文本 Char1"/>
    <w:qFormat/>
    <w:uiPriority w:val="0"/>
    <w:rPr>
      <w:rFonts w:ascii="宋体" w:hAnsi="Courier New" w:cs="Courier New"/>
      <w:kern w:val="2"/>
      <w:sz w:val="21"/>
      <w:szCs w:val="21"/>
    </w:rPr>
  </w:style>
  <w:style w:type="character" w:customStyle="1" w:styleId="139">
    <w:name w:val="Char Char23"/>
    <w:semiHidden/>
    <w:qFormat/>
    <w:uiPriority w:val="0"/>
    <w:rPr>
      <w:rFonts w:ascii="Times New Roman" w:hAnsi="Times New Roman" w:eastAsia="宋体" w:cs="Times New Roman"/>
      <w:b/>
      <w:bCs/>
      <w:szCs w:val="24"/>
    </w:rPr>
  </w:style>
  <w:style w:type="paragraph" w:customStyle="1" w:styleId="140">
    <w:name w:val="z-窗体顶端1"/>
    <w:basedOn w:val="1"/>
    <w:next w:val="1"/>
    <w:link w:val="141"/>
    <w:unhideWhenUsed/>
    <w:qFormat/>
    <w:uiPriority w:val="99"/>
    <w:pPr>
      <w:widowControl/>
      <w:pBdr>
        <w:bottom w:val="single" w:color="auto" w:sz="6" w:space="1"/>
      </w:pBdr>
      <w:jc w:val="center"/>
    </w:pPr>
    <w:rPr>
      <w:rFonts w:ascii="Arial" w:hAnsi="Arial"/>
      <w:vanish/>
      <w:kern w:val="0"/>
      <w:sz w:val="16"/>
      <w:szCs w:val="16"/>
    </w:rPr>
  </w:style>
  <w:style w:type="character" w:customStyle="1" w:styleId="141">
    <w:name w:val="z-窗体顶端 Char"/>
    <w:basedOn w:val="58"/>
    <w:link w:val="140"/>
    <w:qFormat/>
    <w:uiPriority w:val="99"/>
    <w:rPr>
      <w:rFonts w:ascii="Arial" w:hAnsi="Arial"/>
      <w:vanish/>
      <w:sz w:val="16"/>
      <w:szCs w:val="16"/>
    </w:rPr>
  </w:style>
  <w:style w:type="paragraph" w:customStyle="1" w:styleId="142">
    <w:name w:val="z-窗体底端1"/>
    <w:basedOn w:val="1"/>
    <w:next w:val="1"/>
    <w:link w:val="143"/>
    <w:unhideWhenUsed/>
    <w:qFormat/>
    <w:uiPriority w:val="99"/>
    <w:pPr>
      <w:widowControl/>
      <w:pBdr>
        <w:top w:val="single" w:color="auto" w:sz="6" w:space="1"/>
      </w:pBdr>
      <w:jc w:val="center"/>
    </w:pPr>
    <w:rPr>
      <w:rFonts w:ascii="Arial" w:hAnsi="Arial"/>
      <w:vanish/>
      <w:kern w:val="0"/>
      <w:sz w:val="16"/>
      <w:szCs w:val="16"/>
    </w:rPr>
  </w:style>
  <w:style w:type="character" w:customStyle="1" w:styleId="143">
    <w:name w:val="z-窗体底端 Char"/>
    <w:basedOn w:val="58"/>
    <w:link w:val="142"/>
    <w:qFormat/>
    <w:uiPriority w:val="99"/>
    <w:rPr>
      <w:rFonts w:ascii="Arial" w:hAnsi="Arial"/>
      <w:vanish/>
      <w:sz w:val="16"/>
      <w:szCs w:val="16"/>
    </w:rPr>
  </w:style>
  <w:style w:type="paragraph" w:customStyle="1" w:styleId="144">
    <w:name w:val="_Style 10"/>
    <w:qFormat/>
    <w:uiPriority w:val="0"/>
    <w:rPr>
      <w:rFonts w:ascii="Calibri" w:hAnsi="Calibri" w:eastAsia="宋体" w:cs="Times New Roman"/>
      <w:kern w:val="2"/>
      <w:sz w:val="21"/>
      <w:szCs w:val="22"/>
      <w:lang w:val="en-US" w:eastAsia="zh-CN" w:bidi="ar-SA"/>
    </w:rPr>
  </w:style>
  <w:style w:type="paragraph" w:customStyle="1" w:styleId="145">
    <w:name w:val="列出段落1"/>
    <w:basedOn w:val="1"/>
    <w:qFormat/>
    <w:uiPriority w:val="34"/>
    <w:pPr>
      <w:ind w:firstLine="420" w:firstLineChars="200"/>
    </w:pPr>
  </w:style>
  <w:style w:type="paragraph" w:customStyle="1" w:styleId="146">
    <w:name w:val="列出段落2"/>
    <w:basedOn w:val="147"/>
    <w:qFormat/>
    <w:uiPriority w:val="34"/>
    <w:pPr>
      <w:ind w:firstLine="420" w:firstLineChars="200"/>
    </w:pPr>
  </w:style>
  <w:style w:type="paragraph" w:customStyle="1" w:styleId="147">
    <w:name w:val="正文2"/>
    <w:qFormat/>
    <w:uiPriority w:val="0"/>
    <w:pPr>
      <w:widowControl w:val="0"/>
      <w:jc w:val="both"/>
    </w:pPr>
    <w:rPr>
      <w:rFonts w:ascii="Calibri" w:hAnsi="Calibri" w:eastAsia="宋体" w:cs="Times New Roman"/>
      <w:kern w:val="2"/>
      <w:sz w:val="21"/>
      <w:lang w:val="en-US" w:eastAsia="zh-CN" w:bidi="ar-SA"/>
    </w:rPr>
  </w:style>
  <w:style w:type="paragraph" w:customStyle="1" w:styleId="148">
    <w:name w:val="Normal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9">
    <w:name w:val="Normal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fontstyle21"/>
    <w:basedOn w:val="58"/>
    <w:qFormat/>
    <w:uiPriority w:val="0"/>
    <w:rPr>
      <w:rFonts w:ascii="FZXBSJW--GB1-0" w:hAnsi="FZXBSJW--GB1-0" w:eastAsia="FZXBSJW--GB1-0" w:cs="FZXBSJW--GB1-0"/>
      <w:color w:val="000000"/>
      <w:sz w:val="44"/>
      <w:szCs w:val="44"/>
    </w:rPr>
  </w:style>
  <w:style w:type="character" w:customStyle="1" w:styleId="151">
    <w:name w:val="fontstyle31"/>
    <w:basedOn w:val="58"/>
    <w:qFormat/>
    <w:uiPriority w:val="0"/>
    <w:rPr>
      <w:rFonts w:ascii="仿宋_GB2312" w:hAnsi="仿宋_GB2312" w:eastAsia="仿宋_GB2312" w:cs="仿宋_GB2312"/>
      <w:color w:val="000000"/>
      <w:sz w:val="32"/>
      <w:szCs w:val="32"/>
    </w:rPr>
  </w:style>
  <w:style w:type="paragraph" w:customStyle="1" w:styleId="152">
    <w:name w:val="页脚2"/>
    <w:basedOn w:val="147"/>
    <w:unhideWhenUsed/>
    <w:qFormat/>
    <w:uiPriority w:val="0"/>
    <w:pPr>
      <w:tabs>
        <w:tab w:val="center" w:pos="4153"/>
        <w:tab w:val="right" w:pos="8306"/>
      </w:tabs>
      <w:snapToGrid w:val="0"/>
      <w:jc w:val="left"/>
    </w:pPr>
    <w:rPr>
      <w:sz w:val="18"/>
      <w:szCs w:val="18"/>
    </w:rPr>
  </w:style>
  <w:style w:type="character" w:customStyle="1" w:styleId="153">
    <w:name w:val="纯文本 Char2"/>
    <w:qFormat/>
    <w:uiPriority w:val="0"/>
    <w:rPr>
      <w:rFonts w:ascii="宋体" w:hAnsi="Courier New" w:eastAsia="宋体" w:cs="Courier New"/>
      <w:sz w:val="21"/>
      <w:szCs w:val="21"/>
    </w:rPr>
  </w:style>
  <w:style w:type="character" w:customStyle="1" w:styleId="154">
    <w:name w:val="fontstrikethrough"/>
    <w:basedOn w:val="58"/>
    <w:qFormat/>
    <w:uiPriority w:val="0"/>
    <w:rPr>
      <w:strike/>
    </w:rPr>
  </w:style>
  <w:style w:type="character" w:customStyle="1" w:styleId="155">
    <w:name w:val="副标题 Char"/>
    <w:link w:val="41"/>
    <w:qFormat/>
    <w:uiPriority w:val="11"/>
    <w:rPr>
      <w:rFonts w:ascii="Cambria" w:hAnsi="Cambria"/>
      <w:b/>
      <w:bCs/>
      <w:kern w:val="28"/>
      <w:sz w:val="32"/>
      <w:szCs w:val="32"/>
    </w:rPr>
  </w:style>
  <w:style w:type="character" w:customStyle="1" w:styleId="156">
    <w:name w:val="fontborder"/>
    <w:basedOn w:val="58"/>
    <w:qFormat/>
    <w:uiPriority w:val="0"/>
    <w:rPr>
      <w:bdr w:val="single" w:color="000000" w:sz="6" w:space="0"/>
    </w:rPr>
  </w:style>
  <w:style w:type="character" w:customStyle="1" w:styleId="157">
    <w:name w:val="标题 Char1"/>
    <w:qFormat/>
    <w:uiPriority w:val="10"/>
    <w:rPr>
      <w:rFonts w:ascii="Cambria" w:hAnsi="Cambria" w:cs="Times New Roman"/>
      <w:b/>
      <w:bCs/>
      <w:kern w:val="2"/>
      <w:sz w:val="32"/>
      <w:szCs w:val="32"/>
    </w:rPr>
  </w:style>
  <w:style w:type="character" w:customStyle="1" w:styleId="158">
    <w:name w:val="标题 Char"/>
    <w:link w:val="3"/>
    <w:qFormat/>
    <w:uiPriority w:val="0"/>
    <w:rPr>
      <w:rFonts w:ascii="Cambria" w:hAnsi="Cambria"/>
      <w:b/>
      <w:bCs/>
      <w:kern w:val="2"/>
      <w:sz w:val="32"/>
      <w:szCs w:val="32"/>
    </w:rPr>
  </w:style>
  <w:style w:type="character" w:customStyle="1" w:styleId="159">
    <w:name w:val="标题 Char2"/>
    <w:basedOn w:val="58"/>
    <w:link w:val="3"/>
    <w:qFormat/>
    <w:uiPriority w:val="10"/>
    <w:rPr>
      <w:rFonts w:asciiTheme="majorHAnsi" w:hAnsiTheme="majorHAnsi" w:cstheme="majorBidi"/>
      <w:b/>
      <w:bCs/>
      <w:kern w:val="2"/>
      <w:sz w:val="32"/>
      <w:szCs w:val="32"/>
    </w:rPr>
  </w:style>
  <w:style w:type="character" w:customStyle="1" w:styleId="160">
    <w:name w:val="副标题 Char1"/>
    <w:basedOn w:val="58"/>
    <w:link w:val="41"/>
    <w:qFormat/>
    <w:uiPriority w:val="11"/>
    <w:rPr>
      <w:rFonts w:asciiTheme="majorHAnsi" w:hAnsiTheme="majorHAnsi" w:cstheme="majorBidi"/>
      <w:b/>
      <w:bCs/>
      <w:kern w:val="28"/>
      <w:sz w:val="32"/>
      <w:szCs w:val="32"/>
    </w:rPr>
  </w:style>
  <w:style w:type="paragraph" w:customStyle="1" w:styleId="161">
    <w:name w:val="Heading 2_1"/>
    <w:basedOn w:val="148"/>
    <w:next w:val="148"/>
    <w:qFormat/>
    <w:uiPriority w:val="0"/>
    <w:pPr>
      <w:spacing w:before="360" w:after="120" w:line="360" w:lineRule="auto"/>
      <w:outlineLvl w:val="1"/>
    </w:pPr>
    <w:rPr>
      <w:rFonts w:ascii="Cambria" w:hAnsi="Cambria" w:eastAsia="黑体"/>
      <w:b/>
      <w:bCs/>
      <w:sz w:val="32"/>
      <w:szCs w:val="32"/>
    </w:rPr>
  </w:style>
  <w:style w:type="paragraph" w:customStyle="1" w:styleId="162">
    <w:name w:val="Normal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3">
    <w:name w:val="常用（宋体，5号，1.25行距）"/>
    <w:basedOn w:val="1"/>
    <w:qFormat/>
    <w:uiPriority w:val="0"/>
    <w:pPr>
      <w:widowControl/>
      <w:spacing w:line="300" w:lineRule="auto"/>
      <w:jc w:val="left"/>
    </w:pPr>
    <w:rPr>
      <w:kern w:val="0"/>
      <w:sz w:val="24"/>
      <w:szCs w:val="21"/>
      <w:lang w:eastAsia="en-US" w:bidi="en-US"/>
    </w:rPr>
  </w:style>
  <w:style w:type="paragraph" w:customStyle="1" w:styleId="164">
    <w:name w:val="Normal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5">
    <w:name w:val="Plain Text_0"/>
    <w:basedOn w:val="162"/>
    <w:qFormat/>
    <w:uiPriority w:val="0"/>
    <w:rPr>
      <w:rFonts w:ascii="宋体" w:hAnsi="Courier New" w:cs="Courier New"/>
      <w:szCs w:val="21"/>
    </w:rPr>
  </w:style>
  <w:style w:type="character" w:customStyle="1" w:styleId="166">
    <w:name w:val="_Style 1"/>
    <w:qFormat/>
    <w:uiPriority w:val="19"/>
    <w:rPr>
      <w:rFonts w:eastAsia="宋体"/>
      <w:iCs/>
      <w:color w:val="404040"/>
      <w:sz w:val="30"/>
    </w:rPr>
  </w:style>
  <w:style w:type="paragraph" w:customStyle="1" w:styleId="167">
    <w:name w:val="条款标题"/>
    <w:basedOn w:val="5"/>
    <w:qFormat/>
    <w:uiPriority w:val="0"/>
    <w:pPr>
      <w:tabs>
        <w:tab w:val="clear" w:pos="720"/>
      </w:tabs>
      <w:spacing w:before="151" w:beforeLines="50" w:beforeAutospacing="0" w:after="151" w:afterLines="50" w:afterAutospacing="0"/>
      <w:ind w:firstLine="422" w:firstLineChars="200"/>
    </w:pPr>
    <w:rPr>
      <w:rFonts w:asciiTheme="minorEastAsia" w:hAnsiTheme="minorEastAsia" w:eastAsiaTheme="minorEastAsia"/>
      <w:bCs w:val="0"/>
      <w:sz w:val="21"/>
      <w:szCs w:val="21"/>
    </w:rPr>
  </w:style>
  <w:style w:type="paragraph" w:customStyle="1" w:styleId="168">
    <w:name w:val="列出段落"/>
    <w:basedOn w:val="1"/>
    <w:qFormat/>
    <w:uiPriority w:val="34"/>
    <w:pPr>
      <w:ind w:firstLine="420" w:firstLineChars="200"/>
    </w:pPr>
  </w:style>
  <w:style w:type="paragraph" w:customStyle="1" w:styleId="169">
    <w:name w:val="样式1"/>
    <w:basedOn w:val="37"/>
    <w:qFormat/>
    <w:uiPriority w:val="0"/>
    <w:pPr>
      <w:pBdr>
        <w:bottom w:val="thinThickSmallGap" w:color="auto" w:sz="24" w:space="1"/>
      </w:pBdr>
    </w:pPr>
    <w:rPr>
      <w:rFonts w:ascii="黑体" w:hAnsi="Times New Roman" w:eastAsia="黑体"/>
      <w:b/>
      <w:sz w:val="21"/>
      <w:szCs w:val="20"/>
    </w:rPr>
  </w:style>
  <w:style w:type="paragraph" w:customStyle="1" w:styleId="170">
    <w:name w:val="正文缩进1"/>
    <w:basedOn w:val="1"/>
    <w:qFormat/>
    <w:uiPriority w:val="0"/>
    <w:pPr>
      <w:ind w:firstLine="420" w:firstLineChars="200"/>
    </w:pPr>
  </w:style>
  <w:style w:type="paragraph" w:customStyle="1" w:styleId="171">
    <w:name w:val="交标01"/>
    <w:basedOn w:val="172"/>
    <w:qFormat/>
    <w:uiPriority w:val="0"/>
    <w:rPr>
      <w:rFonts w:hint="default"/>
      <w:b/>
      <w:bCs/>
    </w:rPr>
  </w:style>
  <w:style w:type="paragraph" w:customStyle="1" w:styleId="172">
    <w:name w:val="交正文"/>
    <w:basedOn w:val="1"/>
    <w:qFormat/>
    <w:uiPriority w:val="0"/>
    <w:pPr>
      <w:spacing w:line="360" w:lineRule="auto"/>
      <w:ind w:firstLine="440" w:firstLineChars="200"/>
    </w:pPr>
    <w:rPr>
      <w:rFonts w:hint="eastAsia" w:ascii="仿宋" w:hAnsi="仿宋" w:eastAsia="仿宋" w:cs="Times New Roman"/>
      <w:sz w:val="24"/>
      <w:szCs w:val="24"/>
    </w:rPr>
  </w:style>
  <w:style w:type="paragraph" w:customStyle="1" w:styleId="173">
    <w:name w:val="交表头标"/>
    <w:basedOn w:val="1"/>
    <w:qFormat/>
    <w:uiPriority w:val="0"/>
    <w:pPr>
      <w:widowControl/>
      <w:tabs>
        <w:tab w:val="left" w:pos="4"/>
      </w:tabs>
      <w:adjustRightInd w:val="0"/>
      <w:snapToGrid w:val="0"/>
      <w:spacing w:line="360" w:lineRule="auto"/>
      <w:jc w:val="center"/>
    </w:pPr>
    <w:rPr>
      <w:rFonts w:ascii="楷体" w:hAnsi="楷体" w:eastAsia="楷体"/>
      <w:szCs w:val="21"/>
    </w:rPr>
  </w:style>
  <w:style w:type="paragraph" w:customStyle="1" w:styleId="174">
    <w:name w:val="交提纲目录"/>
    <w:basedOn w:val="172"/>
    <w:qFormat/>
    <w:uiPriority w:val="0"/>
    <w:pPr>
      <w:ind w:firstLine="960" w:firstLineChars="400"/>
    </w:pPr>
    <w:rPr>
      <w:rFonts w:cs="Times New Roman"/>
    </w:rPr>
  </w:style>
  <w:style w:type="paragraph" w:customStyle="1" w:styleId="175">
    <w:name w:val="lj图表标题"/>
    <w:qFormat/>
    <w:uiPriority w:val="0"/>
    <w:pPr>
      <w:autoSpaceDE w:val="0"/>
      <w:autoSpaceDN w:val="0"/>
      <w:adjustRightInd w:val="0"/>
      <w:snapToGrid w:val="0"/>
      <w:spacing w:line="360" w:lineRule="auto"/>
      <w:jc w:val="center"/>
    </w:pPr>
    <w:rPr>
      <w:rFonts w:ascii="仿宋" w:hAnsi="仿宋" w:eastAsia="仿宋"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E203A5-188F-4098-9791-FC31F269099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4622</Words>
  <Characters>4983</Characters>
  <Lines>137</Lines>
  <Paragraphs>38</Paragraphs>
  <TotalTime>0</TotalTime>
  <ScaleCrop>false</ScaleCrop>
  <LinksUpToDate>false</LinksUpToDate>
  <CharactersWithSpaces>5012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2023-05-24T09:28:00Z</dcterms:created>
  <dc:creator>微软用户</dc:creator>
  <cp:lastModifiedBy>實誠</cp:lastModifiedBy>
  <cp:lastPrinted>2024-04-30T03:03:00Z</cp:lastPrinted>
  <dcterms:modified xsi:type="dcterms:W3CDTF">2026-03-23T07:05:00Z</dcterms:modified>
  <dc:title>工程编号：</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897F4653DFD54B8A81545F5DF1A25B4F_13</vt:lpwstr>
  </property>
  <property fmtid="{D5CDD505-2E9C-101B-9397-08002B2CF9AE}" pid="4" name="KSOTemplateDocerSaveRecord">
    <vt:lpwstr>eyJoZGlkIjoiZjYxZTUyYjc1MzQwNWRmNjlmMWQyYmQ2NmM1M2U4MmMiLCJ1c2VySWQiOiI2OTk3NTA5NDAifQ==</vt:lpwstr>
  </property>
</Properties>
</file>