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DCE29">
      <w:pPr>
        <w:pStyle w:val="17"/>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龙岗中心医院放射诊疗设备和工</w:t>
      </w:r>
      <w:bookmarkStart w:id="15" w:name="_GoBack"/>
      <w:bookmarkEnd w:id="15"/>
      <w:r>
        <w:rPr>
          <w:rFonts w:hint="eastAsia" w:ascii="仿宋" w:hAnsi="仿宋" w:eastAsia="仿宋" w:cs="仿宋"/>
          <w:b/>
          <w:bCs/>
          <w:sz w:val="44"/>
          <w:szCs w:val="44"/>
          <w:highlight w:val="none"/>
        </w:rPr>
        <w:t>作场所防护年度检测招标文件信息</w:t>
      </w:r>
    </w:p>
    <w:tbl>
      <w:tblPr>
        <w:tblStyle w:val="20"/>
        <w:tblW w:w="7938" w:type="dxa"/>
        <w:jc w:val="center"/>
        <w:tblCellSpacing w:w="0" w:type="dxa"/>
        <w:tblLayout w:type="fixed"/>
        <w:tblCellMar>
          <w:top w:w="45" w:type="dxa"/>
          <w:left w:w="45" w:type="dxa"/>
          <w:bottom w:w="45" w:type="dxa"/>
          <w:right w:w="45" w:type="dxa"/>
        </w:tblCellMar>
      </w:tblPr>
      <w:tblGrid>
        <w:gridCol w:w="2722"/>
        <w:gridCol w:w="5216"/>
      </w:tblGrid>
      <w:tr w14:paraId="2A59EB75">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98B0165">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4FFBA800">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LGZXYYZBB20260318-2</w:t>
            </w:r>
            <w:r>
              <w:rPr>
                <w:rFonts w:hint="eastAsia" w:ascii="仿宋" w:hAnsi="仿宋" w:eastAsia="仿宋" w:cs="仿宋"/>
                <w:sz w:val="28"/>
                <w:szCs w:val="28"/>
                <w:highlight w:val="none"/>
              </w:rPr>
              <w:tab/>
            </w:r>
          </w:p>
        </w:tc>
      </w:tr>
      <w:tr w14:paraId="5C5173C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DE0CA74">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5DB7F709">
            <w:pPr>
              <w:keepNext w:val="0"/>
              <w:keepLines w:val="0"/>
              <w:suppressLineNumbers w:val="0"/>
              <w:spacing w:before="0" w:beforeAutospacing="0" w:after="0" w:afterAutospacing="0"/>
              <w:ind w:left="0" w:right="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放射诊疗设备和工作场所防护年度检测</w:t>
            </w:r>
          </w:p>
        </w:tc>
      </w:tr>
      <w:tr w14:paraId="592A5E7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BA7822A">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1F792F44">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63F0CE89">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E8338B7">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6ECB433">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tc>
      </w:tr>
      <w:tr w14:paraId="7F3C4A5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AE26D41">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318567D2">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3034F62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197ABF3">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222BF26C">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51D990A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806E24C">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3375B2EF">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3759B63A">
      <w:pPr>
        <w:pStyle w:val="17"/>
        <w:jc w:val="center"/>
        <w:outlineLvl w:val="1"/>
        <w:rPr>
          <w:rFonts w:hint="eastAsia" w:ascii="仿宋" w:hAnsi="仿宋" w:eastAsia="仿宋" w:cs="仿宋"/>
          <w:sz w:val="24"/>
          <w:szCs w:val="24"/>
          <w:highlight w:val="none"/>
        </w:rPr>
      </w:pPr>
    </w:p>
    <w:p w14:paraId="597263DD">
      <w:pPr>
        <w:pStyle w:val="17"/>
        <w:jc w:val="center"/>
        <w:outlineLvl w:val="1"/>
        <w:rPr>
          <w:rFonts w:hint="eastAsia" w:ascii="仿宋" w:hAnsi="仿宋" w:eastAsia="仿宋" w:cs="仿宋"/>
          <w:sz w:val="24"/>
          <w:szCs w:val="24"/>
          <w:highlight w:val="none"/>
        </w:rPr>
      </w:pPr>
    </w:p>
    <w:p w14:paraId="4EC439A7">
      <w:pPr>
        <w:pStyle w:val="17"/>
        <w:jc w:val="center"/>
        <w:outlineLvl w:val="1"/>
        <w:rPr>
          <w:rFonts w:hint="eastAsia" w:ascii="仿宋" w:hAnsi="仿宋" w:eastAsia="仿宋" w:cs="仿宋"/>
          <w:sz w:val="24"/>
          <w:szCs w:val="24"/>
          <w:highlight w:val="none"/>
        </w:rPr>
      </w:pPr>
    </w:p>
    <w:p w14:paraId="1D4F9304">
      <w:pPr>
        <w:pStyle w:val="17"/>
        <w:widowControl/>
        <w:jc w:val="center"/>
        <w:outlineLvl w:val="1"/>
        <w:rPr>
          <w:rFonts w:hint="eastAsia" w:ascii="仿宋" w:hAnsi="仿宋" w:eastAsia="仿宋" w:cs="仿宋"/>
          <w:sz w:val="40"/>
          <w:szCs w:val="40"/>
          <w:highlight w:val="none"/>
        </w:rPr>
      </w:pPr>
    </w:p>
    <w:p w14:paraId="693DFF40">
      <w:pPr>
        <w:pStyle w:val="17"/>
        <w:widowControl/>
        <w:jc w:val="center"/>
        <w:outlineLvl w:val="1"/>
        <w:rPr>
          <w:rFonts w:hint="eastAsia" w:ascii="仿宋" w:hAnsi="仿宋" w:eastAsia="仿宋" w:cs="仿宋"/>
          <w:sz w:val="40"/>
          <w:szCs w:val="40"/>
          <w:highlight w:val="none"/>
        </w:rPr>
      </w:pPr>
    </w:p>
    <w:p w14:paraId="50B08E6E">
      <w:pPr>
        <w:bidi w:val="0"/>
        <w:rPr>
          <w:rFonts w:hint="eastAsia"/>
        </w:rPr>
      </w:pPr>
    </w:p>
    <w:p w14:paraId="52BE4AC0">
      <w:pPr>
        <w:bidi w:val="0"/>
        <w:rPr>
          <w:rFonts w:hint="eastAsia"/>
        </w:rPr>
      </w:pPr>
    </w:p>
    <w:p w14:paraId="767D4032">
      <w:pPr>
        <w:bidi w:val="0"/>
        <w:rPr>
          <w:rFonts w:hint="eastAsia"/>
        </w:rPr>
      </w:pPr>
    </w:p>
    <w:p w14:paraId="42ADA565">
      <w:pPr>
        <w:bidi w:val="0"/>
        <w:rPr>
          <w:rFonts w:hint="eastAsia"/>
        </w:rPr>
      </w:pPr>
    </w:p>
    <w:p w14:paraId="1F5BC545">
      <w:pPr>
        <w:bidi w:val="0"/>
        <w:rPr>
          <w:rFonts w:hint="eastAsia"/>
        </w:rPr>
      </w:pPr>
    </w:p>
    <w:p w14:paraId="1EF3D12F">
      <w:pPr>
        <w:bidi w:val="0"/>
        <w:rPr>
          <w:rFonts w:hint="eastAsia"/>
        </w:rPr>
      </w:pPr>
    </w:p>
    <w:p w14:paraId="2D5AC6A4">
      <w:pPr>
        <w:bidi w:val="0"/>
        <w:rPr>
          <w:rFonts w:hint="eastAsia"/>
        </w:rPr>
      </w:pPr>
    </w:p>
    <w:p w14:paraId="01778AAE">
      <w:pPr>
        <w:tabs>
          <w:tab w:val="left" w:pos="7278"/>
        </w:tabs>
        <w:bidi w:val="0"/>
        <w:jc w:val="left"/>
        <w:rPr>
          <w:rFonts w:hint="eastAsia" w:eastAsia="宋体"/>
          <w:lang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lang w:eastAsia="zh-CN"/>
        </w:rPr>
        <w:tab/>
      </w: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00A7E5D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1D6DF3F3">
      <w:pPr>
        <w:pStyle w:val="17"/>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51"/>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458B4486">
      <w:pPr>
        <w:pStyle w:val="17"/>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45F3257B">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20"/>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2ED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62C36">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37583C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5E5E82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4757E9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6B2A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13D0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10DEFB3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489FC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DA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885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10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FDF2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45B6180">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B5C60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F28C9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0678B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099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99DB5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D72C4F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61BF5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4399F9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34766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6E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0FF8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304B6E1">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303674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AA832C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EF5DF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F8A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A37E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C638BF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EB2E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C7A3CA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871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3B8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7AC13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AB8DA4">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F725D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6A9D8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8DA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1F1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B0214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5E64194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757752F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4B35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7D3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90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96D0A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68B3D757">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E9A67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966A2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56875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9D8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5C19A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353A618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0768F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0D6D2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81F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D48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24396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5CB7112C">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FDBA9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430B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A60E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CD2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4AFB11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18C6D3E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DF1D4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3F1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DA30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E4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49C0C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437595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CB72A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FEC13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243C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D88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F242CB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C6564CA">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9337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B48A1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578D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65C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9DF76D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73637663">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1C686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FAB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F029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C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6115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25C910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6B167C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01780F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6D1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09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48B4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EFA3BB4">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568B1C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1AE81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D5011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F21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4CBB5D0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1A4233B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3C25ECD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353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AC2D8B9">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0CBF0D4B">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398FA7EA">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74F1399B">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23770F82">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C0553D">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16E92F8">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32B2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B5CE70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065B508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ED9C4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36CA79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58EBCB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24F45E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7CB5542">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8C4B7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0BB91C9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CA59A4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391F13B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3F8283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F14230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C7934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07A12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BFD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4ADE020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37B5B2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062C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EA47B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CF819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434A83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066E8E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D99F10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84B0D2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A78748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9091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0EADCA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D754CF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D05A32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8566C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B8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250B99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8511FB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0CCF8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4F255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4D52E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1773C1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CB1D71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118E15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55EC7F5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DC9414C">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0D318F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9208A9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5030FB2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77D824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6658FA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2FC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7A20167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38963F3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E204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F0FFA7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B5E52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2DD9AC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8ED655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87917A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2186FB8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C204E2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679612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578A83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AE47CF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985682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5C4A4E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4E7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0AD888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2F3C956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7BA44F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99D6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61D8C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547D1D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A9508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6FC178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E6A8C02">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7B5F6C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CB9F44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49685E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51BE3B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E6AE2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1E95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5D6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5B99036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E9AC06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481E4B3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1B200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AB66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1CCBE7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FE0AC9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529D9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59EC475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3D47B8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1BC846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D7D131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94DB83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40D4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4159FC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66D24282">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0AEF4D73">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54CB8858">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5DB3B61E">
      <w:pPr>
        <w:pStyle w:val="52"/>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257AA731">
      <w:pPr>
        <w:pStyle w:val="52"/>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2FFC6BA">
      <w:pPr>
        <w:pStyle w:val="52"/>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A462854">
      <w:pPr>
        <w:pStyle w:val="52"/>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r>
        <w:rPr>
          <w:rFonts w:hint="eastAsia" w:ascii="仿宋" w:hAnsi="仿宋" w:eastAsia="仿宋" w:cs="仿宋"/>
          <w:b/>
          <w:bCs/>
          <w:color w:val="FF0000"/>
          <w:spacing w:val="-4"/>
          <w:kern w:val="0"/>
          <w:sz w:val="21"/>
          <w:szCs w:val="21"/>
          <w:lang w:eastAsia="zh-CN"/>
        </w:rPr>
        <w:t>。</w:t>
      </w:r>
    </w:p>
    <w:p w14:paraId="06580FD6">
      <w:pPr>
        <w:pStyle w:val="17"/>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2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1"/>
        <w:gridCol w:w="8471"/>
      </w:tblGrid>
      <w:tr w14:paraId="18174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541EA8">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8FF906">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7BA35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AA7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7A7A7E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14:paraId="1812B810">
      <w:pPr>
        <w:pStyle w:val="17"/>
        <w:widowControl/>
        <w:spacing w:before="280" w:beforeAutospacing="0"/>
        <w:jc w:val="both"/>
        <w:outlineLvl w:val="1"/>
        <w:rPr>
          <w:rFonts w:hint="eastAsia" w:ascii="仿宋" w:hAnsi="仿宋" w:eastAsia="仿宋" w:cs="仿宋"/>
          <w:sz w:val="40"/>
          <w:szCs w:val="40"/>
          <w:highlight w:val="none"/>
        </w:rPr>
      </w:pPr>
    </w:p>
    <w:p w14:paraId="68C3DD90">
      <w:pPr>
        <w:pStyle w:val="17"/>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8407"/>
      </w:tblGrid>
      <w:tr w14:paraId="54CE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tcPr>
          <w:p w14:paraId="2816E1D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9" w:type="pct"/>
            <w:tcBorders>
              <w:top w:val="single" w:color="auto" w:sz="4" w:space="0"/>
              <w:left w:val="single" w:color="auto" w:sz="4" w:space="0"/>
              <w:bottom w:val="single" w:color="auto" w:sz="4" w:space="0"/>
              <w:right w:val="single" w:color="auto" w:sz="4" w:space="0"/>
            </w:tcBorders>
          </w:tcPr>
          <w:p w14:paraId="2F2396F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1CE1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184AF5F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9" w:type="pct"/>
            <w:tcBorders>
              <w:top w:val="single" w:color="auto" w:sz="4" w:space="0"/>
              <w:left w:val="single" w:color="auto" w:sz="4" w:space="0"/>
              <w:bottom w:val="single" w:color="auto" w:sz="4" w:space="0"/>
              <w:right w:val="single" w:color="auto" w:sz="4" w:space="0"/>
            </w:tcBorders>
          </w:tcPr>
          <w:p w14:paraId="3DB5E67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212B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51CCDA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9" w:type="pct"/>
            <w:tcBorders>
              <w:top w:val="single" w:color="auto" w:sz="4" w:space="0"/>
              <w:left w:val="single" w:color="auto" w:sz="4" w:space="0"/>
              <w:bottom w:val="single" w:color="auto" w:sz="4" w:space="0"/>
              <w:right w:val="single" w:color="auto" w:sz="4" w:space="0"/>
            </w:tcBorders>
          </w:tcPr>
          <w:p w14:paraId="76DACBA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7DF2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0953AA7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9" w:type="pct"/>
            <w:tcBorders>
              <w:top w:val="single" w:color="auto" w:sz="4" w:space="0"/>
              <w:left w:val="single" w:color="auto" w:sz="4" w:space="0"/>
              <w:bottom w:val="single" w:color="auto" w:sz="4" w:space="0"/>
              <w:right w:val="single" w:color="auto" w:sz="4" w:space="0"/>
            </w:tcBorders>
          </w:tcPr>
          <w:p w14:paraId="2BD8F44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2DE7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56A6292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9" w:type="pct"/>
            <w:tcBorders>
              <w:top w:val="single" w:color="auto" w:sz="4" w:space="0"/>
              <w:left w:val="single" w:color="auto" w:sz="4" w:space="0"/>
              <w:bottom w:val="single" w:color="auto" w:sz="4" w:space="0"/>
              <w:right w:val="single" w:color="auto" w:sz="4" w:space="0"/>
            </w:tcBorders>
          </w:tcPr>
          <w:p w14:paraId="18B6B3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评审中出现下列情形之一的，评审委员会应当启动异常低价投标（响应）审查程序：</w:t>
            </w:r>
          </w:p>
          <w:p w14:paraId="62FE5B4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1.投标（响应）报价低于全部通过符合性审查供应商投标（响应）报价平均值50%的，即投标（响应）报价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全部通过符合性审查供应商投标（响应）报价平均值×50%；</w:t>
            </w:r>
          </w:p>
          <w:p w14:paraId="0AEB50B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2.投标（响应）报价低于通过符合性审查的次低报价供应商投标（响应）报价50%的，即投标（响应）报价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通过符合性审查的次低报价供应商投标（响应）报价×50%；</w:t>
            </w:r>
          </w:p>
          <w:p w14:paraId="0A83C94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3.投标（响应）报价低于采购项目最高限价45%的，即投标（响应）报价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采购项目最高限价×45%；</w:t>
            </w:r>
          </w:p>
          <w:p w14:paraId="703BA83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4.评审委员会基于专业判断，认为供应商报价过低，有可能影响产品质量或者不能诚信履约的其他情形。</w:t>
            </w:r>
          </w:p>
          <w:p w14:paraId="2046860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1F46584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4A2D6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6F49594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111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05892E6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9" w:type="pct"/>
            <w:tcBorders>
              <w:top w:val="single" w:color="auto" w:sz="4" w:space="0"/>
              <w:left w:val="single" w:color="auto" w:sz="4" w:space="0"/>
              <w:bottom w:val="single" w:color="auto" w:sz="4" w:space="0"/>
              <w:right w:val="single" w:color="auto" w:sz="4" w:space="0"/>
            </w:tcBorders>
          </w:tcPr>
          <w:p w14:paraId="32319BB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388D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1356DA7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9" w:type="pct"/>
            <w:tcBorders>
              <w:top w:val="single" w:color="auto" w:sz="4" w:space="0"/>
              <w:left w:val="single" w:color="auto" w:sz="4" w:space="0"/>
              <w:bottom w:val="single" w:color="auto" w:sz="4" w:space="0"/>
              <w:right w:val="single" w:color="auto" w:sz="4" w:space="0"/>
            </w:tcBorders>
          </w:tcPr>
          <w:p w14:paraId="2107842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未按招标文件所提供的《投标及履约承诺函》进行承诺；</w:t>
            </w: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未按招标文件对投标文件组成的要求提供投标文件；</w:t>
            </w:r>
          </w:p>
        </w:tc>
      </w:tr>
    </w:tbl>
    <w:p w14:paraId="325FA55C">
      <w:pPr>
        <w:sectPr>
          <w:headerReference r:id="rId7" w:type="first"/>
          <w:footerReference r:id="rId10" w:type="first"/>
          <w:headerReference r:id="rId5" w:type="default"/>
          <w:footerReference r:id="rId8" w:type="default"/>
          <w:headerReference r:id="rId6" w:type="even"/>
          <w:footerReference r:id="rId9" w:type="even"/>
          <w:pgSz w:w="11906" w:h="16838"/>
          <w:pgMar w:top="1134" w:right="1418" w:bottom="1134" w:left="1418" w:header="851" w:footer="992" w:gutter="0"/>
          <w:pgNumType w:fmt="decimal"/>
          <w:cols w:space="720" w:num="1"/>
          <w:titlePg/>
          <w:docGrid w:type="linesAndChars" w:linePitch="312" w:charSpace="0"/>
        </w:sectPr>
      </w:pP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8407"/>
      </w:tblGrid>
      <w:tr w14:paraId="2006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33EEE25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9" w:type="pct"/>
            <w:tcBorders>
              <w:top w:val="single" w:color="auto" w:sz="4" w:space="0"/>
              <w:left w:val="single" w:color="auto" w:sz="4" w:space="0"/>
              <w:bottom w:val="single" w:color="auto" w:sz="4" w:space="0"/>
              <w:right w:val="single" w:color="auto" w:sz="4" w:space="0"/>
            </w:tcBorders>
          </w:tcPr>
          <w:p w14:paraId="605C59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采购标的/</w:t>
            </w:r>
            <w:r>
              <w:rPr>
                <w:rFonts w:hint="eastAsia" w:ascii="仿宋" w:hAnsi="仿宋" w:eastAsia="仿宋" w:cs="仿宋"/>
                <w:kern w:val="0"/>
                <w:sz w:val="24"/>
                <w:szCs w:val="24"/>
                <w:highlight w:val="none"/>
                <w:lang w:val="en-US" w:eastAsia="zh-CN" w:bidi="ar"/>
              </w:rPr>
              <w:t>服务</w:t>
            </w:r>
            <w:r>
              <w:rPr>
                <w:rFonts w:hint="eastAsia" w:ascii="仿宋" w:hAnsi="仿宋" w:eastAsia="仿宋" w:cs="仿宋"/>
                <w:kern w:val="0"/>
                <w:sz w:val="24"/>
                <w:szCs w:val="24"/>
                <w:highlight w:val="none"/>
                <w:lang w:bidi="ar"/>
              </w:rPr>
              <w:t>清单/报价等任意一类有缺漏项或响应不全，或者对招标文件规定的项目需求内容或者需求数量进行修改，评审委员会判定投标响应不满足采购需求；</w:t>
            </w:r>
          </w:p>
        </w:tc>
      </w:tr>
      <w:tr w14:paraId="237D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35FC305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9" w:type="pct"/>
            <w:tcBorders>
              <w:top w:val="single" w:color="auto" w:sz="4" w:space="0"/>
              <w:left w:val="single" w:color="auto" w:sz="4" w:space="0"/>
              <w:bottom w:val="single" w:color="auto" w:sz="4" w:space="0"/>
              <w:right w:val="single" w:color="auto" w:sz="4" w:space="0"/>
            </w:tcBorders>
          </w:tcPr>
          <w:p w14:paraId="6CF9823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w:t>
            </w:r>
            <w:r>
              <w:rPr>
                <w:rFonts w:hint="eastAsia" w:ascii="仿宋" w:hAnsi="仿宋" w:eastAsia="仿宋" w:cs="仿宋"/>
                <w:kern w:val="0"/>
                <w:sz w:val="24"/>
                <w:szCs w:val="24"/>
                <w:highlight w:val="none"/>
                <w:lang w:val="en-US" w:eastAsia="zh-CN" w:bidi="ar"/>
              </w:rPr>
              <w:t>不</w:t>
            </w:r>
            <w:r>
              <w:rPr>
                <w:rFonts w:hint="eastAsia" w:ascii="仿宋" w:hAnsi="仿宋" w:eastAsia="仿宋" w:cs="仿宋"/>
                <w:kern w:val="0"/>
                <w:sz w:val="24"/>
                <w:szCs w:val="24"/>
                <w:highlight w:val="none"/>
                <w:lang w:bidi="ar"/>
              </w:rPr>
              <w:t>存在列放位置错误，导致属于信息公开情形的没有被公开；</w:t>
            </w:r>
          </w:p>
        </w:tc>
      </w:tr>
      <w:tr w14:paraId="27F5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73E60075">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9" w:type="pct"/>
            <w:tcBorders>
              <w:top w:val="single" w:color="auto" w:sz="4" w:space="0"/>
              <w:left w:val="single" w:color="auto" w:sz="4" w:space="0"/>
              <w:bottom w:val="single" w:color="auto" w:sz="4" w:space="0"/>
              <w:right w:val="single" w:color="auto" w:sz="4" w:space="0"/>
            </w:tcBorders>
          </w:tcPr>
          <w:p w14:paraId="48CDBBD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投标文件电子文档不得带病毒；</w:t>
            </w:r>
          </w:p>
        </w:tc>
      </w:tr>
      <w:tr w14:paraId="2D51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3850BA9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9" w:type="pct"/>
            <w:tcBorders>
              <w:top w:val="single" w:color="auto" w:sz="4" w:space="0"/>
              <w:left w:val="single" w:color="auto" w:sz="4" w:space="0"/>
              <w:bottom w:val="single" w:color="auto" w:sz="4" w:space="0"/>
              <w:right w:val="single" w:color="auto" w:sz="4" w:space="0"/>
            </w:tcBorders>
          </w:tcPr>
          <w:p w14:paraId="2C3B565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投标文件不得用不属于本公司的电子密钥或电子营业执照进行加密；</w:t>
            </w:r>
          </w:p>
        </w:tc>
      </w:tr>
      <w:tr w14:paraId="06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tcBorders>
              <w:top w:val="single" w:color="auto" w:sz="4" w:space="0"/>
              <w:left w:val="single" w:color="auto" w:sz="4" w:space="0"/>
              <w:bottom w:val="single" w:color="auto" w:sz="4" w:space="0"/>
              <w:right w:val="single" w:color="auto" w:sz="4" w:space="0"/>
            </w:tcBorders>
            <w:vAlign w:val="center"/>
          </w:tcPr>
          <w:p w14:paraId="590AAFF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9" w:type="pct"/>
            <w:tcBorders>
              <w:top w:val="single" w:color="auto" w:sz="4" w:space="0"/>
              <w:left w:val="single" w:color="auto" w:sz="4" w:space="0"/>
              <w:bottom w:val="single" w:color="auto" w:sz="4" w:space="0"/>
              <w:right w:val="single" w:color="auto" w:sz="4" w:space="0"/>
            </w:tcBorders>
          </w:tcPr>
          <w:p w14:paraId="0CF086B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6108584D">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00B02D94">
      <w:pPr>
        <w:pStyle w:val="17"/>
        <w:jc w:val="center"/>
        <w:outlineLvl w:val="1"/>
        <w:rPr>
          <w:rFonts w:hint="eastAsia" w:ascii="仿宋" w:hAnsi="仿宋" w:eastAsia="仿宋" w:cs="仿宋"/>
          <w:sz w:val="40"/>
          <w:szCs w:val="40"/>
          <w:highlight w:val="none"/>
        </w:rPr>
      </w:pPr>
    </w:p>
    <w:p w14:paraId="6D4C19A4">
      <w:pPr>
        <w:pStyle w:val="17"/>
        <w:jc w:val="center"/>
        <w:outlineLvl w:val="1"/>
        <w:rPr>
          <w:rFonts w:hint="eastAsia" w:ascii="仿宋" w:hAnsi="仿宋" w:eastAsia="仿宋" w:cs="仿宋"/>
          <w:sz w:val="24"/>
          <w:szCs w:val="24"/>
          <w:highlight w:val="none"/>
        </w:rPr>
      </w:pPr>
    </w:p>
    <w:p w14:paraId="7CDEB892">
      <w:pPr>
        <w:pStyle w:val="17"/>
        <w:jc w:val="center"/>
        <w:outlineLvl w:val="1"/>
        <w:rPr>
          <w:rFonts w:hint="eastAsia" w:ascii="仿宋" w:hAnsi="仿宋" w:eastAsia="仿宋" w:cs="仿宋"/>
          <w:sz w:val="24"/>
          <w:szCs w:val="24"/>
          <w:highlight w:val="none"/>
        </w:rPr>
      </w:pPr>
    </w:p>
    <w:p w14:paraId="0BFE93A7">
      <w:pPr>
        <w:pStyle w:val="17"/>
        <w:spacing w:after="1134"/>
        <w:jc w:val="center"/>
        <w:outlineLvl w:val="1"/>
        <w:rPr>
          <w:rFonts w:hint="eastAsia" w:ascii="仿宋" w:hAnsi="仿宋" w:eastAsia="仿宋" w:cs="仿宋"/>
          <w:b/>
          <w:bCs/>
          <w:sz w:val="32"/>
          <w:szCs w:val="32"/>
          <w:highlight w:val="none"/>
        </w:rPr>
      </w:pPr>
    </w:p>
    <w:p w14:paraId="3BF9A1D3">
      <w:pPr>
        <w:pStyle w:val="17"/>
        <w:spacing w:after="1134"/>
        <w:jc w:val="center"/>
        <w:outlineLvl w:val="1"/>
        <w:rPr>
          <w:rFonts w:hint="eastAsia" w:ascii="仿宋" w:hAnsi="仿宋" w:eastAsia="仿宋" w:cs="仿宋"/>
          <w:b/>
          <w:bCs/>
          <w:sz w:val="32"/>
          <w:szCs w:val="32"/>
          <w:highlight w:val="none"/>
        </w:rPr>
      </w:pPr>
    </w:p>
    <w:p w14:paraId="700733E8">
      <w:pPr>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12B163D">
      <w:pPr>
        <w:pStyle w:val="17"/>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p w14:paraId="4D933117">
      <w:pPr>
        <w:pStyle w:val="17"/>
        <w:keepNext w:val="0"/>
        <w:keepLines w:val="0"/>
        <w:pageBreakBefore w:val="0"/>
        <w:widowControl/>
        <w:numPr>
          <w:ilvl w:val="0"/>
          <w:numId w:val="0"/>
        </w:numPr>
        <w:kinsoku/>
        <w:wordWrap/>
        <w:overflowPunct/>
        <w:topLinePunct w:val="0"/>
        <w:autoSpaceDE/>
        <w:autoSpaceDN/>
        <w:bidi w:val="0"/>
        <w:adjustRightInd/>
        <w:snapToGrid/>
        <w:jc w:val="both"/>
        <w:textAlignment w:val="auto"/>
        <w:outlineLvl w:val="1"/>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kern w:val="2"/>
          <w:sz w:val="24"/>
          <w:szCs w:val="24"/>
          <w:highlight w:val="none"/>
          <w:lang w:val="en-US" w:eastAsia="zh-CN" w:bidi="ar-SA"/>
        </w:rPr>
        <w:t>评标方法：综合评分法（新价格分算法）</w:t>
      </w:r>
    </w:p>
    <w:p w14:paraId="4B16E2C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3CB1612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509E587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185E7A9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5249592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7B64E1D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1B3AEE7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2E2A5E5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60F8B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00F8312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07B3E70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14:paraId="431E14C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优惠主体承接是指提供服务的人员为中小企业依照《中华人民共和国劳动合同法》订立劳动合同的从业人员。</w:t>
      </w:r>
    </w:p>
    <w:p w14:paraId="5AEE41D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rPr>
        <w:t>其他未列明行业</w:t>
      </w:r>
      <w:r>
        <w:rPr>
          <w:rFonts w:hint="eastAsia" w:ascii="仿宋" w:hAnsi="仿宋" w:eastAsia="仿宋" w:cs="仿宋"/>
          <w:color w:val="auto"/>
          <w:kern w:val="0"/>
          <w:sz w:val="24"/>
          <w:szCs w:val="24"/>
          <w:highlight w:val="none"/>
          <w:lang w:val="en-US" w:eastAsia="zh-CN"/>
        </w:rPr>
        <w:t>。</w:t>
      </w:r>
    </w:p>
    <w:p w14:paraId="004C727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4C2E7DD3">
      <w:pPr>
        <w:pStyle w:val="17"/>
        <w:keepNext w:val="0"/>
        <w:keepLines w:val="0"/>
        <w:pageBreakBefore w:val="0"/>
        <w:widowControl/>
        <w:numPr>
          <w:ilvl w:val="0"/>
          <w:numId w:val="0"/>
        </w:numPr>
        <w:kinsoku/>
        <w:wordWrap/>
        <w:overflowPunct/>
        <w:topLinePunct w:val="0"/>
        <w:autoSpaceDE/>
        <w:autoSpaceDN/>
        <w:bidi w:val="0"/>
        <w:adjustRightInd/>
        <w:snapToGrid/>
        <w:jc w:val="both"/>
        <w:textAlignment w:val="auto"/>
        <w:outlineLvl w:val="1"/>
        <w:rPr>
          <w:rFonts w:hint="eastAsia" w:ascii="仿宋" w:hAnsi="仿宋" w:eastAsia="仿宋" w:cs="仿宋"/>
          <w:b/>
          <w:bCs/>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bl>
      <w:tblPr>
        <w:tblStyle w:val="20"/>
        <w:tblW w:w="0" w:type="auto"/>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17"/>
        <w:gridCol w:w="516"/>
        <w:gridCol w:w="1520"/>
        <w:gridCol w:w="916"/>
        <w:gridCol w:w="5837"/>
      </w:tblGrid>
      <w:tr w14:paraId="4A767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blCellSpacing w:w="0"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58014F2E">
            <w:pPr>
              <w:pStyle w:val="16"/>
              <w:keepNext w:val="0"/>
              <w:keepLines w:val="0"/>
              <w:suppressLineNumbers w:val="0"/>
              <w:wordWrap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44D70680">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5836" w:type="dxa"/>
            <w:tcBorders>
              <w:top w:val="single" w:color="auto" w:sz="4" w:space="0"/>
              <w:left w:val="single" w:color="auto" w:sz="4" w:space="0"/>
              <w:bottom w:val="single" w:color="auto" w:sz="4" w:space="0"/>
              <w:right w:val="single" w:color="auto" w:sz="4" w:space="0"/>
            </w:tcBorders>
            <w:vAlign w:val="center"/>
          </w:tcPr>
          <w:p w14:paraId="3A5D6720">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3F2E0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blCellSpacing w:w="0"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4CAF3673">
            <w:pPr>
              <w:pStyle w:val="16"/>
              <w:keepNext w:val="0"/>
              <w:keepLines w:val="0"/>
              <w:suppressLineNumbers w:val="0"/>
              <w:wordWrap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60065A1F">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5836" w:type="dxa"/>
            <w:tcBorders>
              <w:top w:val="single" w:color="auto" w:sz="4" w:space="0"/>
              <w:left w:val="single" w:color="auto" w:sz="4" w:space="0"/>
              <w:bottom w:val="single" w:color="auto" w:sz="4" w:space="0"/>
              <w:right w:val="single" w:color="auto" w:sz="4" w:space="0"/>
            </w:tcBorders>
            <w:vAlign w:val="center"/>
          </w:tcPr>
          <w:p w14:paraId="0F50FDCE">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10</w:t>
            </w:r>
          </w:p>
        </w:tc>
      </w:tr>
      <w:tr w14:paraId="6E197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blCellSpacing w:w="0" w:type="dxa"/>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2C2AE5F3">
            <w:pPr>
              <w:pStyle w:val="16"/>
              <w:keepNext w:val="0"/>
              <w:keepLines w:val="0"/>
              <w:widowControl w:val="0"/>
              <w:suppressLineNumbers w:val="0"/>
              <w:wordWrap w:val="0"/>
              <w:spacing w:before="0" w:beforeAutospacing="0" w:after="0" w:afterAutospacing="0"/>
              <w:ind w:left="0" w:right="0"/>
              <w:jc w:val="center"/>
              <w:rPr>
                <w:rFonts w:hint="eastAsia" w:ascii="仿宋" w:hAnsi="仿宋" w:eastAsia="仿宋" w:cs="仿宋"/>
                <w:highlight w:val="none"/>
                <w:lang w:val="en-US" w:eastAsia="zh-CN"/>
              </w:rPr>
            </w:pPr>
          </w:p>
          <w:p w14:paraId="49B06514">
            <w:pPr>
              <w:pStyle w:val="16"/>
              <w:keepNext w:val="0"/>
              <w:keepLines w:val="0"/>
              <w:widowControl w:val="0"/>
              <w:suppressLineNumbers w:val="0"/>
              <w:wordWrap w:val="0"/>
              <w:spacing w:before="0" w:beforeAutospacing="0" w:after="0" w:afterAutospacing="0"/>
              <w:ind w:left="0" w:right="0"/>
              <w:jc w:val="both"/>
              <w:rPr>
                <w:rFonts w:hint="eastAsia" w:ascii="仿宋" w:hAnsi="仿宋" w:eastAsia="仿宋" w:cs="仿宋"/>
                <w:highlight w:val="none"/>
                <w:lang w:val="en-US" w:eastAsia="zh-CN"/>
              </w:rPr>
            </w:pPr>
          </w:p>
          <w:p w14:paraId="7D49DFD6">
            <w:pPr>
              <w:pStyle w:val="16"/>
              <w:keepNext w:val="0"/>
              <w:keepLines w:val="0"/>
              <w:widowControl w:val="0"/>
              <w:suppressLineNumbers w:val="0"/>
              <w:wordWrap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02D36A5">
            <w:pPr>
              <w:keepNext w:val="0"/>
              <w:keepLines w:val="0"/>
              <w:widowControl w:val="0"/>
              <w:suppressLineNumbers w:val="0"/>
              <w:wordWrap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5836" w:type="dxa"/>
            <w:tcBorders>
              <w:top w:val="single" w:color="auto" w:sz="4" w:space="0"/>
              <w:left w:val="single" w:color="auto" w:sz="4" w:space="0"/>
              <w:bottom w:val="single" w:color="auto" w:sz="4" w:space="0"/>
              <w:right w:val="single" w:color="auto" w:sz="4" w:space="0"/>
            </w:tcBorders>
            <w:vAlign w:val="center"/>
          </w:tcPr>
          <w:p w14:paraId="6E7B6922">
            <w:pPr>
              <w:keepNext w:val="0"/>
              <w:keepLines w:val="0"/>
              <w:widowControl w:val="0"/>
              <w:suppressLineNumbers w:val="0"/>
              <w:wordWrap w:val="0"/>
              <w:adjustRightInd w:val="0"/>
              <w:snapToGrid w:val="0"/>
              <w:spacing w:before="0" w:beforeAutospacing="0" w:after="0" w:afterAutospacing="0"/>
              <w:ind w:left="0" w:right="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72</w:t>
            </w:r>
          </w:p>
        </w:tc>
      </w:tr>
      <w:tr w14:paraId="03FEE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609B4F">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FF53D04">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7541348E">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0" w:type="auto"/>
            <w:tcBorders>
              <w:top w:val="single" w:color="auto" w:sz="4" w:space="0"/>
              <w:left w:val="single" w:color="auto" w:sz="4" w:space="0"/>
              <w:bottom w:val="single" w:color="auto" w:sz="4" w:space="0"/>
              <w:right w:val="single" w:color="auto" w:sz="4" w:space="0"/>
            </w:tcBorders>
            <w:vAlign w:val="center"/>
          </w:tcPr>
          <w:p w14:paraId="3DDE6069">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5836" w:type="dxa"/>
            <w:tcBorders>
              <w:top w:val="single" w:color="auto" w:sz="4" w:space="0"/>
              <w:left w:val="single" w:color="auto" w:sz="4" w:space="0"/>
              <w:bottom w:val="single" w:color="auto" w:sz="4" w:space="0"/>
              <w:right w:val="single" w:color="auto" w:sz="4" w:space="0"/>
            </w:tcBorders>
            <w:vAlign w:val="center"/>
          </w:tcPr>
          <w:p w14:paraId="4E3F2CC5">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168AA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3"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A4211D">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30DF9D">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0" w:type="auto"/>
            <w:tcBorders>
              <w:top w:val="single" w:color="auto" w:sz="4" w:space="0"/>
              <w:left w:val="single" w:color="auto" w:sz="4" w:space="0"/>
              <w:bottom w:val="single" w:color="auto" w:sz="4" w:space="0"/>
              <w:right w:val="single" w:color="auto" w:sz="4" w:space="0"/>
            </w:tcBorders>
            <w:vAlign w:val="center"/>
          </w:tcPr>
          <w:p w14:paraId="28B90312">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项目总体实施方案</w:t>
            </w:r>
          </w:p>
        </w:tc>
        <w:tc>
          <w:tcPr>
            <w:tcW w:w="0" w:type="auto"/>
            <w:tcBorders>
              <w:top w:val="single" w:color="auto" w:sz="4" w:space="0"/>
              <w:left w:val="single" w:color="auto" w:sz="4" w:space="0"/>
              <w:bottom w:val="single" w:color="auto" w:sz="4" w:space="0"/>
              <w:right w:val="single" w:color="auto" w:sz="4" w:space="0"/>
            </w:tcBorders>
            <w:vAlign w:val="center"/>
          </w:tcPr>
          <w:p w14:paraId="135A2F45">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w:t>
            </w:r>
          </w:p>
        </w:tc>
        <w:tc>
          <w:tcPr>
            <w:tcW w:w="5836" w:type="dxa"/>
            <w:tcBorders>
              <w:top w:val="single" w:color="auto" w:sz="4" w:space="0"/>
              <w:left w:val="single" w:color="auto" w:sz="4" w:space="0"/>
              <w:bottom w:val="single" w:color="auto" w:sz="4" w:space="0"/>
              <w:right w:val="single" w:color="auto" w:sz="4" w:space="0"/>
            </w:tcBorders>
            <w:vAlign w:val="center"/>
          </w:tcPr>
          <w:p w14:paraId="14523479">
            <w:pPr>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1FD2CE92">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针对本项目的需求制定项目</w:t>
            </w:r>
            <w:r>
              <w:rPr>
                <w:rFonts w:hint="eastAsia" w:ascii="仿宋" w:hAnsi="仿宋" w:eastAsia="仿宋" w:cs="仿宋"/>
                <w:sz w:val="24"/>
                <w:szCs w:val="24"/>
                <w:highlight w:val="none"/>
                <w:lang w:val="en-US" w:eastAsia="zh-CN"/>
              </w:rPr>
              <w:t>总体</w:t>
            </w:r>
            <w:r>
              <w:rPr>
                <w:rFonts w:hint="eastAsia" w:ascii="仿宋" w:hAnsi="仿宋" w:eastAsia="仿宋" w:cs="仿宋"/>
                <w:sz w:val="24"/>
                <w:szCs w:val="24"/>
                <w:highlight w:val="none"/>
              </w:rPr>
              <w:t>实施方案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包括但不限于以下内容</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1.项目详细组织实施方案；</w:t>
            </w:r>
          </w:p>
          <w:p w14:paraId="6ABE145D">
            <w:pPr>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流程及</w:t>
            </w:r>
            <w:r>
              <w:rPr>
                <w:rFonts w:hint="eastAsia" w:ascii="仿宋" w:hAnsi="仿宋" w:eastAsia="仿宋" w:cs="仿宋"/>
                <w:sz w:val="24"/>
                <w:szCs w:val="24"/>
                <w:highlight w:val="none"/>
              </w:rPr>
              <w:t>分工</w:t>
            </w:r>
            <w:r>
              <w:rPr>
                <w:rFonts w:hint="eastAsia" w:ascii="仿宋" w:hAnsi="仿宋" w:eastAsia="仿宋" w:cs="仿宋"/>
                <w:sz w:val="24"/>
                <w:szCs w:val="24"/>
                <w:highlight w:val="none"/>
                <w:lang w:val="en-US" w:eastAsia="zh-CN"/>
              </w:rPr>
              <w:t>安排</w:t>
            </w:r>
            <w:r>
              <w:rPr>
                <w:rFonts w:hint="eastAsia" w:ascii="仿宋" w:hAnsi="仿宋" w:eastAsia="仿宋" w:cs="仿宋"/>
                <w:sz w:val="24"/>
                <w:szCs w:val="24"/>
                <w:highlight w:val="none"/>
                <w:lang w:eastAsia="zh-CN"/>
              </w:rPr>
              <w:t>；</w:t>
            </w:r>
          </w:p>
          <w:p w14:paraId="09116883">
            <w:pPr>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lang w:val="en-US" w:eastAsia="zh-CN"/>
              </w:rPr>
              <w:t>提供</w:t>
            </w:r>
            <w:r>
              <w:rPr>
                <w:rFonts w:hint="eastAsia" w:ascii="仿宋" w:hAnsi="仿宋" w:eastAsia="仿宋" w:cs="仿宋"/>
                <w:b w:val="0"/>
                <w:bCs w:val="0"/>
                <w:sz w:val="24"/>
                <w:szCs w:val="24"/>
                <w:highlight w:val="none"/>
                <w:lang w:val="en-US" w:eastAsia="zh-CN"/>
              </w:rPr>
              <w:t>项目详细进度计划；</w:t>
            </w:r>
            <w:r>
              <w:rPr>
                <w:rFonts w:hint="eastAsia" w:ascii="仿宋" w:hAnsi="仿宋" w:eastAsia="仿宋" w:cs="仿宋"/>
                <w:sz w:val="24"/>
                <w:szCs w:val="24"/>
                <w:highlight w:val="none"/>
              </w:rPr>
              <w:t xml:space="preserve"> </w:t>
            </w:r>
          </w:p>
          <w:p w14:paraId="2EEB9E8F">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rPr>
            </w:pPr>
            <w:r>
              <w:rPr>
                <w:rFonts w:hint="eastAsia" w:ascii="仿宋" w:hAnsi="仿宋" w:eastAsia="仿宋" w:cs="仿宋"/>
                <w:sz w:val="24"/>
                <w:szCs w:val="24"/>
                <w:highlight w:val="none"/>
                <w:lang w:val="en-US" w:eastAsia="zh-CN"/>
              </w:rPr>
              <w:t>4.项目</w:t>
            </w:r>
            <w:r>
              <w:rPr>
                <w:rFonts w:hint="eastAsia" w:ascii="仿宋" w:hAnsi="仿宋" w:eastAsia="仿宋" w:cs="仿宋"/>
                <w:color w:val="auto"/>
                <w:sz w:val="24"/>
                <w:szCs w:val="24"/>
                <w:highlight w:val="none"/>
                <w:lang w:eastAsia="zh-CN"/>
              </w:rPr>
              <w:t>保密措施。</w:t>
            </w:r>
          </w:p>
          <w:p w14:paraId="477CAB74">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5AAC5099">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240" w:lineRule="auto"/>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得8</w:t>
            </w:r>
            <w:r>
              <w:rPr>
                <w:rFonts w:hint="eastAsia" w:ascii="仿宋" w:hAnsi="仿宋" w:eastAsia="仿宋" w:cs="仿宋"/>
                <w:color w:val="000000"/>
                <w:sz w:val="24"/>
                <w:szCs w:val="24"/>
                <w:highlight w:val="none"/>
                <w:lang w:val="zh-CN"/>
              </w:rPr>
              <w:t>分，其他不得分。</w:t>
            </w:r>
          </w:p>
          <w:p w14:paraId="03F6C024">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在此基础上，按照下列要求进行加分：</w:t>
            </w:r>
          </w:p>
          <w:p w14:paraId="0DB4CB81">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方案符合实际、完整、规范、思路清晰，内容</w:t>
            </w:r>
            <w:r>
              <w:rPr>
                <w:rFonts w:hint="eastAsia" w:ascii="仿宋" w:hAnsi="仿宋" w:eastAsia="仿宋" w:cs="仿宋"/>
                <w:color w:val="auto"/>
                <w:sz w:val="24"/>
                <w:szCs w:val="24"/>
                <w:highlight w:val="none"/>
                <w:lang w:val="en-US" w:eastAsia="zh-CN"/>
              </w:rPr>
              <w:t>针对性</w:t>
            </w:r>
            <w:r>
              <w:rPr>
                <w:rFonts w:hint="eastAsia" w:ascii="仿宋" w:hAnsi="仿宋" w:eastAsia="仿宋" w:cs="仿宋"/>
                <w:color w:val="auto"/>
                <w:sz w:val="24"/>
                <w:szCs w:val="24"/>
                <w:highlight w:val="none"/>
              </w:rPr>
              <w:t>强。评价为优</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4E89377B">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方案较符合实际、较完整规范、思路较清晰，内容</w:t>
            </w:r>
            <w:r>
              <w:rPr>
                <w:rFonts w:hint="eastAsia" w:ascii="仿宋" w:hAnsi="仿宋" w:eastAsia="仿宋" w:cs="仿宋"/>
                <w:color w:val="auto"/>
                <w:sz w:val="24"/>
                <w:szCs w:val="24"/>
                <w:highlight w:val="none"/>
                <w:lang w:val="en-US" w:eastAsia="zh-CN"/>
              </w:rPr>
              <w:t>针对性</w:t>
            </w:r>
            <w:r>
              <w:rPr>
                <w:rFonts w:hint="eastAsia" w:ascii="仿宋" w:hAnsi="仿宋" w:eastAsia="仿宋" w:cs="仿宋"/>
                <w:color w:val="auto"/>
                <w:sz w:val="24"/>
                <w:szCs w:val="24"/>
                <w:highlight w:val="none"/>
              </w:rPr>
              <w:t>较强。评价为良</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4789C6C">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方案较普通、完整性</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规范性一般，思路不够清晰，内容</w:t>
            </w:r>
            <w:r>
              <w:rPr>
                <w:rFonts w:hint="eastAsia" w:ascii="仿宋" w:hAnsi="仿宋" w:eastAsia="仿宋" w:cs="仿宋"/>
                <w:color w:val="auto"/>
                <w:sz w:val="24"/>
                <w:szCs w:val="24"/>
                <w:highlight w:val="none"/>
                <w:lang w:val="en-US" w:eastAsia="zh-CN"/>
              </w:rPr>
              <w:t>针对</w:t>
            </w:r>
            <w:r>
              <w:rPr>
                <w:rFonts w:hint="eastAsia" w:ascii="仿宋" w:hAnsi="仿宋" w:eastAsia="仿宋" w:cs="仿宋"/>
                <w:color w:val="auto"/>
                <w:sz w:val="24"/>
                <w:szCs w:val="24"/>
                <w:highlight w:val="none"/>
              </w:rPr>
              <w:t>性一般。评价为中</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0E0408D4">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方案不完整、不规范，思路不清晰，内容</w:t>
            </w:r>
            <w:r>
              <w:rPr>
                <w:rFonts w:hint="eastAsia" w:ascii="仿宋" w:hAnsi="仿宋" w:eastAsia="仿宋" w:cs="仿宋"/>
                <w:color w:val="auto"/>
                <w:sz w:val="24"/>
                <w:szCs w:val="24"/>
                <w:highlight w:val="none"/>
                <w:lang w:val="en-US" w:eastAsia="zh-CN"/>
              </w:rPr>
              <w:t>针对</w:t>
            </w:r>
            <w:r>
              <w:rPr>
                <w:rFonts w:hint="eastAsia" w:ascii="仿宋" w:hAnsi="仿宋" w:eastAsia="仿宋" w:cs="仿宋"/>
                <w:color w:val="auto"/>
                <w:sz w:val="24"/>
                <w:szCs w:val="24"/>
                <w:highlight w:val="none"/>
              </w:rPr>
              <w:t>性较差。评价为差</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加1</w:t>
            </w:r>
            <w:r>
              <w:rPr>
                <w:rFonts w:hint="eastAsia" w:ascii="仿宋" w:hAnsi="仿宋" w:eastAsia="仿宋" w:cs="仿宋"/>
                <w:color w:val="auto"/>
                <w:sz w:val="24"/>
                <w:szCs w:val="24"/>
                <w:highlight w:val="none"/>
              </w:rPr>
              <w:t>分。</w:t>
            </w:r>
          </w:p>
          <w:p w14:paraId="251755C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lang w:val="en-US" w:eastAsia="zh-CN"/>
              </w:rPr>
            </w:pPr>
            <w:r>
              <w:rPr>
                <w:rFonts w:hint="eastAsia" w:ascii="仿宋" w:hAnsi="仿宋" w:eastAsia="仿宋" w:cs="仿宋"/>
                <w:sz w:val="24"/>
                <w:szCs w:val="24"/>
                <w:highlight w:val="none"/>
                <w:lang w:val="en-US" w:eastAsia="zh-CN"/>
              </w:rPr>
              <w:t>未提供方案或提供的不符合或专家无法凭所提供材料判断是否得分的情况，一律作不得分处理。</w:t>
            </w:r>
          </w:p>
        </w:tc>
      </w:tr>
      <w:tr w14:paraId="2C843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1629A5">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14:paraId="1AA02725">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p>
        </w:tc>
        <w:tc>
          <w:tcPr>
            <w:tcW w:w="0" w:type="auto"/>
            <w:tcBorders>
              <w:top w:val="single" w:color="auto" w:sz="4" w:space="0"/>
              <w:left w:val="single" w:color="auto" w:sz="4" w:space="0"/>
              <w:bottom w:val="single" w:color="auto" w:sz="4" w:space="0"/>
              <w:right w:val="single" w:color="auto" w:sz="4" w:space="0"/>
            </w:tcBorders>
            <w:vAlign w:val="center"/>
          </w:tcPr>
          <w:p w14:paraId="088037DD">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工作质量保障措施</w:t>
            </w:r>
          </w:p>
        </w:tc>
        <w:tc>
          <w:tcPr>
            <w:tcW w:w="0" w:type="auto"/>
            <w:tcBorders>
              <w:top w:val="single" w:color="auto" w:sz="4" w:space="0"/>
              <w:left w:val="single" w:color="auto" w:sz="4" w:space="0"/>
              <w:bottom w:val="single" w:color="auto" w:sz="4" w:space="0"/>
              <w:right w:val="single" w:color="auto" w:sz="4" w:space="0"/>
            </w:tcBorders>
            <w:vAlign w:val="center"/>
          </w:tcPr>
          <w:p w14:paraId="0A8AF212">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5836" w:type="dxa"/>
            <w:tcBorders>
              <w:top w:val="single" w:color="auto" w:sz="4" w:space="0"/>
              <w:left w:val="single" w:color="auto" w:sz="4" w:space="0"/>
              <w:bottom w:val="single" w:color="auto" w:sz="4" w:space="0"/>
              <w:right w:val="single" w:color="auto" w:sz="4" w:space="0"/>
            </w:tcBorders>
            <w:vAlign w:val="center"/>
          </w:tcPr>
          <w:p w14:paraId="6C20C48B">
            <w:pPr>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46C67D7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针对本项目的需求制定</w:t>
            </w:r>
            <w:r>
              <w:rPr>
                <w:rFonts w:hint="eastAsia" w:ascii="仿宋" w:hAnsi="仿宋" w:eastAsia="仿宋" w:cs="仿宋"/>
                <w:sz w:val="24"/>
                <w:szCs w:val="24"/>
                <w:highlight w:val="none"/>
                <w:lang w:val="en-US" w:eastAsia="zh-CN"/>
              </w:rPr>
              <w:t>工作质量保障措施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包括但不限于以下内容</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color w:val="auto"/>
                <w:sz w:val="24"/>
                <w:szCs w:val="24"/>
                <w:highlight w:val="none"/>
              </w:rPr>
              <w:t>1.项目质量管理</w:t>
            </w:r>
            <w:r>
              <w:rPr>
                <w:rFonts w:hint="eastAsia" w:ascii="仿宋" w:hAnsi="仿宋" w:eastAsia="仿宋" w:cs="仿宋"/>
                <w:color w:val="auto"/>
                <w:sz w:val="24"/>
                <w:szCs w:val="24"/>
                <w:highlight w:val="none"/>
                <w:lang w:val="en-US" w:eastAsia="zh-CN"/>
              </w:rPr>
              <w:t>及保障</w:t>
            </w:r>
            <w:r>
              <w:rPr>
                <w:rFonts w:hint="eastAsia" w:ascii="仿宋" w:hAnsi="仿宋" w:eastAsia="仿宋" w:cs="仿宋"/>
                <w:color w:val="auto"/>
                <w:sz w:val="24"/>
                <w:szCs w:val="24"/>
                <w:highlight w:val="none"/>
              </w:rPr>
              <w:t>；</w:t>
            </w:r>
          </w:p>
          <w:p w14:paraId="0FEB6863">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进度控制措施</w:t>
            </w:r>
            <w:r>
              <w:rPr>
                <w:rFonts w:hint="eastAsia" w:ascii="仿宋" w:hAnsi="仿宋" w:eastAsia="仿宋" w:cs="仿宋"/>
                <w:color w:val="auto"/>
                <w:sz w:val="24"/>
                <w:szCs w:val="24"/>
                <w:highlight w:val="none"/>
              </w:rPr>
              <w:t>；</w:t>
            </w:r>
          </w:p>
          <w:p w14:paraId="44E72A9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突发情况处置。</w:t>
            </w:r>
          </w:p>
          <w:p w14:paraId="3204A3C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137E9B05">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240" w:lineRule="auto"/>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得6</w:t>
            </w:r>
            <w:r>
              <w:rPr>
                <w:rFonts w:hint="eastAsia" w:ascii="仿宋" w:hAnsi="仿宋" w:eastAsia="仿宋" w:cs="仿宋"/>
                <w:color w:val="000000"/>
                <w:sz w:val="24"/>
                <w:szCs w:val="24"/>
                <w:highlight w:val="none"/>
                <w:lang w:val="zh-CN"/>
              </w:rPr>
              <w:t>分，其他不得分。</w:t>
            </w:r>
          </w:p>
          <w:p w14:paraId="36DDF1EC">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在此基础上，</w:t>
            </w:r>
            <w:r>
              <w:rPr>
                <w:rFonts w:hint="eastAsia" w:ascii="仿宋" w:hAnsi="仿宋" w:eastAsia="仿宋" w:cs="仿宋"/>
                <w:color w:val="auto"/>
                <w:sz w:val="24"/>
                <w:szCs w:val="24"/>
                <w:highlight w:val="none"/>
                <w:lang w:val="en-US" w:eastAsia="zh-CN"/>
              </w:rPr>
              <w:t>按照下列要求进行加分</w:t>
            </w:r>
            <w:r>
              <w:rPr>
                <w:rFonts w:hint="eastAsia" w:ascii="仿宋" w:hAnsi="仿宋" w:eastAsia="仿宋" w:cs="仿宋"/>
                <w:color w:val="auto"/>
                <w:sz w:val="24"/>
                <w:szCs w:val="24"/>
                <w:highlight w:val="none"/>
                <w:lang w:val="zh-CN"/>
              </w:rPr>
              <w:t>：</w:t>
            </w:r>
          </w:p>
          <w:p w14:paraId="0C466904">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方案符合实际、完整、规范、思路清晰，内容合理性强。评价为优</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CF4B3AE">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方案较符合实际、较完整规范、思路较清晰，内容合理性较强。评价为良</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366C12E9">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方案较普通、完整性</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规范性一般，思路不够清晰，内容合理性一般。评价为中</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0A0539C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方案不完整、不规范，思路不清晰，内容合理性较差。评价为差</w:t>
            </w:r>
            <w:r>
              <w:rPr>
                <w:rFonts w:hint="eastAsia" w:ascii="仿宋" w:hAnsi="仿宋" w:eastAsia="仿宋" w:cs="仿宋"/>
                <w:color w:val="auto"/>
                <w:sz w:val="24"/>
                <w:szCs w:val="24"/>
                <w:highlight w:val="none"/>
                <w:lang w:val="en-US" w:eastAsia="zh-CN"/>
              </w:rPr>
              <w:t>的，加1</w:t>
            </w:r>
            <w:r>
              <w:rPr>
                <w:rFonts w:hint="eastAsia" w:ascii="仿宋" w:hAnsi="仿宋" w:eastAsia="仿宋" w:cs="仿宋"/>
                <w:color w:val="auto"/>
                <w:sz w:val="24"/>
                <w:szCs w:val="24"/>
                <w:highlight w:val="none"/>
              </w:rPr>
              <w:t>分。</w:t>
            </w:r>
          </w:p>
          <w:p w14:paraId="2246A1C9">
            <w:pPr>
              <w:pStyle w:val="6"/>
              <w:keepNext w:val="0"/>
              <w:keepLines w:val="0"/>
              <w:pageBreakBefore w:val="0"/>
              <w:suppressLineNumbers w:val="0"/>
              <w:kinsoku/>
              <w:wordWrap w:val="0"/>
              <w:overflowPunct/>
              <w:topLinePunct w:val="0"/>
              <w:autoSpaceDE/>
              <w:autoSpaceDN/>
              <w:bidi w:val="0"/>
              <w:spacing w:before="0" w:beforeAutospacing="0" w:after="0" w:afterAutospacing="0" w:line="240" w:lineRule="auto"/>
              <w:ind w:left="0" w:right="0"/>
              <w:textAlignment w:val="auto"/>
              <w:rPr>
                <w:rFonts w:hint="eastAsia"/>
                <w:lang w:val="en-US" w:eastAsia="zh-CN"/>
              </w:rPr>
            </w:pPr>
            <w:r>
              <w:rPr>
                <w:rFonts w:hint="eastAsia" w:ascii="仿宋" w:hAnsi="仿宋" w:eastAsia="仿宋" w:cs="仿宋"/>
                <w:color w:val="auto"/>
                <w:sz w:val="24"/>
                <w:szCs w:val="24"/>
                <w:highlight w:val="none"/>
                <w:lang w:val="en-US" w:eastAsia="zh-CN"/>
              </w:rPr>
              <w:t>未提供</w:t>
            </w:r>
            <w:r>
              <w:rPr>
                <w:rFonts w:hint="eastAsia" w:ascii="仿宋" w:hAnsi="仿宋" w:eastAsia="仿宋" w:cs="仿宋"/>
                <w:sz w:val="24"/>
                <w:szCs w:val="24"/>
                <w:highlight w:val="none"/>
                <w:lang w:val="en-US" w:eastAsia="zh-CN"/>
              </w:rPr>
              <w:t>方案</w:t>
            </w:r>
            <w:r>
              <w:rPr>
                <w:rFonts w:hint="eastAsia" w:ascii="仿宋" w:hAnsi="仿宋" w:eastAsia="仿宋" w:cs="仿宋"/>
                <w:color w:val="auto"/>
                <w:sz w:val="24"/>
                <w:szCs w:val="24"/>
                <w:highlight w:val="none"/>
                <w:lang w:val="en-US" w:eastAsia="zh-CN"/>
              </w:rPr>
              <w:t>或提供的不符合或专家无法凭所提供材料判断是否得分的情况，一律作不得分处理。</w:t>
            </w:r>
          </w:p>
        </w:tc>
      </w:tr>
      <w:tr w14:paraId="7B7D01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8"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B2525A">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2C94C6C">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0" w:type="auto"/>
            <w:tcBorders>
              <w:top w:val="single" w:color="auto" w:sz="4" w:space="0"/>
              <w:left w:val="single" w:color="auto" w:sz="4" w:space="0"/>
              <w:bottom w:val="single" w:color="auto" w:sz="4" w:space="0"/>
              <w:right w:val="single" w:color="auto" w:sz="4" w:space="0"/>
            </w:tcBorders>
            <w:vAlign w:val="center"/>
          </w:tcPr>
          <w:p w14:paraId="0776C74B">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项目重点难点分析、应对措施及相关的合理化建议</w:t>
            </w:r>
          </w:p>
        </w:tc>
        <w:tc>
          <w:tcPr>
            <w:tcW w:w="0" w:type="auto"/>
            <w:tcBorders>
              <w:top w:val="single" w:color="auto" w:sz="4" w:space="0"/>
              <w:left w:val="single" w:color="auto" w:sz="4" w:space="0"/>
              <w:bottom w:val="single" w:color="auto" w:sz="4" w:space="0"/>
              <w:right w:val="single" w:color="auto" w:sz="4" w:space="0"/>
            </w:tcBorders>
            <w:vAlign w:val="center"/>
          </w:tcPr>
          <w:p w14:paraId="5A07385C">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5836" w:type="dxa"/>
            <w:tcBorders>
              <w:top w:val="single" w:color="auto" w:sz="4" w:space="0"/>
              <w:left w:val="single" w:color="auto" w:sz="4" w:space="0"/>
              <w:bottom w:val="single" w:color="auto" w:sz="4" w:space="0"/>
              <w:right w:val="single" w:color="auto" w:sz="4" w:space="0"/>
            </w:tcBorders>
            <w:vAlign w:val="center"/>
          </w:tcPr>
          <w:p w14:paraId="109DC8AC">
            <w:pPr>
              <w:keepNext w:val="0"/>
              <w:keepLines w:val="0"/>
              <w:pageBreakBefore w:val="0"/>
              <w:suppressLineNumbers w:val="0"/>
              <w:tabs>
                <w:tab w:val="left" w:pos="426"/>
              </w:tabs>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（一）评分内容：</w:t>
            </w:r>
          </w:p>
          <w:p w14:paraId="04B701B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投标人详细说明项目重点难点分析、应对措施及相关的合理化建议。</w:t>
            </w:r>
          </w:p>
          <w:p w14:paraId="232BC42E">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1.项目重点难点分析；</w:t>
            </w:r>
          </w:p>
          <w:p w14:paraId="746CE307">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2.应对措施；</w:t>
            </w:r>
          </w:p>
          <w:p w14:paraId="7DA07D11">
            <w:pPr>
              <w:keepNext w:val="0"/>
              <w:keepLines w:val="0"/>
              <w:pageBreakBefore w:val="0"/>
              <w:suppressLineNumbers w:val="0"/>
              <w:tabs>
                <w:tab w:val="left" w:pos="426"/>
              </w:tabs>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zh-CN"/>
              </w:rPr>
              <w:t>3.相关的合理化建议。</w:t>
            </w:r>
          </w:p>
          <w:p w14:paraId="4F7E454E">
            <w:pPr>
              <w:keepNext w:val="0"/>
              <w:keepLines w:val="0"/>
              <w:pageBreakBefore w:val="0"/>
              <w:suppressLineNumbers w:val="0"/>
              <w:tabs>
                <w:tab w:val="left" w:pos="426"/>
              </w:tabs>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）评分依据：</w:t>
            </w:r>
          </w:p>
          <w:p w14:paraId="1DE15C5A">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提供上述一项内容的得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分，最高</w:t>
            </w:r>
            <w:r>
              <w:rPr>
                <w:rFonts w:hint="eastAsia" w:ascii="仿宋" w:hAnsi="仿宋" w:eastAsia="仿宋" w:cs="仿宋"/>
                <w:color w:val="auto"/>
                <w:sz w:val="24"/>
                <w:szCs w:val="24"/>
                <w:highlight w:val="none"/>
                <w:lang w:val="en-US" w:eastAsia="zh-CN"/>
              </w:rPr>
              <w:t>得6</w:t>
            </w:r>
            <w:r>
              <w:rPr>
                <w:rFonts w:hint="eastAsia" w:ascii="仿宋" w:hAnsi="仿宋" w:eastAsia="仿宋" w:cs="仿宋"/>
                <w:color w:val="auto"/>
                <w:sz w:val="24"/>
                <w:szCs w:val="24"/>
                <w:highlight w:val="none"/>
                <w:lang w:val="zh-CN"/>
              </w:rPr>
              <w:t>分，其他不得分。</w:t>
            </w:r>
          </w:p>
          <w:p w14:paraId="5F26D390">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highlight w:val="none"/>
                <w:lang w:val="zh-CN"/>
              </w:rPr>
              <w:t>在此基础上，按照下列要求进行加分：</w:t>
            </w:r>
          </w:p>
          <w:p w14:paraId="4291F8F8">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方案符合实际、完整、规范、思路清晰，内容合理性强。评价为优</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5DA1E9CB">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方案较符合实际、较完整规范、思路较清晰，内容合理性较强。评价为良</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0EC4048">
            <w:pPr>
              <w:keepNext w:val="0"/>
              <w:keepLines w:val="0"/>
              <w:pageBreakBefore w:val="0"/>
              <w:suppressLineNumbers w:val="0"/>
              <w:kinsoku/>
              <w:wordWrap w:val="0"/>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方案较普通、完整性</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规范性一般，思路不够清晰，内容合理性一般。评价为中</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76F9D29F">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方案不完整、不规范，思路不清晰，内容合理性较差。评价为差</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加1</w:t>
            </w:r>
            <w:r>
              <w:rPr>
                <w:rFonts w:hint="eastAsia" w:ascii="仿宋" w:hAnsi="仿宋" w:eastAsia="仿宋" w:cs="仿宋"/>
                <w:color w:val="auto"/>
                <w:sz w:val="24"/>
                <w:szCs w:val="24"/>
                <w:highlight w:val="none"/>
              </w:rPr>
              <w:t>分。</w:t>
            </w:r>
          </w:p>
          <w:p w14:paraId="066F4482">
            <w:pPr>
              <w:pStyle w:val="6"/>
              <w:keepNext w:val="0"/>
              <w:keepLines w:val="0"/>
              <w:pageBreakBefore w:val="0"/>
              <w:suppressLineNumbers w:val="0"/>
              <w:kinsoku/>
              <w:wordWrap w:val="0"/>
              <w:overflowPunct/>
              <w:topLinePunct w:val="0"/>
              <w:autoSpaceDE/>
              <w:autoSpaceDN/>
              <w:bidi w:val="0"/>
              <w:spacing w:before="0" w:beforeAutospacing="0" w:after="0" w:afterAutospacing="0" w:line="240" w:lineRule="auto"/>
              <w:ind w:left="0" w:right="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未提供</w:t>
            </w:r>
            <w:r>
              <w:rPr>
                <w:rFonts w:hint="eastAsia" w:ascii="仿宋" w:hAnsi="仿宋" w:eastAsia="仿宋" w:cs="仿宋"/>
                <w:sz w:val="24"/>
                <w:szCs w:val="24"/>
                <w:highlight w:val="none"/>
                <w:lang w:val="en-US" w:eastAsia="zh-CN"/>
              </w:rPr>
              <w:t>方案</w:t>
            </w:r>
            <w:r>
              <w:rPr>
                <w:rFonts w:hint="eastAsia" w:ascii="仿宋" w:hAnsi="仿宋" w:eastAsia="仿宋" w:cs="仿宋"/>
                <w:color w:val="auto"/>
                <w:sz w:val="24"/>
                <w:szCs w:val="24"/>
                <w:highlight w:val="none"/>
                <w:lang w:val="en-US" w:eastAsia="zh-CN"/>
              </w:rPr>
              <w:t>或提供的不符合或专家无法凭所提供材料判断是否得分的情况，一律作不得分处理。</w:t>
            </w:r>
          </w:p>
        </w:tc>
      </w:tr>
      <w:tr w14:paraId="5EDDB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9"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013A66">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D7DAE8">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08EDFC">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leftChars="0" w:right="0" w:righ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其他服务承诺方案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BFD4BF">
            <w:pPr>
              <w:keepNext w:val="0"/>
              <w:keepLines w:val="0"/>
              <w:suppressLineNumbers w:val="0"/>
              <w:wordWrap w:val="0"/>
              <w:adjustRightInd w:val="0"/>
              <w:snapToGrid w:val="0"/>
              <w:spacing w:before="0" w:beforeAutospacing="0" w:after="0" w:afterAutospacing="0"/>
              <w:ind w:left="0" w:leftChars="0" w:right="0" w:rightChars="0"/>
              <w:jc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highlight w:val="none"/>
                <w:lang w:val="en-US" w:eastAsia="zh-CN"/>
              </w:rPr>
              <w:t>5</w:t>
            </w:r>
          </w:p>
        </w:tc>
        <w:tc>
          <w:tcPr>
            <w:tcW w:w="5836" w:type="dxa"/>
            <w:tcBorders>
              <w:top w:val="single" w:color="auto" w:sz="4" w:space="0"/>
              <w:left w:val="single" w:color="auto" w:sz="4" w:space="0"/>
              <w:bottom w:val="single" w:color="auto" w:sz="4" w:space="0"/>
              <w:right w:val="single" w:color="auto" w:sz="4" w:space="0"/>
            </w:tcBorders>
            <w:shd w:val="clear" w:color="auto" w:fill="auto"/>
            <w:vAlign w:val="center"/>
          </w:tcPr>
          <w:p w14:paraId="6C17DDCA">
            <w:pPr>
              <w:pStyle w:val="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（一）评分内容：</w:t>
            </w:r>
          </w:p>
          <w:p w14:paraId="338C197F">
            <w:pPr>
              <w:pStyle w:val="1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根据环保和卫生行政部门的要求，提供本项目其他服务承诺方案</w:t>
            </w:r>
            <w:r>
              <w:rPr>
                <w:rFonts w:hint="eastAsia" w:ascii="仿宋" w:hAnsi="仿宋" w:eastAsia="仿宋" w:cs="仿宋"/>
                <w:bCs/>
                <w:color w:val="auto"/>
                <w:sz w:val="24"/>
                <w:szCs w:val="24"/>
                <w:highlight w:val="none"/>
                <w:lang w:val="en-US" w:eastAsia="zh-CN"/>
              </w:rPr>
              <w:t>（相关费用已包含在投标报价及年度服务总价中，采购人不再支付额外费用），</w:t>
            </w:r>
            <w:r>
              <w:rPr>
                <w:rFonts w:hint="eastAsia" w:ascii="仿宋" w:hAnsi="仿宋" w:eastAsia="仿宋" w:cs="仿宋"/>
                <w:color w:val="auto"/>
                <w:szCs w:val="24"/>
                <w:highlight w:val="none"/>
              </w:rPr>
              <w:t>包括但不限于以下内容：</w:t>
            </w:r>
          </w:p>
          <w:p w14:paraId="5AD8C3DE">
            <w:pPr>
              <w:pStyle w:val="16"/>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1.检测复测及整改建议；</w:t>
            </w:r>
          </w:p>
          <w:p w14:paraId="7C28697A">
            <w:pPr>
              <w:pStyle w:val="16"/>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应急检测；</w:t>
            </w:r>
          </w:p>
          <w:p w14:paraId="2F6065A3">
            <w:pPr>
              <w:pStyle w:val="16"/>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Cs w:val="24"/>
                <w:highlight w:val="none"/>
              </w:rPr>
              <w:t>协助办理许可</w:t>
            </w:r>
            <w:r>
              <w:rPr>
                <w:rFonts w:hint="eastAsia" w:ascii="仿宋" w:hAnsi="仿宋" w:eastAsia="仿宋" w:cs="仿宋"/>
                <w:color w:val="auto"/>
                <w:szCs w:val="24"/>
                <w:highlight w:val="none"/>
                <w:lang w:val="en-US" w:eastAsia="zh-CN"/>
              </w:rPr>
              <w:t>证</w:t>
            </w:r>
            <w:r>
              <w:rPr>
                <w:rFonts w:hint="eastAsia" w:ascii="仿宋" w:hAnsi="仿宋" w:eastAsia="仿宋" w:cs="仿宋"/>
                <w:color w:val="auto"/>
                <w:kern w:val="2"/>
                <w:sz w:val="24"/>
                <w:szCs w:val="24"/>
                <w:highlight w:val="none"/>
                <w:lang w:val="en-US" w:eastAsia="zh-CN" w:bidi="ar-SA"/>
              </w:rPr>
              <w:t>。</w:t>
            </w:r>
          </w:p>
          <w:p w14:paraId="770357BA">
            <w:pPr>
              <w:pStyle w:val="6"/>
              <w:keepNext w:val="0"/>
              <w:keepLines w:val="0"/>
              <w:pageBreakBefore w:val="0"/>
              <w:widowControl w:val="0"/>
              <w:suppressLineNumbers w:val="0"/>
              <w:kinsoku/>
              <w:wordWrap w:val="0"/>
              <w:overflowPunct/>
              <w:topLinePunct w:val="0"/>
              <w:autoSpaceDE/>
              <w:autoSpaceDN/>
              <w:bidi w:val="0"/>
              <w:spacing w:before="0" w:beforeAutospacing="0" w:after="0" w:afterAutospacing="0"/>
              <w:ind w:left="0" w:right="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（二）评分依据：</w:t>
            </w:r>
          </w:p>
          <w:p w14:paraId="04BA89AA">
            <w:pPr>
              <w:pStyle w:val="1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1.提供上述一项内容的得</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分，最高得</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分，其他不得分。</w:t>
            </w:r>
          </w:p>
          <w:p w14:paraId="3DF13D6F">
            <w:pPr>
              <w:pStyle w:val="1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2.在此基础上，按照下列要求进行加分：</w:t>
            </w:r>
          </w:p>
          <w:p w14:paraId="5820AD48">
            <w:pPr>
              <w:pStyle w:val="1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方案符合实际、完整、规范、思路清晰，内容合理性强。评价为优</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加2</w:t>
            </w:r>
            <w:r>
              <w:rPr>
                <w:rFonts w:hint="eastAsia" w:ascii="仿宋" w:hAnsi="仿宋" w:eastAsia="仿宋" w:cs="仿宋"/>
                <w:color w:val="auto"/>
                <w:sz w:val="24"/>
                <w:szCs w:val="24"/>
                <w:highlight w:val="none"/>
              </w:rPr>
              <w:t>分</w:t>
            </w:r>
            <w:r>
              <w:rPr>
                <w:rFonts w:hint="eastAsia" w:ascii="仿宋" w:hAnsi="仿宋" w:eastAsia="仿宋" w:cs="仿宋"/>
                <w:color w:val="auto"/>
                <w:kern w:val="2"/>
                <w:sz w:val="24"/>
                <w:szCs w:val="24"/>
                <w:highlight w:val="none"/>
                <w:lang w:val="en-US" w:eastAsia="zh-CN" w:bidi="ar-SA"/>
              </w:rPr>
              <w:t>；</w:t>
            </w:r>
          </w:p>
          <w:p w14:paraId="6A5EDEBB">
            <w:pPr>
              <w:pStyle w:val="1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方案较符合实际、较完整规范、思路较清晰，内容合理性较强。评价为良</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加1.5</w:t>
            </w:r>
            <w:r>
              <w:rPr>
                <w:rFonts w:hint="eastAsia" w:ascii="仿宋" w:hAnsi="仿宋" w:eastAsia="仿宋" w:cs="仿宋"/>
                <w:color w:val="auto"/>
                <w:sz w:val="24"/>
                <w:szCs w:val="24"/>
                <w:highlight w:val="none"/>
              </w:rPr>
              <w:t>分</w:t>
            </w:r>
            <w:r>
              <w:rPr>
                <w:rFonts w:hint="eastAsia" w:ascii="仿宋" w:hAnsi="仿宋" w:eastAsia="仿宋" w:cs="仿宋"/>
                <w:color w:val="auto"/>
                <w:kern w:val="2"/>
                <w:sz w:val="24"/>
                <w:szCs w:val="24"/>
                <w:highlight w:val="none"/>
                <w:lang w:val="en-US" w:eastAsia="zh-CN" w:bidi="ar-SA"/>
              </w:rPr>
              <w:t>；</w:t>
            </w:r>
          </w:p>
          <w:p w14:paraId="0E792743">
            <w:pPr>
              <w:pStyle w:val="1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方案较普通、完整性</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规范性一般，思路不够清晰，内容合理性一般。评价为中</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加1</w:t>
            </w:r>
            <w:r>
              <w:rPr>
                <w:rFonts w:hint="eastAsia" w:ascii="仿宋" w:hAnsi="仿宋" w:eastAsia="仿宋" w:cs="仿宋"/>
                <w:color w:val="auto"/>
                <w:sz w:val="24"/>
                <w:szCs w:val="24"/>
                <w:highlight w:val="none"/>
              </w:rPr>
              <w:t>分</w:t>
            </w:r>
            <w:r>
              <w:rPr>
                <w:rFonts w:hint="eastAsia" w:ascii="仿宋" w:hAnsi="仿宋" w:eastAsia="仿宋" w:cs="仿宋"/>
                <w:color w:val="auto"/>
                <w:kern w:val="2"/>
                <w:sz w:val="24"/>
                <w:szCs w:val="24"/>
                <w:highlight w:val="none"/>
                <w:lang w:val="en-US" w:eastAsia="zh-CN" w:bidi="ar-SA"/>
              </w:rPr>
              <w:t>；</w:t>
            </w:r>
          </w:p>
          <w:p w14:paraId="074E3803">
            <w:pPr>
              <w:pStyle w:val="1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rPr>
              <w:t>方案不完整、不规范，思路不清晰，内容合理性较差或未提供。评价为差</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en-US" w:eastAsia="zh-CN"/>
              </w:rPr>
              <w:t>加</w:t>
            </w:r>
            <w:r>
              <w:rPr>
                <w:rFonts w:hint="eastAsia" w:ascii="仿宋" w:hAnsi="仿宋" w:eastAsia="仿宋" w:cs="仿宋"/>
                <w:color w:val="auto"/>
                <w:sz w:val="24"/>
                <w:szCs w:val="24"/>
                <w:highlight w:val="none"/>
              </w:rPr>
              <w:t>分。</w:t>
            </w:r>
          </w:p>
          <w:p w14:paraId="48DE7899">
            <w:pPr>
              <w:pStyle w:val="1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Cs w:val="24"/>
                <w:highlight w:val="none"/>
              </w:rPr>
              <w:t>未提供方案或提供的不符合或专家无法凭所提供材料判断是否得分的情况，一律作不得分处理。</w:t>
            </w:r>
          </w:p>
        </w:tc>
      </w:tr>
      <w:tr w14:paraId="3BD94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26A9A2F">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67990F0">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0" w:type="auto"/>
            <w:tcBorders>
              <w:top w:val="single" w:color="auto" w:sz="4" w:space="0"/>
              <w:left w:val="single" w:color="auto" w:sz="4" w:space="0"/>
              <w:bottom w:val="single" w:color="auto" w:sz="4" w:space="0"/>
              <w:right w:val="single" w:color="auto" w:sz="4" w:space="0"/>
            </w:tcBorders>
            <w:vAlign w:val="center"/>
          </w:tcPr>
          <w:p w14:paraId="7B7B8CB5">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应急响应时间</w:t>
            </w:r>
          </w:p>
        </w:tc>
        <w:tc>
          <w:tcPr>
            <w:tcW w:w="0" w:type="auto"/>
            <w:tcBorders>
              <w:top w:val="single" w:color="auto" w:sz="4" w:space="0"/>
              <w:left w:val="single" w:color="auto" w:sz="4" w:space="0"/>
              <w:bottom w:val="single" w:color="auto" w:sz="4" w:space="0"/>
              <w:right w:val="single" w:color="auto" w:sz="4" w:space="0"/>
            </w:tcBorders>
            <w:vAlign w:val="center"/>
          </w:tcPr>
          <w:p w14:paraId="457C1EDA">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5836" w:type="dxa"/>
            <w:tcBorders>
              <w:top w:val="single" w:color="auto" w:sz="4" w:space="0"/>
              <w:left w:val="single" w:color="auto" w:sz="4" w:space="0"/>
              <w:bottom w:val="single" w:color="auto" w:sz="4" w:space="0"/>
              <w:right w:val="single" w:color="auto" w:sz="4" w:space="0"/>
            </w:tcBorders>
            <w:vAlign w:val="center"/>
          </w:tcPr>
          <w:p w14:paraId="200E3D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（一）评分内容：</w:t>
            </w:r>
          </w:p>
          <w:p w14:paraId="0E2291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应急服务中标人应在接到采购人正式通知后2小时内响应并协商处理，在此基础上：</w:t>
            </w:r>
          </w:p>
          <w:p w14:paraId="1FF315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1.投标人接到通知1小时内</w:t>
            </w:r>
            <w:r>
              <w:rPr>
                <w:rFonts w:hint="eastAsia" w:ascii="仿宋" w:hAnsi="仿宋" w:eastAsia="仿宋" w:cs="仿宋"/>
                <w:color w:val="auto"/>
                <w:sz w:val="24"/>
                <w:szCs w:val="24"/>
                <w:highlight w:val="none"/>
              </w:rPr>
              <w:t>响应并</w:t>
            </w:r>
            <w:r>
              <w:rPr>
                <w:rFonts w:hint="eastAsia" w:ascii="仿宋" w:hAnsi="仿宋" w:eastAsia="仿宋" w:cs="仿宋"/>
                <w:bCs/>
                <w:color w:val="auto"/>
                <w:sz w:val="24"/>
                <w:szCs w:val="24"/>
                <w:highlight w:val="none"/>
                <w:lang w:val="en-US" w:eastAsia="zh-CN"/>
              </w:rPr>
              <w:t>协商</w:t>
            </w:r>
            <w:r>
              <w:rPr>
                <w:rFonts w:hint="eastAsia" w:ascii="仿宋" w:hAnsi="仿宋" w:eastAsia="仿宋" w:cs="仿宋"/>
                <w:color w:val="auto"/>
                <w:sz w:val="24"/>
                <w:szCs w:val="24"/>
                <w:highlight w:val="none"/>
              </w:rPr>
              <w:t>处理</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kern w:val="2"/>
                <w:sz w:val="24"/>
                <w:szCs w:val="24"/>
                <w:highlight w:val="none"/>
                <w:lang w:val="en-US" w:eastAsia="zh-CN" w:bidi="ar-SA"/>
              </w:rPr>
              <w:t xml:space="preserve">，得5分； </w:t>
            </w:r>
          </w:p>
          <w:p w14:paraId="435A42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2.投标人接到通知</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1小时到</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小时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内</w:t>
            </w:r>
            <w:r>
              <w:rPr>
                <w:rFonts w:hint="eastAsia" w:ascii="仿宋" w:hAnsi="仿宋" w:eastAsia="仿宋" w:cs="仿宋"/>
                <w:color w:val="auto"/>
                <w:sz w:val="24"/>
                <w:szCs w:val="24"/>
                <w:highlight w:val="none"/>
              </w:rPr>
              <w:t>响应并</w:t>
            </w:r>
            <w:r>
              <w:rPr>
                <w:rFonts w:hint="eastAsia" w:ascii="仿宋" w:hAnsi="仿宋" w:eastAsia="仿宋" w:cs="仿宋"/>
                <w:bCs/>
                <w:color w:val="auto"/>
                <w:sz w:val="24"/>
                <w:szCs w:val="24"/>
                <w:highlight w:val="none"/>
                <w:lang w:val="en-US" w:eastAsia="zh-CN"/>
              </w:rPr>
              <w:t>协商</w:t>
            </w:r>
            <w:r>
              <w:rPr>
                <w:rFonts w:hint="eastAsia" w:ascii="仿宋" w:hAnsi="仿宋" w:eastAsia="仿宋" w:cs="仿宋"/>
                <w:color w:val="auto"/>
                <w:sz w:val="24"/>
                <w:szCs w:val="24"/>
                <w:highlight w:val="none"/>
              </w:rPr>
              <w:t>处理</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kern w:val="2"/>
                <w:sz w:val="24"/>
                <w:szCs w:val="24"/>
                <w:highlight w:val="none"/>
                <w:lang w:val="en-US" w:eastAsia="zh-CN" w:bidi="ar-SA"/>
              </w:rPr>
              <w:t>，得3分。</w:t>
            </w:r>
          </w:p>
          <w:p w14:paraId="4B2E84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（二）评分依据：</w:t>
            </w:r>
          </w:p>
          <w:p w14:paraId="6DF029F6">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投标人提供应急响应时间承诺函（格式自拟并加盖公章），未提供或提供不符合要求本项不得分或提供的不清晰导致专家无法判断的或所提供的证明材料未能体现上述评分内容的不得分。</w:t>
            </w:r>
          </w:p>
        </w:tc>
      </w:tr>
      <w:tr w14:paraId="78962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FE961D">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0D7617">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vAlign w:val="center"/>
          </w:tcPr>
          <w:p w14:paraId="547CC295">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检测设备的配置情况</w:t>
            </w:r>
          </w:p>
        </w:tc>
        <w:tc>
          <w:tcPr>
            <w:tcW w:w="0" w:type="auto"/>
            <w:tcBorders>
              <w:top w:val="single" w:color="auto" w:sz="4" w:space="0"/>
              <w:left w:val="single" w:color="auto" w:sz="4" w:space="0"/>
              <w:bottom w:val="single" w:color="auto" w:sz="4" w:space="0"/>
              <w:right w:val="single" w:color="auto" w:sz="4" w:space="0"/>
            </w:tcBorders>
            <w:vAlign w:val="center"/>
          </w:tcPr>
          <w:p w14:paraId="126020B7">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5836" w:type="dxa"/>
            <w:tcBorders>
              <w:top w:val="single" w:color="auto" w:sz="4" w:space="0"/>
              <w:left w:val="single" w:color="auto" w:sz="4" w:space="0"/>
              <w:bottom w:val="single" w:color="auto" w:sz="4" w:space="0"/>
              <w:right w:val="single" w:color="auto" w:sz="4" w:space="0"/>
            </w:tcBorders>
            <w:vAlign w:val="center"/>
          </w:tcPr>
          <w:p w14:paraId="308549E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（一）评分内容： </w:t>
            </w:r>
          </w:p>
          <w:p w14:paraId="0777E01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考虑本项目检测设备数量和种类。投标人使用的仪器仪表配置充足、合理、机械性能先进，能充分满足本项目的检测要求。根据投标人提供的</w:t>
            </w:r>
            <w:r>
              <w:rPr>
                <w:rFonts w:hint="eastAsia" w:ascii="仿宋" w:hAnsi="仿宋" w:eastAsia="仿宋" w:cs="仿宋"/>
                <w:color w:val="auto"/>
                <w:sz w:val="24"/>
                <w:szCs w:val="24"/>
                <w:highlight w:val="none"/>
              </w:rPr>
              <w:t>检测设备的配置情况</w:t>
            </w:r>
            <w:r>
              <w:rPr>
                <w:rFonts w:hint="eastAsia" w:ascii="仿宋" w:hAnsi="仿宋" w:eastAsia="仿宋" w:cs="仿宋"/>
                <w:b w:val="0"/>
                <w:bCs w:val="0"/>
                <w:color w:val="auto"/>
                <w:sz w:val="24"/>
                <w:szCs w:val="24"/>
                <w:highlight w:val="none"/>
                <w:lang w:val="en-US" w:eastAsia="zh-CN"/>
              </w:rPr>
              <w:t>进行评价：</w:t>
            </w:r>
          </w:p>
          <w:p w14:paraId="488DC3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1.投标人具备完成本项目的检测仪器设备，得2分；</w:t>
            </w:r>
          </w:p>
          <w:p w14:paraId="3D02272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2.投标人同时具备PET性能检测模体、SPECT性能检测模体、DR性能检测模体、 DSA性能检测模体、放疗设备性能检测的大三维水箱、CT性能检测模体、CT体模和头模得3分，缺一项不得分，未提供不得分；</w:t>
            </w:r>
          </w:p>
          <w:p w14:paraId="4F3F620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3.投标人同时具备4套（含）以上X射线多功能检测设备得5分，具备2（含）-3套（含）得3分，其他得1分，本项最高得5分。</w:t>
            </w:r>
          </w:p>
          <w:p w14:paraId="33B8F922">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auto"/>
                <w:highlight w:val="none"/>
                <w:lang w:val="en-US" w:eastAsia="zh-CN"/>
              </w:rPr>
            </w:pPr>
            <w:r>
              <w:rPr>
                <w:rFonts w:hint="eastAsia" w:ascii="仿宋" w:hAnsi="仿宋" w:eastAsia="仿宋" w:cs="仿宋"/>
                <w:b w:val="0"/>
                <w:bCs w:val="0"/>
                <w:color w:val="auto"/>
                <w:sz w:val="24"/>
                <w:szCs w:val="24"/>
                <w:highlight w:val="none"/>
                <w:lang w:val="en-US" w:eastAsia="zh-CN"/>
              </w:rPr>
              <w:t>以上3项累计最高得10分。</w:t>
            </w:r>
          </w:p>
          <w:p w14:paraId="1AA16FC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（二）评分依据：</w:t>
            </w:r>
          </w:p>
          <w:p w14:paraId="32AA2F0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1.评分内容第1、3项提供</w:t>
            </w:r>
            <w:r>
              <w:rPr>
                <w:rFonts w:hint="eastAsia" w:ascii="仿宋" w:hAnsi="仿宋" w:eastAsia="仿宋" w:cs="仿宋"/>
                <w:color w:val="auto"/>
                <w:sz w:val="24"/>
                <w:szCs w:val="24"/>
                <w:highlight w:val="none"/>
              </w:rPr>
              <w:t>检测仪器</w:t>
            </w:r>
            <w:r>
              <w:rPr>
                <w:rFonts w:hint="eastAsia" w:ascii="仿宋" w:hAnsi="仿宋" w:eastAsia="仿宋" w:cs="仿宋"/>
                <w:b w:val="0"/>
                <w:bCs w:val="0"/>
                <w:color w:val="auto"/>
                <w:sz w:val="24"/>
                <w:szCs w:val="24"/>
                <w:highlight w:val="none"/>
                <w:lang w:val="en-US" w:eastAsia="zh-CN"/>
              </w:rPr>
              <w:t>设备</w:t>
            </w:r>
            <w:bookmarkStart w:id="0" w:name="OLE_LINK8"/>
            <w:r>
              <w:rPr>
                <w:rFonts w:hint="eastAsia" w:ascii="仿宋" w:hAnsi="仿宋" w:eastAsia="仿宋" w:cs="仿宋"/>
                <w:b w:val="0"/>
                <w:bCs w:val="0"/>
                <w:color w:val="auto"/>
                <w:sz w:val="24"/>
                <w:szCs w:val="24"/>
                <w:highlight w:val="none"/>
                <w:lang w:val="en-US" w:eastAsia="zh-CN"/>
              </w:rPr>
              <w:t>清单，</w:t>
            </w:r>
            <w:r>
              <w:rPr>
                <w:rFonts w:hint="eastAsia" w:ascii="仿宋" w:hAnsi="仿宋" w:eastAsia="仿宋" w:cs="仿宋"/>
                <w:color w:val="auto"/>
                <w:sz w:val="24"/>
                <w:szCs w:val="24"/>
                <w:highlight w:val="none"/>
              </w:rPr>
              <w:t>检测仪器</w:t>
            </w:r>
            <w:r>
              <w:rPr>
                <w:rFonts w:hint="eastAsia" w:ascii="仿宋" w:hAnsi="仿宋" w:eastAsia="仿宋" w:cs="仿宋"/>
                <w:b w:val="0"/>
                <w:bCs w:val="0"/>
                <w:color w:val="auto"/>
                <w:sz w:val="24"/>
                <w:szCs w:val="24"/>
                <w:highlight w:val="none"/>
                <w:lang w:val="en-US" w:eastAsia="zh-CN"/>
              </w:rPr>
              <w:t>设备相关检定或校准证书</w:t>
            </w:r>
            <w:bookmarkEnd w:id="0"/>
            <w:r>
              <w:rPr>
                <w:rFonts w:hint="eastAsia" w:ascii="仿宋" w:hAnsi="仿宋" w:eastAsia="仿宋" w:cs="仿宋"/>
                <w:b w:val="0"/>
                <w:bCs w:val="0"/>
                <w:color w:val="auto"/>
                <w:sz w:val="24"/>
                <w:szCs w:val="24"/>
                <w:highlight w:val="none"/>
                <w:lang w:val="en-US" w:eastAsia="zh-CN"/>
              </w:rPr>
              <w:t>扫描件，</w:t>
            </w:r>
            <w:r>
              <w:rPr>
                <w:rFonts w:hint="eastAsia" w:ascii="仿宋" w:hAnsi="仿宋" w:eastAsia="仿宋" w:cs="仿宋"/>
                <w:color w:val="auto"/>
                <w:sz w:val="24"/>
                <w:szCs w:val="24"/>
                <w:highlight w:val="none"/>
              </w:rPr>
              <w:t>检测仪器</w:t>
            </w:r>
            <w:r>
              <w:rPr>
                <w:rFonts w:hint="eastAsia" w:ascii="仿宋" w:hAnsi="仿宋" w:eastAsia="仿宋" w:cs="仿宋"/>
                <w:b w:val="0"/>
                <w:bCs w:val="0"/>
                <w:color w:val="auto"/>
                <w:sz w:val="24"/>
                <w:szCs w:val="24"/>
                <w:highlight w:val="none"/>
                <w:lang w:val="en-US" w:eastAsia="zh-CN"/>
              </w:rPr>
              <w:t>设备</w:t>
            </w:r>
            <w:r>
              <w:rPr>
                <w:rFonts w:hint="eastAsia" w:ascii="仿宋" w:hAnsi="仿宋" w:eastAsia="仿宋" w:cs="仿宋"/>
                <w:color w:val="auto"/>
                <w:sz w:val="24"/>
                <w:szCs w:val="24"/>
                <w:highlight w:val="none"/>
              </w:rPr>
              <w:t>若为自有的，提供购置发票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或付款凭证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；若为租赁的，需提供租赁合同及租金发票（或付款凭证）</w:t>
            </w:r>
            <w:r>
              <w:rPr>
                <w:rFonts w:hint="eastAsia" w:ascii="仿宋" w:hAnsi="仿宋" w:eastAsia="仿宋" w:cs="仿宋"/>
                <w:color w:val="auto"/>
                <w:sz w:val="24"/>
                <w:szCs w:val="24"/>
                <w:highlight w:val="none"/>
                <w:lang w:eastAsia="zh-CN"/>
              </w:rPr>
              <w:t>；</w:t>
            </w:r>
          </w:p>
          <w:p w14:paraId="75FD7E74">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2.评分内容第2项，</w:t>
            </w:r>
            <w:r>
              <w:rPr>
                <w:rFonts w:hint="eastAsia" w:ascii="仿宋" w:hAnsi="仿宋" w:eastAsia="仿宋" w:cs="仿宋"/>
                <w:color w:val="auto"/>
                <w:sz w:val="24"/>
                <w:szCs w:val="24"/>
                <w:highlight w:val="none"/>
              </w:rPr>
              <w:t>若为自有的，提供购置发票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或付款凭证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；若为租赁的，需提供租赁合同及租金发票（或付款凭证）</w:t>
            </w:r>
            <w:r>
              <w:rPr>
                <w:rFonts w:hint="eastAsia" w:ascii="仿宋" w:hAnsi="仿宋" w:eastAsia="仿宋" w:cs="仿宋"/>
                <w:color w:val="auto"/>
                <w:sz w:val="24"/>
                <w:szCs w:val="24"/>
                <w:highlight w:val="none"/>
                <w:lang w:eastAsia="zh-CN"/>
              </w:rPr>
              <w:t>；</w:t>
            </w:r>
          </w:p>
          <w:p w14:paraId="0341DE13">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3.以上资料均要求提供扫描件，原件备查。评分中出现无证明资料或专家无法凭所提供资料判断是否得分的情况，一律作不得分处理。</w:t>
            </w:r>
          </w:p>
        </w:tc>
      </w:tr>
      <w:tr w14:paraId="5A9C9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7540F8">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AE02F7">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0" w:type="auto"/>
            <w:tcBorders>
              <w:top w:val="single" w:color="auto" w:sz="4" w:space="0"/>
              <w:left w:val="single" w:color="auto" w:sz="4" w:space="0"/>
              <w:bottom w:val="single" w:color="auto" w:sz="4" w:space="0"/>
              <w:right w:val="single" w:color="auto" w:sz="4" w:space="0"/>
            </w:tcBorders>
            <w:vAlign w:val="center"/>
          </w:tcPr>
          <w:p w14:paraId="50C52395">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拟安排的项目负责人情况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仅限1人</w:t>
            </w:r>
            <w:r>
              <w:rPr>
                <w:rFonts w:hint="eastAsia" w:ascii="仿宋" w:hAnsi="仿宋" w:eastAsia="仿宋" w:cs="仿宋"/>
                <w:sz w:val="24"/>
                <w:szCs w:val="24"/>
                <w:highlight w:val="none"/>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2C24A6B4">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color w:val="000000" w:themeColor="text1"/>
                <w:sz w:val="24"/>
                <w:highlight w:val="none"/>
                <w:lang w:val="en-US" w:eastAsia="zh-CN"/>
                <w14:textFill>
                  <w14:solidFill>
                    <w14:schemeClr w14:val="tx1"/>
                  </w14:solidFill>
                </w14:textFill>
              </w:rPr>
              <w:t>8</w:t>
            </w:r>
          </w:p>
        </w:tc>
        <w:tc>
          <w:tcPr>
            <w:tcW w:w="5836" w:type="dxa"/>
            <w:tcBorders>
              <w:top w:val="single" w:color="auto" w:sz="4" w:space="0"/>
              <w:left w:val="single" w:color="auto" w:sz="4" w:space="0"/>
              <w:bottom w:val="single" w:color="auto" w:sz="4" w:space="0"/>
              <w:right w:val="single" w:color="auto" w:sz="4" w:space="0"/>
            </w:tcBorders>
            <w:vAlign w:val="center"/>
          </w:tcPr>
          <w:p w14:paraId="3E11917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（一）评分内容：</w:t>
            </w:r>
          </w:p>
          <w:p w14:paraId="42921B4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拟安排的项目负责人（1名）</w:t>
            </w:r>
            <w:r>
              <w:rPr>
                <w:rFonts w:hint="eastAsia" w:ascii="仿宋" w:hAnsi="仿宋" w:eastAsia="仿宋" w:cs="仿宋"/>
                <w:color w:val="auto"/>
                <w:sz w:val="24"/>
                <w:szCs w:val="24"/>
                <w:highlight w:val="none"/>
              </w:rPr>
              <w:t>须为投标人本单位人员（以社保为准），在此基础上按以下内容评分：</w:t>
            </w:r>
          </w:p>
          <w:p w14:paraId="216BC99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1.具有“核技术”或“辐射”或“环境”或“卫生”类相关专业的，本科或以上学历的</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得1分，本科以下学历的得0.5分；</w:t>
            </w:r>
          </w:p>
          <w:p w14:paraId="7B6C27C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2.具有放射卫生技术服务机构专业技术人员培训合格证书，得3分；</w:t>
            </w:r>
          </w:p>
          <w:p w14:paraId="502F525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default" w:eastAsia="仿宋"/>
                <w:highlight w:val="none"/>
                <w:lang w:val="en-US" w:eastAsia="zh-CN"/>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3.具有</w:t>
            </w:r>
            <w:r>
              <w:rPr>
                <w:rFonts w:hint="eastAsia" w:ascii="仿宋" w:hAnsi="仿宋" w:eastAsia="仿宋" w:cs="仿宋"/>
                <w:color w:val="000000" w:themeColor="text1"/>
                <w:sz w:val="24"/>
                <w:szCs w:val="24"/>
                <w:highlight w:val="none"/>
                <w14:textFill>
                  <w14:solidFill>
                    <w14:schemeClr w14:val="tx1"/>
                  </w14:solidFill>
                </w14:textFill>
              </w:rPr>
              <w:t>“核技术”或“辐射”或“环境”或“卫生”类相关</w:t>
            </w:r>
            <w:r>
              <w:rPr>
                <w:rFonts w:hint="eastAsia" w:ascii="仿宋" w:hAnsi="仿宋" w:eastAsia="仿宋" w:cs="仿宋"/>
                <w:b w:val="0"/>
                <w:bCs w:val="0"/>
                <w:color w:val="auto"/>
                <w:sz w:val="24"/>
                <w:szCs w:val="24"/>
                <w:highlight w:val="none"/>
                <w:lang w:val="en-US" w:eastAsia="zh-CN"/>
              </w:rPr>
              <w:t>专业技术职称证书，高级职称</w:t>
            </w:r>
            <w:r>
              <w:rPr>
                <w:rFonts w:hint="eastAsia" w:ascii="仿宋" w:hAnsi="仿宋" w:eastAsia="仿宋" w:cs="仿宋"/>
                <w:b w:val="0"/>
                <w:bCs w:val="0"/>
                <w:color w:val="auto"/>
                <w:kern w:val="2"/>
                <w:sz w:val="24"/>
                <w:szCs w:val="24"/>
                <w:highlight w:val="none"/>
                <w:lang w:val="en-US" w:eastAsia="zh-CN" w:bidi="ar-SA"/>
              </w:rPr>
              <w:t>（含副高）</w:t>
            </w:r>
            <w:r>
              <w:rPr>
                <w:rFonts w:hint="eastAsia" w:ascii="仿宋" w:hAnsi="仿宋" w:eastAsia="仿宋" w:cs="仿宋"/>
                <w:b w:val="0"/>
                <w:bCs w:val="0"/>
                <w:color w:val="auto"/>
                <w:sz w:val="24"/>
                <w:szCs w:val="24"/>
                <w:highlight w:val="none"/>
                <w:lang w:val="en-US" w:eastAsia="zh-CN"/>
              </w:rPr>
              <w:t>的得4分，中级职称的得2分，初级职称的得1分；</w:t>
            </w:r>
            <w:r>
              <w:rPr>
                <w:rFonts w:hint="eastAsia" w:ascii="仿宋" w:hAnsi="仿宋" w:eastAsia="仿宋" w:cs="仿宋"/>
                <w:color w:val="auto"/>
                <w:sz w:val="24"/>
                <w:szCs w:val="24"/>
                <w:highlight w:val="none"/>
              </w:rPr>
              <w:t>具有多个职称的，就高原则只计一次得分，不重复计分，</w:t>
            </w:r>
            <w:r>
              <w:rPr>
                <w:rFonts w:hint="eastAsia" w:ascii="仿宋" w:hAnsi="仿宋" w:eastAsia="仿宋" w:cs="仿宋"/>
                <w:color w:val="auto"/>
                <w:sz w:val="24"/>
                <w:szCs w:val="24"/>
                <w:highlight w:val="none"/>
                <w:lang w:val="en-US" w:eastAsia="zh-CN"/>
              </w:rPr>
              <w:t>最高得4分；</w:t>
            </w:r>
          </w:p>
          <w:p w14:paraId="6B29FF0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以上3项累计最高得8分。</w:t>
            </w:r>
          </w:p>
          <w:p w14:paraId="4F7D6B41">
            <w:pPr>
              <w:pStyle w:val="15"/>
              <w:keepNext w:val="0"/>
              <w:keepLines w:val="0"/>
              <w:pageBreakBefore w:val="0"/>
              <w:widowControl w:val="0"/>
              <w:suppressLineNumbers w:val="0"/>
              <w:kinsoku/>
              <w:wordWrap w:val="0"/>
              <w:overflowPunct/>
              <w:topLinePunct w:val="0"/>
              <w:autoSpaceDE/>
              <w:autoSpaceDN/>
              <w:bidi w:val="0"/>
              <w:spacing w:before="0" w:beforeAutospacing="0" w:after="0" w:afterAutospacing="0"/>
              <w:ind w:left="0" w:leftChars="0" w:right="0" w:firstLine="0" w:firstLineChars="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（二）评分依据：</w:t>
            </w:r>
          </w:p>
          <w:p w14:paraId="21486F9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提供上述人员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46C75E9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14:paraId="2099C3D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.提供人员的资质证书扫描件；</w:t>
            </w:r>
          </w:p>
          <w:p w14:paraId="051912B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highlight w:val="none"/>
                <w:lang w:val="en-US" w:eastAsia="zh-CN"/>
              </w:rPr>
            </w:pPr>
            <w:r>
              <w:rPr>
                <w:rFonts w:hint="eastAsia" w:ascii="仿宋" w:hAnsi="仿宋" w:eastAsia="仿宋" w:cs="仿宋"/>
                <w:b w:val="0"/>
                <w:bCs w:val="0"/>
                <w:color w:val="auto"/>
                <w:sz w:val="24"/>
                <w:szCs w:val="24"/>
                <w:highlight w:val="none"/>
                <w:lang w:val="en-US" w:eastAsia="zh-CN"/>
              </w:rPr>
              <w:t>4.以上资料均要求提供扫描件，原件备查。评分中出现无证明资料或专家无法凭所提供资料判断是否得分的情况，一律作不得分处理。</w:t>
            </w:r>
          </w:p>
        </w:tc>
      </w:tr>
      <w:tr w14:paraId="60309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AA3521">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3AB9CC8">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0" w:type="auto"/>
            <w:tcBorders>
              <w:top w:val="single" w:color="auto" w:sz="4" w:space="0"/>
              <w:left w:val="single" w:color="auto" w:sz="4" w:space="0"/>
              <w:bottom w:val="single" w:color="auto" w:sz="4" w:space="0"/>
              <w:right w:val="single" w:color="auto" w:sz="4" w:space="0"/>
            </w:tcBorders>
            <w:vAlign w:val="center"/>
          </w:tcPr>
          <w:p w14:paraId="5DD37378">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拟安排的项目团队成员情况（项目负责人除外）</w:t>
            </w:r>
          </w:p>
        </w:tc>
        <w:tc>
          <w:tcPr>
            <w:tcW w:w="0" w:type="auto"/>
            <w:tcBorders>
              <w:top w:val="single" w:color="auto" w:sz="4" w:space="0"/>
              <w:left w:val="single" w:color="auto" w:sz="4" w:space="0"/>
              <w:bottom w:val="single" w:color="auto" w:sz="4" w:space="0"/>
              <w:right w:val="single" w:color="auto" w:sz="4" w:space="0"/>
            </w:tcBorders>
            <w:vAlign w:val="center"/>
          </w:tcPr>
          <w:p w14:paraId="505D8D7B">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12</w:t>
            </w:r>
          </w:p>
        </w:tc>
        <w:tc>
          <w:tcPr>
            <w:tcW w:w="5836" w:type="dxa"/>
            <w:tcBorders>
              <w:top w:val="single" w:color="auto" w:sz="4" w:space="0"/>
              <w:left w:val="single" w:color="auto" w:sz="4" w:space="0"/>
              <w:bottom w:val="single" w:color="auto" w:sz="4" w:space="0"/>
              <w:right w:val="single" w:color="auto" w:sz="4" w:space="0"/>
            </w:tcBorders>
            <w:vAlign w:val="center"/>
          </w:tcPr>
          <w:p w14:paraId="055AB609">
            <w:pPr>
              <w:keepNext w:val="0"/>
              <w:keepLines w:val="0"/>
              <w:widowControl w:val="0"/>
              <w:suppressLineNumbers w:val="0"/>
              <w:wordWrap w:val="0"/>
              <w:adjustRightInd w:val="0"/>
              <w:snapToGrid w:val="0"/>
              <w:spacing w:before="0" w:beforeAutospacing="0" w:after="0" w:afterAutospacing="0"/>
              <w:ind w:left="0" w:right="0"/>
              <w:jc w:val="left"/>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（一）评分内容：</w:t>
            </w:r>
          </w:p>
          <w:p w14:paraId="1D13E72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FF"/>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项目团队成员（项目负责人除外）须为投标人本单位人员（以社保为准），在此基础上按以下内容评分：</w:t>
            </w:r>
          </w:p>
          <w:p w14:paraId="7DCD843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1.提供拟安排的项目团队成员名单及对应分工，得1.5分；</w:t>
            </w:r>
          </w:p>
          <w:p w14:paraId="4736394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2.项目团队成员中具有“核技术”或“辐射</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或“环境”或“卫生”类</w:t>
            </w:r>
            <w:r>
              <w:rPr>
                <w:rFonts w:hint="eastAsia" w:ascii="仿宋" w:hAnsi="仿宋" w:eastAsia="仿宋" w:cs="仿宋"/>
                <w:b w:val="0"/>
                <w:bCs w:val="0"/>
                <w:color w:val="auto"/>
                <w:sz w:val="24"/>
                <w:szCs w:val="24"/>
                <w:highlight w:val="none"/>
                <w:lang w:val="en-US" w:eastAsia="zh-CN"/>
              </w:rPr>
              <w:t>相关专业学历的人员，每提供1名本科或以上的得0.5分，本科以下的得0.2分，最高得3.5分；</w:t>
            </w:r>
          </w:p>
          <w:p w14:paraId="1B44CDC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3.项目团队成员</w:t>
            </w:r>
            <w:r>
              <w:rPr>
                <w:rFonts w:hint="eastAsia" w:ascii="仿宋" w:hAnsi="仿宋" w:eastAsia="仿宋" w:cs="仿宋"/>
                <w:color w:val="auto"/>
                <w:sz w:val="24"/>
                <w:szCs w:val="24"/>
                <w:highlight w:val="none"/>
                <w:lang w:val="en-US" w:eastAsia="zh-CN"/>
              </w:rPr>
              <w:t>具有</w:t>
            </w:r>
            <w:r>
              <w:rPr>
                <w:rFonts w:hint="eastAsia" w:ascii="仿宋" w:hAnsi="仿宋" w:eastAsia="仿宋" w:cs="仿宋"/>
                <w:color w:val="auto"/>
                <w:sz w:val="24"/>
                <w:szCs w:val="24"/>
                <w:highlight w:val="none"/>
              </w:rPr>
              <w:t>放射卫生技术服务机构专业技术人员培训合格证书</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“核技术”或“辐射”或“环境”或“卫生”类相关专业技术职称证书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每提供1名</w:t>
            </w:r>
            <w:r>
              <w:rPr>
                <w:rFonts w:hint="eastAsia" w:ascii="仿宋" w:hAnsi="仿宋" w:eastAsia="仿宋" w:cs="仿宋"/>
                <w:color w:val="auto"/>
                <w:sz w:val="24"/>
                <w:szCs w:val="24"/>
                <w:highlight w:val="none"/>
              </w:rPr>
              <w:t>高级职称（含副高）的得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分，中级职称的得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分，初级职称的得</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分；同一成员具有多个职称的，就高原则只计一次得分，不重复计分，最高得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14:paraId="115342F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以上3大项累计最高得12分。</w:t>
            </w:r>
          </w:p>
          <w:p w14:paraId="67A974C7">
            <w:pPr>
              <w:pStyle w:val="6"/>
              <w:keepNext w:val="0"/>
              <w:keepLines w:val="0"/>
              <w:pageBreakBefore w:val="0"/>
              <w:widowControl w:val="0"/>
              <w:suppressLineNumbers w:val="0"/>
              <w:kinsoku/>
              <w:wordWrap w:val="0"/>
              <w:overflowPunct/>
              <w:topLinePunct w:val="0"/>
              <w:autoSpaceDE/>
              <w:autoSpaceDN/>
              <w:bidi w:val="0"/>
              <w:spacing w:before="0" w:beforeAutospacing="0" w:after="0" w:afterAutospacing="0"/>
              <w:ind w:left="0" w:right="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（二）评分依据：</w:t>
            </w:r>
          </w:p>
          <w:p w14:paraId="1671489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提供上述人员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1DDE95E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14:paraId="770CD6D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color w:val="auto"/>
                <w:sz w:val="24"/>
                <w:szCs w:val="24"/>
                <w:highlight w:val="none"/>
              </w:rPr>
              <w:t>提供人员的资质证书扫描件；</w:t>
            </w:r>
          </w:p>
          <w:p w14:paraId="671220B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4.以上资料均要求提供扫描件，原件备查。评分中出现无证明资料或专家无法凭所提供资料判断是否得分的情况，一律作不得分处理。</w:t>
            </w:r>
          </w:p>
        </w:tc>
      </w:tr>
      <w:tr w14:paraId="7356E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3BAD7D11">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lang w:val="en-US" w:eastAsia="zh-CN"/>
              </w:rPr>
            </w:pPr>
          </w:p>
          <w:p w14:paraId="031DCB41">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both"/>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1EDF404D">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5836" w:type="dxa"/>
            <w:tcBorders>
              <w:top w:val="single" w:color="auto" w:sz="4" w:space="0"/>
              <w:left w:val="single" w:color="auto" w:sz="4" w:space="0"/>
              <w:bottom w:val="single" w:color="auto" w:sz="4" w:space="0"/>
              <w:right w:val="single" w:color="auto" w:sz="4" w:space="0"/>
            </w:tcBorders>
            <w:vAlign w:val="center"/>
          </w:tcPr>
          <w:p w14:paraId="02EE40DE">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18</w:t>
            </w:r>
          </w:p>
        </w:tc>
      </w:tr>
      <w:tr w14:paraId="4CEB6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7237F8">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9F855F2">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5C5B69B7">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0" w:type="auto"/>
            <w:tcBorders>
              <w:top w:val="single" w:color="auto" w:sz="4" w:space="0"/>
              <w:left w:val="single" w:color="auto" w:sz="4" w:space="0"/>
              <w:bottom w:val="single" w:color="auto" w:sz="4" w:space="0"/>
              <w:right w:val="single" w:color="auto" w:sz="4" w:space="0"/>
            </w:tcBorders>
            <w:vAlign w:val="center"/>
          </w:tcPr>
          <w:p w14:paraId="4A9BD4FA">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5836" w:type="dxa"/>
            <w:tcBorders>
              <w:top w:val="single" w:color="auto" w:sz="4" w:space="0"/>
              <w:left w:val="single" w:color="auto" w:sz="4" w:space="0"/>
              <w:bottom w:val="single" w:color="auto" w:sz="4" w:space="0"/>
              <w:right w:val="single" w:color="auto" w:sz="4" w:space="0"/>
            </w:tcBorders>
            <w:vAlign w:val="center"/>
          </w:tcPr>
          <w:p w14:paraId="1F6A576F">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1A9B3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8C8288">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BAAB5C5">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0" w:type="auto"/>
            <w:tcBorders>
              <w:top w:val="single" w:color="auto" w:sz="4" w:space="0"/>
              <w:left w:val="single" w:color="auto" w:sz="4" w:space="0"/>
              <w:bottom w:val="single" w:color="auto" w:sz="4" w:space="0"/>
              <w:right w:val="single" w:color="auto" w:sz="4" w:space="0"/>
            </w:tcBorders>
            <w:vAlign w:val="center"/>
          </w:tcPr>
          <w:p w14:paraId="446C904D">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0" w:type="auto"/>
            <w:tcBorders>
              <w:top w:val="single" w:color="auto" w:sz="4" w:space="0"/>
              <w:left w:val="single" w:color="auto" w:sz="4" w:space="0"/>
              <w:bottom w:val="single" w:color="auto" w:sz="4" w:space="0"/>
              <w:right w:val="single" w:color="auto" w:sz="4" w:space="0"/>
            </w:tcBorders>
            <w:vAlign w:val="center"/>
          </w:tcPr>
          <w:p w14:paraId="31D39D7A">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5836" w:type="dxa"/>
            <w:tcBorders>
              <w:top w:val="single" w:color="auto" w:sz="4" w:space="0"/>
              <w:left w:val="single" w:color="auto" w:sz="4" w:space="0"/>
              <w:bottom w:val="single" w:color="auto" w:sz="4" w:space="0"/>
              <w:right w:val="single" w:color="auto" w:sz="4" w:space="0"/>
            </w:tcBorders>
            <w:vAlign w:val="top"/>
          </w:tcPr>
          <w:p w14:paraId="098C4CF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14:paraId="047DD37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同类项目业绩指射线装置年度检测项目（检测设备必须包含DSA、SPECT），</w:t>
            </w:r>
            <w:r>
              <w:rPr>
                <w:rFonts w:hint="eastAsia" w:ascii="仿宋" w:hAnsi="仿宋" w:eastAsia="仿宋" w:cs="仿宋"/>
                <w:sz w:val="24"/>
                <w:szCs w:val="24"/>
                <w:highlight w:val="none"/>
              </w:rPr>
              <w:t>投标人提供从</w:t>
            </w:r>
            <w:r>
              <w:rPr>
                <w:rFonts w:hint="eastAsia" w:ascii="仿宋" w:hAnsi="仿宋" w:eastAsia="仿宋" w:cs="仿宋"/>
                <w:sz w:val="24"/>
                <w:szCs w:val="24"/>
                <w:highlight w:val="none"/>
                <w:lang w:val="en-US" w:eastAsia="zh-CN"/>
              </w:rPr>
              <w:t>2023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月1日至本项目投标截止日（以合同签订日期为准）</w:t>
            </w:r>
            <w:r>
              <w:rPr>
                <w:rFonts w:hint="eastAsia" w:ascii="仿宋" w:hAnsi="仿宋" w:eastAsia="仿宋" w:cs="仿宋"/>
                <w:sz w:val="24"/>
                <w:szCs w:val="24"/>
                <w:highlight w:val="none"/>
                <w:lang w:val="en-US" w:eastAsia="zh-CN"/>
              </w:rPr>
              <w:t>承接的同类</w:t>
            </w:r>
            <w:r>
              <w:rPr>
                <w:rFonts w:hint="eastAsia" w:ascii="仿宋" w:hAnsi="仿宋" w:eastAsia="仿宋" w:cs="仿宋"/>
                <w:sz w:val="24"/>
                <w:szCs w:val="24"/>
                <w:highlight w:val="none"/>
              </w:rPr>
              <w:t>项目业绩</w:t>
            </w:r>
            <w:r>
              <w:rPr>
                <w:rFonts w:hint="eastAsia" w:ascii="仿宋" w:hAnsi="仿宋" w:eastAsia="仿宋" w:cs="仿宋"/>
                <w:sz w:val="24"/>
                <w:szCs w:val="24"/>
                <w:highlight w:val="none"/>
                <w:lang w:eastAsia="zh-CN"/>
              </w:rPr>
              <w:t>（项目履约验收完毕且合格）：</w:t>
            </w:r>
          </w:p>
          <w:p w14:paraId="59E508F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每提供</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w:t>
            </w:r>
            <w:r>
              <w:rPr>
                <w:rFonts w:hint="eastAsia" w:ascii="仿宋" w:hAnsi="仿宋" w:eastAsia="仿宋" w:cs="仿宋"/>
                <w:sz w:val="24"/>
                <w:szCs w:val="24"/>
                <w:highlight w:val="none"/>
                <w:lang w:val="en-US" w:eastAsia="zh-CN"/>
              </w:rPr>
              <w:t>同类项目</w:t>
            </w:r>
            <w:r>
              <w:rPr>
                <w:rFonts w:hint="eastAsia" w:ascii="仿宋" w:hAnsi="仿宋" w:eastAsia="仿宋" w:cs="仿宋"/>
                <w:sz w:val="24"/>
                <w:szCs w:val="24"/>
                <w:highlight w:val="none"/>
              </w:rPr>
              <w:t>业绩得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分，最多得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14:paraId="429113C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注：长期续签合同只计算一个业绩。</w:t>
            </w:r>
          </w:p>
          <w:p w14:paraId="26FF0C9E">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14:paraId="2B0808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1.提供合同关键页（应包含但不限于合同签约主体名称、项目（合同）名称、服务内容、签订合同时间、签约主体公章等关键信息）</w:t>
            </w:r>
            <w:r>
              <w:rPr>
                <w:rFonts w:hint="eastAsia" w:ascii="仿宋" w:hAnsi="仿宋" w:eastAsia="仿宋" w:cs="仿宋"/>
                <w:sz w:val="24"/>
                <w:szCs w:val="24"/>
                <w:highlight w:val="none"/>
                <w:lang w:val="en-US" w:eastAsia="zh-CN"/>
              </w:rPr>
              <w:t>和</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项目履约验收完毕且合格的相关证明材料</w:t>
            </w:r>
            <w:r>
              <w:rPr>
                <w:rFonts w:hint="eastAsia" w:ascii="仿宋" w:hAnsi="仿宋" w:eastAsia="仿宋" w:cs="仿宋"/>
                <w:sz w:val="24"/>
                <w:szCs w:val="24"/>
                <w:highlight w:val="none"/>
                <w:lang w:val="en-US" w:eastAsia="zh-CN"/>
              </w:rPr>
              <w:t>；通过合同关键信息和</w:t>
            </w:r>
            <w:r>
              <w:rPr>
                <w:rFonts w:hint="eastAsia" w:ascii="仿宋" w:hAnsi="仿宋" w:eastAsia="仿宋" w:cs="仿宋"/>
                <w:color w:val="000000" w:themeColor="text1"/>
                <w:sz w:val="24"/>
                <w:szCs w:val="24"/>
                <w:highlight w:val="none"/>
                <w:lang w:val="en-US" w:eastAsia="zh-CN"/>
                <w14:textFill>
                  <w14:solidFill>
                    <w14:schemeClr w14:val="tx1"/>
                  </w14:solidFill>
                </w14:textFill>
              </w:rPr>
              <w:t>履约验收完毕且合格的相关证</w:t>
            </w:r>
            <w:r>
              <w:rPr>
                <w:rFonts w:hint="eastAsia" w:ascii="仿宋" w:hAnsi="仿宋" w:eastAsia="仿宋" w:cs="仿宋"/>
                <w:sz w:val="24"/>
                <w:szCs w:val="24"/>
                <w:highlight w:val="none"/>
                <w:lang w:val="en-US" w:eastAsia="zh-CN"/>
              </w:rPr>
              <w:t>明材料无法判断是否得分的，也可以同时提供其他证明资料，如合同甲方出具（加盖合同甲方公章）的证明文件等</w:t>
            </w:r>
            <w:r>
              <w:rPr>
                <w:rFonts w:hint="eastAsia" w:ascii="仿宋" w:hAnsi="仿宋" w:eastAsia="仿宋" w:cs="仿宋"/>
                <w:sz w:val="24"/>
                <w:szCs w:val="24"/>
                <w:highlight w:val="none"/>
              </w:rPr>
              <w:t>。</w:t>
            </w:r>
          </w:p>
          <w:p w14:paraId="4CE813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14:paraId="13D0F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38A6BA">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2CA7DF2">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0" w:type="auto"/>
            <w:tcBorders>
              <w:top w:val="single" w:color="auto" w:sz="4" w:space="0"/>
              <w:left w:val="single" w:color="auto" w:sz="4" w:space="0"/>
              <w:bottom w:val="single" w:color="auto" w:sz="4" w:space="0"/>
              <w:right w:val="single" w:color="auto" w:sz="4" w:space="0"/>
            </w:tcBorders>
            <w:vAlign w:val="center"/>
          </w:tcPr>
          <w:p w14:paraId="0F5A228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管理体系及</w:t>
            </w:r>
            <w:r>
              <w:rPr>
                <w:rFonts w:hint="eastAsia" w:ascii="仿宋" w:hAnsi="仿宋" w:eastAsia="仿宋" w:cs="仿宋"/>
                <w:color w:val="000000"/>
                <w:sz w:val="24"/>
                <w:szCs w:val="24"/>
                <w:highlight w:val="none"/>
              </w:rPr>
              <w:t>认证情况</w:t>
            </w:r>
          </w:p>
        </w:tc>
        <w:tc>
          <w:tcPr>
            <w:tcW w:w="0" w:type="auto"/>
            <w:tcBorders>
              <w:top w:val="single" w:color="auto" w:sz="4" w:space="0"/>
              <w:left w:val="single" w:color="auto" w:sz="4" w:space="0"/>
              <w:bottom w:val="single" w:color="auto" w:sz="4" w:space="0"/>
              <w:right w:val="single" w:color="auto" w:sz="4" w:space="0"/>
            </w:tcBorders>
            <w:vAlign w:val="center"/>
          </w:tcPr>
          <w:p w14:paraId="6311F9E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5836" w:type="dxa"/>
            <w:tcBorders>
              <w:top w:val="single" w:color="auto" w:sz="4" w:space="0"/>
              <w:left w:val="single" w:color="auto" w:sz="4" w:space="0"/>
              <w:bottom w:val="single" w:color="auto" w:sz="4" w:space="0"/>
              <w:right w:val="single" w:color="auto" w:sz="4" w:space="0"/>
            </w:tcBorders>
            <w:vAlign w:val="center"/>
          </w:tcPr>
          <w:p w14:paraId="037046CA">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（一）评分内容：</w:t>
            </w:r>
          </w:p>
          <w:p w14:paraId="6C4F9B4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70C0"/>
                <w:sz w:val="24"/>
                <w:szCs w:val="24"/>
                <w:highlight w:val="none"/>
                <w:lang w:val="en-US" w:eastAsia="zh-CN"/>
              </w:rPr>
            </w:pPr>
            <w:r>
              <w:rPr>
                <w:rFonts w:hint="eastAsia" w:ascii="仿宋" w:hAnsi="仿宋" w:eastAsia="仿宋" w:cs="仿宋"/>
                <w:color w:val="auto"/>
                <w:sz w:val="24"/>
                <w:szCs w:val="24"/>
                <w:highlight w:val="none"/>
                <w:lang w:val="en-US" w:eastAsia="zh-CN"/>
              </w:rPr>
              <w:t>投标人具备良好的内部管理能力，提供在有效期内的下列3项认证证书：</w:t>
            </w:r>
          </w:p>
          <w:p w14:paraId="5C2305D9">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1.投标人具有质量管理体系认证证书，得1分； </w:t>
            </w:r>
          </w:p>
          <w:p w14:paraId="43FBEE4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2.投标人具有职业健康管理体系认证证书，得1分； </w:t>
            </w:r>
          </w:p>
          <w:p w14:paraId="279EAC77">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3.投标人具有环境管理体系认证证书，得1分。  </w:t>
            </w:r>
          </w:p>
          <w:p w14:paraId="21D7F4A9">
            <w:pPr>
              <w:pStyle w:val="10"/>
              <w:keepNext w:val="0"/>
              <w:keepLines w:val="0"/>
              <w:suppressLineNumbers w:val="0"/>
              <w:wordWrap w:val="0"/>
              <w:spacing w:before="0" w:beforeAutospacing="0" w:after="0" w:afterAutospacing="0"/>
              <w:ind w:left="0"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1C03D27A">
            <w:pPr>
              <w:pStyle w:val="10"/>
              <w:keepNext w:val="0"/>
              <w:keepLines w:val="0"/>
              <w:suppressLineNumbers w:val="0"/>
              <w:wordWrap w:val="0"/>
              <w:spacing w:before="0" w:beforeAutospacing="0" w:afterAutospacing="0"/>
              <w:ind w:left="0" w:leftChars="0" w:right="0" w:rightChars="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rPr>
              <w:t>如投标人距本项目开标之日的注册成立时间不足3个月，且未取得以上认证证书的，可提供承诺函【至少包含中标（成交）后4个月内取得评审因素相关认证证书等内容</w:t>
            </w:r>
            <w:r>
              <w:rPr>
                <w:rFonts w:hint="eastAsia" w:ascii="仿宋" w:hAnsi="仿宋" w:eastAsia="仿宋" w:cs="仿宋"/>
                <w:sz w:val="24"/>
                <w:szCs w:val="24"/>
                <w:highlight w:val="none"/>
                <w:lang w:val="en-US" w:eastAsia="zh-CN"/>
              </w:rPr>
              <w:t>，格式自拟加盖投标人公章</w:t>
            </w: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lang w:val="en-US" w:eastAsia="zh-CN"/>
              </w:rPr>
              <w:t>亦视为符合</w:t>
            </w:r>
            <w:r>
              <w:rPr>
                <w:rFonts w:hint="eastAsia" w:ascii="仿宋" w:hAnsi="仿宋" w:eastAsia="仿宋" w:cs="仿宋"/>
                <w:sz w:val="24"/>
                <w:szCs w:val="24"/>
                <w:highlight w:val="none"/>
                <w:lang w:val="en-US"/>
              </w:rPr>
              <w:t>。评审委员会根据承诺内容情况评分。</w:t>
            </w:r>
          </w:p>
          <w:p w14:paraId="13BF566E">
            <w:pPr>
              <w:pStyle w:val="10"/>
              <w:keepNext w:val="0"/>
              <w:keepLines w:val="0"/>
              <w:suppressLineNumbers w:val="0"/>
              <w:wordWrap w:val="0"/>
              <w:spacing w:before="0" w:beforeAutospacing="0" w:afterAutospacing="0"/>
              <w:ind w:left="0" w:leftChars="0" w:right="0" w:rightChars="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2.中标</w:t>
            </w:r>
            <w:r>
              <w:rPr>
                <w:rFonts w:hint="eastAsia" w:ascii="仿宋" w:hAnsi="仿宋" w:eastAsia="仿宋" w:cs="仿宋"/>
                <w:sz w:val="24"/>
                <w:szCs w:val="24"/>
                <w:highlight w:val="none"/>
                <w:lang w:val="en-US"/>
              </w:rPr>
              <w:t>人如</w:t>
            </w:r>
            <w:r>
              <w:rPr>
                <w:rFonts w:hint="eastAsia" w:ascii="仿宋" w:hAnsi="仿宋" w:eastAsia="仿宋" w:cs="仿宋"/>
                <w:sz w:val="24"/>
                <w:szCs w:val="24"/>
                <w:highlight w:val="none"/>
                <w:lang w:val="en-US" w:eastAsia="zh-CN"/>
              </w:rPr>
              <w:t>是投标时</w:t>
            </w:r>
            <w:r>
              <w:rPr>
                <w:rFonts w:hint="eastAsia" w:ascii="仿宋" w:hAnsi="仿宋" w:eastAsia="仿宋" w:cs="仿宋"/>
                <w:sz w:val="24"/>
                <w:szCs w:val="24"/>
                <w:highlight w:val="none"/>
                <w:lang w:val="en-US"/>
              </w:rPr>
              <w:t>承诺中标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rPr>
              <w:t>成交</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rPr>
              <w:t>后取得相关认证证书的，</w:t>
            </w:r>
            <w:r>
              <w:rPr>
                <w:rFonts w:hint="eastAsia" w:ascii="仿宋" w:hAnsi="仿宋" w:eastAsia="仿宋" w:cs="仿宋"/>
                <w:sz w:val="24"/>
                <w:szCs w:val="24"/>
                <w:highlight w:val="none"/>
                <w:lang w:val="en-US" w:eastAsia="zh-CN"/>
              </w:rPr>
              <w:t>但中标后</w:t>
            </w:r>
            <w:r>
              <w:rPr>
                <w:rFonts w:hint="eastAsia" w:ascii="仿宋" w:hAnsi="仿宋" w:eastAsia="仿宋" w:cs="仿宋"/>
                <w:sz w:val="24"/>
                <w:szCs w:val="24"/>
                <w:highlight w:val="none"/>
                <w:lang w:val="en-US"/>
              </w:rPr>
              <w:t>未按承诺要求在相应时间内取得相关认证证书的，将视为合同违约，需支付合同金额10%的违约金。</w:t>
            </w:r>
          </w:p>
          <w:p w14:paraId="14D3DAF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（二）评分依据：</w:t>
            </w:r>
            <w:r>
              <w:rPr>
                <w:rFonts w:hint="eastAsia" w:ascii="仿宋" w:hAnsi="仿宋" w:eastAsia="仿宋" w:cs="仿宋"/>
                <w:color w:val="000000"/>
                <w:sz w:val="24"/>
                <w:szCs w:val="24"/>
                <w:highlight w:val="none"/>
              </w:rPr>
              <w:t> </w:t>
            </w:r>
          </w:p>
          <w:p w14:paraId="5F74E691">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napToGrid/>
              <w:spacing w:before="0" w:beforeAutospacing="0" w:after="0" w:afterAutospacing="0" w:line="240" w:lineRule="auto"/>
              <w:ind w:left="0" w:right="0"/>
              <w:jc w:val="both"/>
              <w:textAlignment w:val="auto"/>
              <w:rPr>
                <w:rFonts w:hint="eastAsia" w:ascii="仿宋" w:hAnsi="仿宋" w:eastAsia="仿宋" w:cs="仿宋"/>
              </w:rPr>
            </w:pPr>
            <w:r>
              <w:rPr>
                <w:rFonts w:hint="eastAsia" w:ascii="仿宋" w:hAnsi="仿宋" w:eastAsia="仿宋" w:cs="仿宋"/>
                <w:color w:val="auto"/>
                <w:highlight w:val="none"/>
              </w:rPr>
              <w:t>1.提供有效期内的体系认证证书扫描件及在全国认证认可信息公共服务平台（http://cx.cnca.cn）查询有效的截图且编号一致。</w:t>
            </w:r>
          </w:p>
          <w:p w14:paraId="543D282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napToGrid/>
              <w:spacing w:before="0" w:beforeAutospacing="0" w:after="0" w:afterAutospacing="0" w:line="240" w:lineRule="auto"/>
              <w:ind w:left="0" w:right="0"/>
              <w:jc w:val="both"/>
              <w:textAlignment w:val="auto"/>
              <w:rPr>
                <w:rFonts w:hint="eastAsia" w:ascii="仿宋" w:hAnsi="仿宋" w:eastAsia="仿宋" w:cs="仿宋"/>
                <w:sz w:val="24"/>
                <w:szCs w:val="24"/>
                <w:lang w:val="en-US" w:eastAsia="zh-CN"/>
              </w:rPr>
            </w:pPr>
            <w:r>
              <w:rPr>
                <w:rFonts w:hint="eastAsia" w:ascii="仿宋" w:hAnsi="仿宋" w:eastAsia="仿宋" w:cs="仿宋"/>
              </w:rPr>
              <w:t>2.如投标人距本项目开标之日的注册成立时间不足3个月，承诺中标（成交）后取得相关认证证书，需提供承诺函并加盖投标人公章，格式自拟。</w:t>
            </w:r>
          </w:p>
          <w:p w14:paraId="215A53BF">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napToGrid/>
              <w:spacing w:before="0" w:beforeAutospacing="0" w:after="0" w:afterAutospacing="0" w:line="240" w:lineRule="auto"/>
              <w:ind w:left="0" w:right="0"/>
              <w:jc w:val="both"/>
              <w:textAlignment w:val="auto"/>
              <w:rPr>
                <w:rFonts w:hint="default" w:ascii="仿宋" w:hAnsi="仿宋" w:eastAsia="仿宋" w:cs="仿宋"/>
                <w:sz w:val="24"/>
                <w:szCs w:val="24"/>
                <w:lang w:val="en-US" w:eastAsia="zh-CN"/>
              </w:rPr>
            </w:pPr>
            <w:r>
              <w:rPr>
                <w:rFonts w:hint="eastAsia" w:ascii="仿宋" w:hAnsi="仿宋" w:eastAsia="仿宋" w:cs="仿宋"/>
                <w:color w:val="000000"/>
                <w:highlight w:val="none"/>
              </w:rPr>
              <w:t>3.以上资料均要求提供扫描件，原件备查。评分中出现无证明资料或专家无法凭所提供资料判断是否得分的情况，一律作不得分处理。</w:t>
            </w:r>
          </w:p>
        </w:tc>
      </w:tr>
      <w:tr w14:paraId="7B39D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2" w:hRule="atLeast"/>
          <w:tblCellSpacing w:w="0" w:type="dxa"/>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6147FE">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1AEFE96">
            <w:pPr>
              <w:pStyle w:val="46"/>
              <w:keepNext w:val="0"/>
              <w:keepLines w:val="0"/>
              <w:pageBreakBefore w:val="0"/>
              <w:numPr>
                <w:ilvl w:val="0"/>
                <w:numId w:val="0"/>
              </w:numPr>
              <w:suppressLineNumbers w:val="0"/>
              <w:kinsoku/>
              <w:wordWrap w:val="0"/>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0" w:type="auto"/>
            <w:tcBorders>
              <w:top w:val="single" w:color="auto" w:sz="4" w:space="0"/>
              <w:left w:val="single" w:color="auto" w:sz="4" w:space="0"/>
              <w:bottom w:val="single" w:color="auto" w:sz="4" w:space="0"/>
              <w:right w:val="single" w:color="auto" w:sz="4" w:space="0"/>
            </w:tcBorders>
            <w:vAlign w:val="center"/>
          </w:tcPr>
          <w:p w14:paraId="7766C2C9">
            <w:pPr>
              <w:keepNext w:val="0"/>
              <w:keepLines w:val="0"/>
              <w:pageBreakBefore w:val="0"/>
              <w:suppressLineNumbers w:val="0"/>
              <w:kinsoku/>
              <w:wordWrap w:val="0"/>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0" w:type="auto"/>
            <w:tcBorders>
              <w:top w:val="single" w:color="auto" w:sz="4" w:space="0"/>
              <w:left w:val="single" w:color="auto" w:sz="4" w:space="0"/>
              <w:bottom w:val="single" w:color="auto" w:sz="4" w:space="0"/>
              <w:right w:val="single" w:color="auto" w:sz="4" w:space="0"/>
            </w:tcBorders>
            <w:vAlign w:val="center"/>
          </w:tcPr>
          <w:p w14:paraId="59B34356">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36" w:type="dxa"/>
            <w:tcBorders>
              <w:top w:val="single" w:color="auto" w:sz="4" w:space="0"/>
              <w:left w:val="single" w:color="auto" w:sz="4" w:space="0"/>
              <w:bottom w:val="single" w:color="auto" w:sz="4" w:space="0"/>
              <w:right w:val="single" w:color="auto" w:sz="4" w:space="0"/>
            </w:tcBorders>
            <w:vAlign w:val="center"/>
          </w:tcPr>
          <w:p w14:paraId="1F0DBD8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14:paraId="38A3A2F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14:paraId="3594263F">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lang w:val="en-US" w:eastAsia="zh-CN"/>
              </w:rPr>
              <w:t>评分依据：</w:t>
            </w:r>
          </w:p>
          <w:p w14:paraId="1778BD8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14:paraId="138A983C">
      <w:pPr>
        <w:pStyle w:val="17"/>
        <w:keepNext/>
        <w:keepLines w:val="0"/>
        <w:widowControl w:val="0"/>
        <w:suppressLineNumbers w:val="0"/>
        <w:wordWrap w:val="0"/>
        <w:spacing w:before="0" w:beforeAutospacing="0" w:after="0" w:afterAutospacing="0" w:line="379" w:lineRule="auto"/>
        <w:ind w:left="0" w:leftChars="0" w:right="454" w:firstLine="0" w:firstLineChars="0"/>
        <w:jc w:val="both"/>
        <w:outlineLvl w:val="0"/>
        <w:rPr>
          <w:rFonts w:hint="eastAsia"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17384F9E">
      <w:pPr>
        <w:keepNext/>
        <w:wordWrap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1F3D828">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3C9AA12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3043DFF0">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6DAF9856">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762237E2">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48A50D20">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2E167DD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489699B1">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7DA3D3CD">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5E37D18C">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08E57BD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572D4D44">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（二）本项目不接受联合体投标（由供应商作出声明，格式自拟）；</w:t>
      </w:r>
    </w:p>
    <w:p w14:paraId="08E0FD70">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494B7EE5">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5F46E6A8">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（五）投标人法定代表人（负责人）证明书及法定代表人（负责人）身份证扫描件；</w:t>
      </w:r>
    </w:p>
    <w:p w14:paraId="628F432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（六）投标人法定代表人（负责人）授权书及被授权人身份证扫描件；</w:t>
      </w:r>
    </w:p>
    <w:p w14:paraId="5946F288">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0F767C96">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0F16E02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（九）投标人具有有效期内的《检验检测机构资质认定证书》（CMA），且附表检测对象包含“电离辐射”相关内容</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提供证书、证书</w:t>
      </w:r>
      <w:r>
        <w:rPr>
          <w:rFonts w:hint="eastAsia" w:ascii="仿宋" w:hAnsi="仿宋" w:eastAsia="仿宋" w:cs="仿宋"/>
          <w:sz w:val="24"/>
          <w:szCs w:val="24"/>
          <w:highlight w:val="none"/>
        </w:rPr>
        <w:t>附表</w:t>
      </w:r>
      <w:r>
        <w:rPr>
          <w:rFonts w:hint="eastAsia" w:ascii="仿宋" w:hAnsi="仿宋" w:eastAsia="仿宋" w:cs="仿宋"/>
          <w:sz w:val="24"/>
          <w:szCs w:val="24"/>
          <w:highlight w:val="none"/>
          <w:lang w:val="en-US" w:eastAsia="zh-CN"/>
        </w:rPr>
        <w:t>扫描件及证书官网或权威机构查询截图，相关证书在公开渠道无法查询的，投标人需提供颁发部门或者监管机构的证</w:t>
      </w:r>
      <w:r>
        <w:rPr>
          <w:rFonts w:hint="eastAsia" w:ascii="仿宋" w:hAnsi="仿宋" w:eastAsia="仿宋" w:cs="仿宋"/>
          <w:color w:val="auto"/>
          <w:sz w:val="24"/>
          <w:szCs w:val="24"/>
          <w:highlight w:val="none"/>
          <w:lang w:val="en-US" w:eastAsia="zh-CN"/>
        </w:rPr>
        <w:t>明材料，证明证书真实有效且为合法机构颁发；原件备查）；</w:t>
      </w:r>
    </w:p>
    <w:p w14:paraId="2CE01CB7">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投标人具有有效期内的《放射卫生技术服务机构资质证书》，资质为甲级或根据新规已变更为按放射诊疗技术分类（含放射诊断、介入放射学、放射治疗和核医学），技术服务范围包含“放射卫生防护检测”相关内容（提供证书扫描件及证书官网或权威机构查询截图，相关证书在公开渠道无法查询的，投标人需提供颁发部门或者监管机构的证明材料，证明证书真实有效且为合法机构颁发；原件备查）。</w:t>
      </w:r>
    </w:p>
    <w:p w14:paraId="6437C1ED">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六、投标单位应满足及同意如下条款：</w:t>
      </w:r>
    </w:p>
    <w:p w14:paraId="176ACEA9">
      <w:pPr>
        <w:widowControl w:val="0"/>
        <w:numPr>
          <w:ilvl w:val="0"/>
          <w:numId w:val="0"/>
        </w:numPr>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同意按招标文件的要求提供完整投标资料，不在投标文件的行间插字、涂改或增删。</w:t>
      </w:r>
    </w:p>
    <w:p w14:paraId="2B595433">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2FF9E3DF">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5147B41F">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6DE86A3E">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767ED373">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0722B67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w:t>
      </w:r>
      <w:r>
        <w:rPr>
          <w:rFonts w:hint="eastAsia" w:ascii="仿宋" w:hAnsi="仿宋" w:eastAsia="仿宋" w:cs="仿宋"/>
          <w:sz w:val="24"/>
          <w:szCs w:val="24"/>
          <w:highlight w:val="none"/>
          <w:lang w:eastAsia="zh-CN"/>
        </w:rPr>
        <w:t>签订</w:t>
      </w:r>
      <w:r>
        <w:rPr>
          <w:rFonts w:hint="eastAsia" w:ascii="仿宋" w:hAnsi="仿宋" w:eastAsia="仿宋" w:cs="仿宋"/>
          <w:sz w:val="24"/>
          <w:szCs w:val="24"/>
          <w:highlight w:val="none"/>
        </w:rPr>
        <w:t>合同程序。</w:t>
      </w:r>
    </w:p>
    <w:p w14:paraId="019FCF95">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66B2D540">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638E8A4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4531496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032AB4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4041720F">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7FE7C378">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7983CC5F">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18BE4F0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62EBA06A">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79CB3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14:paraId="44AF6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14:paraId="69D6A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6A321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14:paraId="53AC6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14:paraId="3A82E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14:paraId="6DE15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14:paraId="309A6334">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3F31734">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14:paraId="1B40AF03">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20"/>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828"/>
        <w:gridCol w:w="3431"/>
        <w:gridCol w:w="2559"/>
      </w:tblGrid>
      <w:tr w14:paraId="4D23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14:paraId="6281935D">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4526E649">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70B18BBC">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381738AA">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30A5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4B41244">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557E1C4C">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LGZXYYZBB20260318-2</w:t>
            </w:r>
          </w:p>
        </w:tc>
        <w:tc>
          <w:tcPr>
            <w:tcW w:w="1848" w:type="pct"/>
            <w:vAlign w:val="center"/>
          </w:tcPr>
          <w:p w14:paraId="3778F947">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放射诊疗设备和工作场所防护年度检测</w:t>
            </w:r>
          </w:p>
        </w:tc>
        <w:tc>
          <w:tcPr>
            <w:tcW w:w="1378" w:type="pct"/>
            <w:vAlign w:val="center"/>
          </w:tcPr>
          <w:p w14:paraId="2EF0E3A2">
            <w:pPr>
              <w:keepNext w:val="0"/>
              <w:keepLines w:val="0"/>
              <w:suppressLineNumbers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182000.00</w:t>
            </w:r>
          </w:p>
        </w:tc>
      </w:tr>
    </w:tbl>
    <w:p w14:paraId="04DEB64B">
      <w:pPr>
        <w:pStyle w:val="2"/>
        <w:spacing w:before="120" w:beforeLines="50" w:after="120" w:afterLines="50"/>
        <w:jc w:val="both"/>
        <w:rPr>
          <w:rFonts w:hint="eastAsia" w:ascii="仿宋" w:hAnsi="仿宋" w:eastAsia="仿宋" w:cs="仿宋"/>
          <w:color w:val="auto"/>
          <w:szCs w:val="24"/>
          <w:highlight w:val="none"/>
        </w:rPr>
      </w:pPr>
    </w:p>
    <w:p w14:paraId="192F6F5F">
      <w:pPr>
        <w:pStyle w:val="2"/>
        <w:spacing w:before="120" w:beforeLines="50" w:after="120" w:afterLines="5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二、项目概况</w:t>
      </w:r>
    </w:p>
    <w:p w14:paraId="65F93F25">
      <w:pPr>
        <w:widowControl/>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为确保医院放射诊疗设备运行的稳定性、精确性及安全性，保障受检者、医务工作者及公众的辐射安全，根据《放射性同位素与射线装置安全和防护条例》《放射诊疗管理规定》等国家法律法规及卫生行政部门的相关要求，必须定期对全院在用的放射诊疗设备（含X射线诊断设备、介入放射学设备、放射治疗设备、核医学设备等）的性能指标，以及相应放射工作场所的辐射防护水平进行强制性年度检测。本项目旨在通过公开招标，择优选定具备相应资质和技术能力的第三方技术服务机构，承担本院2026年度（或指定周期）的全部放射诊疗设备性能检测与场所防护检测工作，确保医院辐射安全管理工作合法、合规、有效。</w:t>
      </w:r>
    </w:p>
    <w:p w14:paraId="7FE52890">
      <w:pPr>
        <w:widowControl/>
        <w:spacing w:line="360" w:lineRule="auto"/>
        <w:ind w:firstLine="480" w:firstLineChars="200"/>
        <w:rPr>
          <w:rFonts w:hint="eastAsia" w:ascii="仿宋" w:hAnsi="仿宋" w:eastAsia="仿宋" w:cs="仿宋"/>
          <w:b w:val="0"/>
          <w:bCs/>
          <w:kern w:val="0"/>
          <w:sz w:val="24"/>
          <w:highlight w:val="none"/>
          <w:lang w:val="en-US" w:eastAsia="zh-CN"/>
        </w:rPr>
      </w:pPr>
    </w:p>
    <w:p w14:paraId="61966CCB">
      <w:pPr>
        <w:pStyle w:val="2"/>
        <w:spacing w:before="120" w:beforeLines="50" w:after="120" w:afterLines="50"/>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三、</w:t>
      </w:r>
      <w:bookmarkStart w:id="1" w:name="_Hlk72073432"/>
      <w:r>
        <w:rPr>
          <w:rFonts w:hint="eastAsia" w:ascii="仿宋" w:hAnsi="仿宋" w:eastAsia="仿宋" w:cs="仿宋"/>
          <w:color w:val="000000" w:themeColor="text1"/>
          <w:szCs w:val="24"/>
          <w:highlight w:val="none"/>
          <w14:textFill>
            <w14:solidFill>
              <w14:schemeClr w14:val="tx1"/>
            </w14:solidFill>
          </w14:textFill>
        </w:rPr>
        <w:t>服务需求明细</w:t>
      </w:r>
      <w:bookmarkEnd w:id="1"/>
    </w:p>
    <w:tbl>
      <w:tblPr>
        <w:tblStyle w:val="20"/>
        <w:tblpPr w:leftFromText="180" w:rightFromText="180" w:vertAnchor="text" w:horzAnchor="margin" w:tblpY="17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818"/>
        <w:gridCol w:w="1770"/>
        <w:gridCol w:w="3165"/>
        <w:gridCol w:w="1349"/>
        <w:gridCol w:w="722"/>
      </w:tblGrid>
      <w:tr w14:paraId="57F4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3A41F34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979" w:type="pct"/>
            <w:vAlign w:val="center"/>
          </w:tcPr>
          <w:p w14:paraId="6A9B4D89">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953" w:type="pct"/>
            <w:vAlign w:val="center"/>
          </w:tcPr>
          <w:p w14:paraId="4BF2E7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设备类型</w:t>
            </w:r>
          </w:p>
        </w:tc>
        <w:tc>
          <w:tcPr>
            <w:tcW w:w="1705" w:type="pct"/>
            <w:vAlign w:val="center"/>
          </w:tcPr>
          <w:p w14:paraId="13A12A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服务需求名称</w:t>
            </w:r>
          </w:p>
        </w:tc>
        <w:tc>
          <w:tcPr>
            <w:tcW w:w="726" w:type="pct"/>
            <w:vAlign w:val="center"/>
          </w:tcPr>
          <w:p w14:paraId="7AA84C6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参考数量</w:t>
            </w:r>
          </w:p>
        </w:tc>
        <w:tc>
          <w:tcPr>
            <w:tcW w:w="389" w:type="pct"/>
            <w:vAlign w:val="center"/>
          </w:tcPr>
          <w:p w14:paraId="46F19E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单位</w:t>
            </w:r>
          </w:p>
        </w:tc>
      </w:tr>
      <w:tr w14:paraId="5695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1B9CDA5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979" w:type="pct"/>
            <w:vMerge w:val="restart"/>
            <w:vAlign w:val="center"/>
          </w:tcPr>
          <w:p w14:paraId="1D6D14D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LGZXYYZBB20260318-2</w:t>
            </w:r>
          </w:p>
        </w:tc>
        <w:tc>
          <w:tcPr>
            <w:tcW w:w="953" w:type="pct"/>
            <w:vAlign w:val="center"/>
          </w:tcPr>
          <w:p w14:paraId="54577C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rPr>
            </w:pPr>
            <w:r>
              <w:rPr>
                <w:rFonts w:hint="eastAsia" w:ascii="仿宋" w:hAnsi="仿宋" w:eastAsia="仿宋" w:cs="仿宋"/>
                <w:i w:val="0"/>
                <w:iCs w:val="0"/>
                <w:color w:val="000000"/>
                <w:kern w:val="0"/>
                <w:sz w:val="24"/>
                <w:szCs w:val="24"/>
                <w:u w:val="none"/>
                <w:lang w:val="en-US" w:eastAsia="zh-CN" w:bidi="ar"/>
              </w:rPr>
              <w:t>CT</w:t>
            </w:r>
          </w:p>
        </w:tc>
        <w:tc>
          <w:tcPr>
            <w:tcW w:w="1705" w:type="pct"/>
            <w:vAlign w:val="center"/>
          </w:tcPr>
          <w:p w14:paraId="30D9B5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516647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389" w:type="pct"/>
            <w:vAlign w:val="center"/>
          </w:tcPr>
          <w:p w14:paraId="55B3E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55BB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5" w:type="pct"/>
            <w:vAlign w:val="center"/>
          </w:tcPr>
          <w:p w14:paraId="12794D4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979" w:type="pct"/>
            <w:vMerge w:val="continue"/>
            <w:vAlign w:val="center"/>
          </w:tcPr>
          <w:p w14:paraId="2E6D4D6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0B432D5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rPr>
            </w:pPr>
            <w:r>
              <w:rPr>
                <w:rFonts w:hint="eastAsia" w:ascii="仿宋" w:hAnsi="仿宋" w:eastAsia="仿宋" w:cs="仿宋"/>
                <w:i w:val="0"/>
                <w:iCs w:val="0"/>
                <w:color w:val="000000"/>
                <w:kern w:val="0"/>
                <w:sz w:val="24"/>
                <w:szCs w:val="24"/>
                <w:u w:val="none"/>
                <w:lang w:val="en-US" w:eastAsia="zh-CN" w:bidi="ar"/>
              </w:rPr>
              <w:t>DR</w:t>
            </w:r>
          </w:p>
        </w:tc>
        <w:tc>
          <w:tcPr>
            <w:tcW w:w="1705" w:type="pct"/>
            <w:vAlign w:val="center"/>
          </w:tcPr>
          <w:p w14:paraId="3FB599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3033501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389" w:type="pct"/>
            <w:vAlign w:val="center"/>
          </w:tcPr>
          <w:p w14:paraId="455173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6334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54DE86D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979" w:type="pct"/>
            <w:vMerge w:val="continue"/>
            <w:vAlign w:val="center"/>
          </w:tcPr>
          <w:p w14:paraId="2F6F7E9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5E3401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DSA</w:t>
            </w:r>
          </w:p>
        </w:tc>
        <w:tc>
          <w:tcPr>
            <w:tcW w:w="1705" w:type="pct"/>
            <w:vAlign w:val="center"/>
          </w:tcPr>
          <w:p w14:paraId="57994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63DEF0A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389" w:type="pct"/>
            <w:vAlign w:val="center"/>
          </w:tcPr>
          <w:p w14:paraId="0EB583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607B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5" w:type="pct"/>
            <w:vMerge w:val="restart"/>
            <w:vAlign w:val="center"/>
          </w:tcPr>
          <w:p w14:paraId="2E79467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979" w:type="pct"/>
            <w:vMerge w:val="continue"/>
            <w:vAlign w:val="center"/>
          </w:tcPr>
          <w:p w14:paraId="50F17A1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Merge w:val="restart"/>
            <w:vAlign w:val="center"/>
          </w:tcPr>
          <w:p w14:paraId="5C91F1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C臂</w:t>
            </w:r>
          </w:p>
        </w:tc>
        <w:tc>
          <w:tcPr>
            <w:tcW w:w="1705" w:type="pct"/>
            <w:vAlign w:val="center"/>
          </w:tcPr>
          <w:p w14:paraId="5FFAD8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p>
        </w:tc>
        <w:tc>
          <w:tcPr>
            <w:tcW w:w="726" w:type="pct"/>
            <w:vAlign w:val="center"/>
          </w:tcPr>
          <w:p w14:paraId="7778347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389" w:type="pct"/>
            <w:vAlign w:val="center"/>
          </w:tcPr>
          <w:p w14:paraId="6D660D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5624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45" w:type="pct"/>
            <w:vMerge w:val="continue"/>
            <w:vAlign w:val="center"/>
          </w:tcPr>
          <w:p w14:paraId="42C34E0A">
            <w:pPr>
              <w:keepNext w:val="0"/>
              <w:keepLines w:val="0"/>
              <w:widowControl/>
              <w:suppressLineNumbers w:val="0"/>
              <w:spacing w:before="0" w:beforeAutospacing="0" w:after="0" w:afterAutospacing="0"/>
              <w:ind w:left="0" w:right="0"/>
              <w:jc w:val="center"/>
              <w:textAlignment w:val="center"/>
              <w:rPr>
                <w:rFonts w:hint="default"/>
              </w:rPr>
            </w:pPr>
          </w:p>
        </w:tc>
        <w:tc>
          <w:tcPr>
            <w:tcW w:w="979" w:type="pct"/>
            <w:vMerge w:val="continue"/>
            <w:vAlign w:val="center"/>
          </w:tcPr>
          <w:p w14:paraId="5527FDF8">
            <w:pPr>
              <w:keepNext w:val="0"/>
              <w:keepLines w:val="0"/>
              <w:widowControl/>
              <w:suppressLineNumbers w:val="0"/>
              <w:spacing w:before="0" w:beforeAutospacing="0" w:after="0" w:afterAutospacing="0"/>
              <w:ind w:left="0" w:right="0"/>
              <w:jc w:val="center"/>
              <w:textAlignment w:val="center"/>
              <w:rPr>
                <w:rFonts w:hint="default"/>
              </w:rPr>
            </w:pPr>
          </w:p>
        </w:tc>
        <w:tc>
          <w:tcPr>
            <w:tcW w:w="953" w:type="pct"/>
            <w:vMerge w:val="continue"/>
            <w:vAlign w:val="center"/>
          </w:tcPr>
          <w:p w14:paraId="5400C737">
            <w:pPr>
              <w:keepNext w:val="0"/>
              <w:keepLines w:val="0"/>
              <w:widowControl/>
              <w:suppressLineNumbers w:val="0"/>
              <w:spacing w:before="0" w:beforeAutospacing="0" w:after="0" w:afterAutospacing="0"/>
              <w:ind w:left="0" w:right="0"/>
              <w:jc w:val="center"/>
              <w:textAlignment w:val="center"/>
              <w:rPr>
                <w:rFonts w:hint="default"/>
              </w:rPr>
            </w:pPr>
          </w:p>
        </w:tc>
        <w:tc>
          <w:tcPr>
            <w:tcW w:w="1705" w:type="pct"/>
            <w:vAlign w:val="center"/>
          </w:tcPr>
          <w:p w14:paraId="3CA557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6E0989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389" w:type="pct"/>
            <w:vAlign w:val="center"/>
          </w:tcPr>
          <w:p w14:paraId="2516B8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r>
      <w:tr w14:paraId="58AC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7E99ECF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979" w:type="pct"/>
            <w:vMerge w:val="continue"/>
            <w:vAlign w:val="center"/>
          </w:tcPr>
          <w:p w14:paraId="4384E2A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3B59875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rPr>
            </w:pPr>
            <w:r>
              <w:rPr>
                <w:rFonts w:hint="eastAsia" w:ascii="仿宋" w:hAnsi="仿宋" w:eastAsia="仿宋" w:cs="仿宋"/>
                <w:i w:val="0"/>
                <w:iCs w:val="0"/>
                <w:color w:val="000000"/>
                <w:kern w:val="0"/>
                <w:sz w:val="24"/>
                <w:szCs w:val="24"/>
                <w:u w:val="none"/>
                <w:lang w:val="en-US" w:eastAsia="zh-CN" w:bidi="ar"/>
              </w:rPr>
              <w:t>移动DR</w:t>
            </w:r>
          </w:p>
        </w:tc>
        <w:tc>
          <w:tcPr>
            <w:tcW w:w="1705" w:type="pct"/>
            <w:vAlign w:val="center"/>
          </w:tcPr>
          <w:p w14:paraId="284394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p>
        </w:tc>
        <w:tc>
          <w:tcPr>
            <w:tcW w:w="726" w:type="pct"/>
            <w:vAlign w:val="center"/>
          </w:tcPr>
          <w:p w14:paraId="6B7DD2C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389" w:type="pct"/>
            <w:vAlign w:val="center"/>
          </w:tcPr>
          <w:p w14:paraId="5D14FC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73EE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45" w:type="pct"/>
            <w:vAlign w:val="center"/>
          </w:tcPr>
          <w:p w14:paraId="4E08DB1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979" w:type="pct"/>
            <w:vMerge w:val="continue"/>
            <w:vAlign w:val="center"/>
          </w:tcPr>
          <w:p w14:paraId="654DCDC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61EBA4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钼靶</w:t>
            </w:r>
          </w:p>
        </w:tc>
        <w:tc>
          <w:tcPr>
            <w:tcW w:w="1705" w:type="pct"/>
            <w:vAlign w:val="center"/>
          </w:tcPr>
          <w:p w14:paraId="0F14BC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5ADB20E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640B56A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26A1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31640D1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w:t>
            </w:r>
          </w:p>
        </w:tc>
        <w:tc>
          <w:tcPr>
            <w:tcW w:w="979" w:type="pct"/>
            <w:vMerge w:val="continue"/>
            <w:vAlign w:val="center"/>
          </w:tcPr>
          <w:p w14:paraId="5D559F0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5206706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口腔CT</w:t>
            </w:r>
          </w:p>
        </w:tc>
        <w:tc>
          <w:tcPr>
            <w:tcW w:w="1705" w:type="pct"/>
            <w:vAlign w:val="center"/>
          </w:tcPr>
          <w:p w14:paraId="7A42A7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208C337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389" w:type="pct"/>
            <w:vAlign w:val="center"/>
          </w:tcPr>
          <w:p w14:paraId="0D8ACEE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5DF7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5FD529A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w:t>
            </w:r>
          </w:p>
        </w:tc>
        <w:tc>
          <w:tcPr>
            <w:tcW w:w="979" w:type="pct"/>
            <w:vMerge w:val="continue"/>
            <w:vAlign w:val="center"/>
          </w:tcPr>
          <w:p w14:paraId="3977900B">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41DA731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牙片机</w:t>
            </w:r>
          </w:p>
        </w:tc>
        <w:tc>
          <w:tcPr>
            <w:tcW w:w="1705" w:type="pct"/>
            <w:vAlign w:val="center"/>
          </w:tcPr>
          <w:p w14:paraId="676030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1A2548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389" w:type="pct"/>
            <w:vAlign w:val="center"/>
          </w:tcPr>
          <w:p w14:paraId="03A2455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3486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468D880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w:t>
            </w:r>
          </w:p>
        </w:tc>
        <w:tc>
          <w:tcPr>
            <w:tcW w:w="979" w:type="pct"/>
            <w:vMerge w:val="continue"/>
            <w:vAlign w:val="center"/>
          </w:tcPr>
          <w:p w14:paraId="146E894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22E10E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碎石机</w:t>
            </w:r>
          </w:p>
        </w:tc>
        <w:tc>
          <w:tcPr>
            <w:tcW w:w="1705" w:type="pct"/>
            <w:vAlign w:val="center"/>
          </w:tcPr>
          <w:p w14:paraId="65600A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590CE66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389" w:type="pct"/>
            <w:vAlign w:val="center"/>
          </w:tcPr>
          <w:p w14:paraId="2EAD3B0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1701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4F542ABD">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c>
          <w:tcPr>
            <w:tcW w:w="979" w:type="pct"/>
            <w:vMerge w:val="continue"/>
            <w:vAlign w:val="center"/>
          </w:tcPr>
          <w:p w14:paraId="6CE9802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shd w:val="clear" w:color="auto" w:fill="auto"/>
            <w:vAlign w:val="center"/>
          </w:tcPr>
          <w:p w14:paraId="220DB4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骨密度仪</w:t>
            </w:r>
          </w:p>
        </w:tc>
        <w:tc>
          <w:tcPr>
            <w:tcW w:w="1705" w:type="pct"/>
            <w:vAlign w:val="center"/>
          </w:tcPr>
          <w:p w14:paraId="4B2201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1.机房防护检测</w:t>
            </w:r>
          </w:p>
        </w:tc>
        <w:tc>
          <w:tcPr>
            <w:tcW w:w="726" w:type="pct"/>
            <w:vAlign w:val="center"/>
          </w:tcPr>
          <w:p w14:paraId="0B6D86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26F747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11EF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6CD759E8">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w:t>
            </w:r>
          </w:p>
        </w:tc>
        <w:tc>
          <w:tcPr>
            <w:tcW w:w="979" w:type="pct"/>
            <w:vMerge w:val="continue"/>
            <w:vAlign w:val="center"/>
          </w:tcPr>
          <w:p w14:paraId="2D68FCF9">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shd w:val="clear" w:color="auto" w:fill="auto"/>
            <w:vAlign w:val="center"/>
          </w:tcPr>
          <w:p w14:paraId="12B2DE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胃肠机</w:t>
            </w:r>
          </w:p>
        </w:tc>
        <w:tc>
          <w:tcPr>
            <w:tcW w:w="1705" w:type="pct"/>
            <w:vAlign w:val="center"/>
          </w:tcPr>
          <w:p w14:paraId="1A1776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0FD22B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389" w:type="pct"/>
            <w:vAlign w:val="center"/>
          </w:tcPr>
          <w:p w14:paraId="47DD63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2B4F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3B390D05">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w:t>
            </w:r>
          </w:p>
        </w:tc>
        <w:tc>
          <w:tcPr>
            <w:tcW w:w="979" w:type="pct"/>
            <w:vMerge w:val="continue"/>
            <w:vAlign w:val="center"/>
          </w:tcPr>
          <w:p w14:paraId="5547628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shd w:val="clear" w:color="auto" w:fill="auto"/>
            <w:vAlign w:val="center"/>
          </w:tcPr>
          <w:p w14:paraId="78A999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直线加速器</w:t>
            </w:r>
          </w:p>
        </w:tc>
        <w:tc>
          <w:tcPr>
            <w:tcW w:w="1705" w:type="pct"/>
            <w:vAlign w:val="center"/>
          </w:tcPr>
          <w:p w14:paraId="642898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6DF72A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7F547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7C79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1F66B63E">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w:t>
            </w:r>
          </w:p>
        </w:tc>
        <w:tc>
          <w:tcPr>
            <w:tcW w:w="979" w:type="pct"/>
            <w:vMerge w:val="continue"/>
            <w:vAlign w:val="center"/>
          </w:tcPr>
          <w:p w14:paraId="72DA6E8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shd w:val="clear" w:color="auto" w:fill="auto"/>
            <w:vAlign w:val="center"/>
          </w:tcPr>
          <w:p w14:paraId="77771B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CT模拟定位机</w:t>
            </w:r>
          </w:p>
        </w:tc>
        <w:tc>
          <w:tcPr>
            <w:tcW w:w="1705" w:type="pct"/>
            <w:vAlign w:val="center"/>
          </w:tcPr>
          <w:p w14:paraId="34FA3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2FFC8B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727741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77FF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237E7CAC">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w:t>
            </w:r>
          </w:p>
        </w:tc>
        <w:tc>
          <w:tcPr>
            <w:tcW w:w="979" w:type="pct"/>
            <w:vMerge w:val="continue"/>
            <w:vAlign w:val="center"/>
          </w:tcPr>
          <w:p w14:paraId="5202D16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753A97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后装机</w:t>
            </w:r>
          </w:p>
        </w:tc>
        <w:tc>
          <w:tcPr>
            <w:tcW w:w="1705" w:type="pct"/>
            <w:vAlign w:val="center"/>
          </w:tcPr>
          <w:p w14:paraId="79A8C7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7CF526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78CA27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419A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restart"/>
            <w:vAlign w:val="center"/>
          </w:tcPr>
          <w:p w14:paraId="12756D3F">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w:t>
            </w:r>
          </w:p>
        </w:tc>
        <w:tc>
          <w:tcPr>
            <w:tcW w:w="979" w:type="pct"/>
            <w:vMerge w:val="continue"/>
            <w:vAlign w:val="center"/>
          </w:tcPr>
          <w:p w14:paraId="5CFAAB28">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Merge w:val="restart"/>
            <w:vAlign w:val="center"/>
          </w:tcPr>
          <w:p w14:paraId="0C9ED1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SPECT/CT</w:t>
            </w:r>
          </w:p>
        </w:tc>
        <w:tc>
          <w:tcPr>
            <w:tcW w:w="1705" w:type="pct"/>
            <w:vAlign w:val="center"/>
          </w:tcPr>
          <w:p w14:paraId="154B1F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p>
        </w:tc>
        <w:tc>
          <w:tcPr>
            <w:tcW w:w="726" w:type="pct"/>
            <w:vAlign w:val="center"/>
          </w:tcPr>
          <w:p w14:paraId="4FCBB2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05218B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28F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45" w:type="pct"/>
            <w:vMerge w:val="continue"/>
            <w:vAlign w:val="center"/>
          </w:tcPr>
          <w:p w14:paraId="2364BFA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979" w:type="pct"/>
            <w:vMerge w:val="continue"/>
            <w:vAlign w:val="center"/>
          </w:tcPr>
          <w:p w14:paraId="4384872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Merge w:val="continue"/>
            <w:vAlign w:val="center"/>
          </w:tcPr>
          <w:p w14:paraId="15ABF0D2">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1705" w:type="pct"/>
            <w:vAlign w:val="center"/>
          </w:tcPr>
          <w:p w14:paraId="1EB62B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2.核医学工作场所防护检测（含两间甲癌病房）：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（1）SPECT中心防护检测；</w:t>
            </w:r>
          </w:p>
          <w:p w14:paraId="39BE3D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（2）场所表面污染检测；</w:t>
            </w:r>
          </w:p>
          <w:p w14:paraId="684D6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（3）x、γ辐射剂量率检测。涉及核素：Sr-90(Y-90)、Tc-99m、Sr-89、I-131</w:t>
            </w:r>
          </w:p>
        </w:tc>
        <w:tc>
          <w:tcPr>
            <w:tcW w:w="726" w:type="pct"/>
            <w:vAlign w:val="center"/>
          </w:tcPr>
          <w:p w14:paraId="0A50AD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06C3E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265B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C8DCF7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979" w:type="pct"/>
            <w:vMerge w:val="continue"/>
            <w:vAlign w:val="center"/>
          </w:tcPr>
          <w:p w14:paraId="57DCFE2D">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Merge w:val="continue"/>
            <w:vAlign w:val="center"/>
          </w:tcPr>
          <w:p w14:paraId="65BB237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1705" w:type="pct"/>
            <w:vAlign w:val="center"/>
          </w:tcPr>
          <w:p w14:paraId="52B77A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3.衰变池废水检测（含I-131检测）</w:t>
            </w:r>
          </w:p>
        </w:tc>
        <w:tc>
          <w:tcPr>
            <w:tcW w:w="726" w:type="pct"/>
            <w:vAlign w:val="center"/>
          </w:tcPr>
          <w:p w14:paraId="50E891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389" w:type="pct"/>
            <w:vAlign w:val="center"/>
          </w:tcPr>
          <w:p w14:paraId="466098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5590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restart"/>
            <w:vAlign w:val="center"/>
          </w:tcPr>
          <w:p w14:paraId="52EF2F97">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w:t>
            </w:r>
          </w:p>
        </w:tc>
        <w:tc>
          <w:tcPr>
            <w:tcW w:w="979" w:type="pct"/>
            <w:vMerge w:val="continue"/>
            <w:vAlign w:val="center"/>
          </w:tcPr>
          <w:p w14:paraId="3306D72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Merge w:val="restart"/>
            <w:vAlign w:val="center"/>
          </w:tcPr>
          <w:p w14:paraId="5659A2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PET/CT</w:t>
            </w:r>
          </w:p>
        </w:tc>
        <w:tc>
          <w:tcPr>
            <w:tcW w:w="1705" w:type="pct"/>
            <w:vAlign w:val="center"/>
          </w:tcPr>
          <w:p w14:paraId="35FEBD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p>
        </w:tc>
        <w:tc>
          <w:tcPr>
            <w:tcW w:w="726" w:type="pct"/>
            <w:vAlign w:val="center"/>
          </w:tcPr>
          <w:p w14:paraId="405148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3E637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2919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5E4BD79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979" w:type="pct"/>
            <w:vMerge w:val="continue"/>
            <w:vAlign w:val="center"/>
          </w:tcPr>
          <w:p w14:paraId="770372F8">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Merge w:val="continue"/>
            <w:vAlign w:val="center"/>
          </w:tcPr>
          <w:p w14:paraId="54A4333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1705" w:type="pct"/>
            <w:vAlign w:val="center"/>
          </w:tcPr>
          <w:p w14:paraId="06A035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2.核医学工作场所防护检测：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（1）PET中心防护检测；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（2）场所表面污染检测；</w:t>
            </w:r>
          </w:p>
          <w:p w14:paraId="78A44A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（3）x、γ辐射剂量率检测。涉及核素：F-18、Ga-68、P-32</w:t>
            </w:r>
          </w:p>
        </w:tc>
        <w:tc>
          <w:tcPr>
            <w:tcW w:w="726" w:type="pct"/>
            <w:vAlign w:val="center"/>
          </w:tcPr>
          <w:p w14:paraId="7A4A74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58D137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478D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DB91580">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p>
        </w:tc>
        <w:tc>
          <w:tcPr>
            <w:tcW w:w="979" w:type="pct"/>
            <w:vMerge w:val="continue"/>
            <w:vAlign w:val="center"/>
          </w:tcPr>
          <w:p w14:paraId="4D48FC2B">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Merge w:val="continue"/>
            <w:vAlign w:val="center"/>
          </w:tcPr>
          <w:p w14:paraId="7D553A6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1705" w:type="pct"/>
            <w:vAlign w:val="center"/>
          </w:tcPr>
          <w:p w14:paraId="4F3A5B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3.衰变池废水检测</w:t>
            </w:r>
          </w:p>
        </w:tc>
        <w:tc>
          <w:tcPr>
            <w:tcW w:w="726" w:type="pct"/>
            <w:vAlign w:val="center"/>
          </w:tcPr>
          <w:p w14:paraId="794145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389" w:type="pct"/>
            <w:vAlign w:val="center"/>
          </w:tcPr>
          <w:p w14:paraId="33D847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2D85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193B3F1A">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17</w:t>
            </w:r>
          </w:p>
        </w:tc>
        <w:tc>
          <w:tcPr>
            <w:tcW w:w="979" w:type="pct"/>
            <w:vMerge w:val="continue"/>
            <w:vAlign w:val="center"/>
          </w:tcPr>
          <w:p w14:paraId="58F671EE">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32AFE2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ERCP</w:t>
            </w:r>
          </w:p>
        </w:tc>
        <w:tc>
          <w:tcPr>
            <w:tcW w:w="1705" w:type="pct"/>
            <w:vAlign w:val="center"/>
          </w:tcPr>
          <w:p w14:paraId="394E7A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26" w:type="pct"/>
            <w:vAlign w:val="center"/>
          </w:tcPr>
          <w:p w14:paraId="235435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3549F0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56F1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77B80DD0">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18</w:t>
            </w:r>
          </w:p>
        </w:tc>
        <w:tc>
          <w:tcPr>
            <w:tcW w:w="979" w:type="pct"/>
            <w:vMerge w:val="continue"/>
            <w:vAlign w:val="center"/>
          </w:tcPr>
          <w:p w14:paraId="113D210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953" w:type="pct"/>
            <w:vAlign w:val="center"/>
          </w:tcPr>
          <w:p w14:paraId="70D4B0C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I 125</w:t>
            </w:r>
          </w:p>
        </w:tc>
        <w:tc>
          <w:tcPr>
            <w:tcW w:w="1705" w:type="pct"/>
            <w:vAlign w:val="center"/>
          </w:tcPr>
          <w:p w14:paraId="3CEB3A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1.粒籽病房防护检测</w:t>
            </w:r>
          </w:p>
        </w:tc>
        <w:tc>
          <w:tcPr>
            <w:tcW w:w="726" w:type="pct"/>
            <w:vAlign w:val="center"/>
          </w:tcPr>
          <w:p w14:paraId="7B8708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89" w:type="pct"/>
            <w:vAlign w:val="center"/>
          </w:tcPr>
          <w:p w14:paraId="0E55A1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r>
      <w:tr w14:paraId="6123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79A52DEB">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4754" w:type="pct"/>
            <w:gridSpan w:val="5"/>
            <w:vAlign w:val="center"/>
          </w:tcPr>
          <w:p w14:paraId="17F8B45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合计：182000.00元</w:t>
            </w:r>
          </w:p>
        </w:tc>
      </w:tr>
    </w:tbl>
    <w:p w14:paraId="0E191539">
      <w:pPr>
        <w:pStyle w:val="2"/>
        <w:spacing w:before="120" w:beforeLines="50" w:after="120" w:afterLines="50"/>
        <w:jc w:val="left"/>
        <w:rPr>
          <w:rFonts w:hint="eastAsia"/>
          <w:color w:val="auto"/>
        </w:rPr>
      </w:pPr>
      <w:r>
        <w:rPr>
          <w:rFonts w:hint="eastAsia" w:ascii="仿宋" w:hAnsi="仿宋" w:eastAsia="仿宋" w:cs="仿宋"/>
          <w:color w:val="auto"/>
          <w:szCs w:val="24"/>
          <w:highlight w:val="none"/>
        </w:rPr>
        <w:t>备注：以上参考数量为招标估算量，实际</w:t>
      </w:r>
      <w:r>
        <w:rPr>
          <w:rFonts w:hint="eastAsia" w:ascii="仿宋" w:hAnsi="仿宋" w:eastAsia="仿宋" w:cs="仿宋"/>
          <w:color w:val="auto"/>
          <w:szCs w:val="24"/>
          <w:highlight w:val="none"/>
          <w:lang w:val="en-US" w:eastAsia="zh-CN"/>
        </w:rPr>
        <w:t>需求</w:t>
      </w:r>
      <w:r>
        <w:rPr>
          <w:rFonts w:hint="eastAsia" w:ascii="仿宋" w:hAnsi="仿宋" w:eastAsia="仿宋" w:cs="仿宋"/>
          <w:color w:val="auto"/>
          <w:szCs w:val="24"/>
          <w:highlight w:val="none"/>
        </w:rPr>
        <w:t>以</w:t>
      </w:r>
      <w:r>
        <w:rPr>
          <w:rFonts w:hint="eastAsia" w:ascii="仿宋" w:hAnsi="仿宋" w:eastAsia="仿宋" w:cs="仿宋"/>
          <w:color w:val="auto"/>
          <w:szCs w:val="24"/>
          <w:highlight w:val="none"/>
          <w:lang w:val="en-US" w:eastAsia="zh-CN"/>
        </w:rPr>
        <w:t>项目实施的</w:t>
      </w:r>
      <w:r>
        <w:rPr>
          <w:rFonts w:hint="eastAsia" w:ascii="仿宋" w:hAnsi="仿宋" w:eastAsia="仿宋" w:cs="仿宋"/>
          <w:color w:val="auto"/>
          <w:szCs w:val="24"/>
          <w:highlight w:val="none"/>
        </w:rPr>
        <w:t>实际数量为准。</w:t>
      </w:r>
    </w:p>
    <w:p w14:paraId="0E7B9B61">
      <w:pPr>
        <w:rPr>
          <w:rFonts w:hint="eastAsia"/>
        </w:rPr>
      </w:pPr>
    </w:p>
    <w:p w14:paraId="5F4060AB">
      <w:pPr>
        <w:pStyle w:val="2"/>
        <w:tabs>
          <w:tab w:val="left" w:pos="7574"/>
        </w:tabs>
        <w:spacing w:before="120" w:beforeLines="50" w:after="120" w:afterLines="50"/>
        <w:jc w:val="both"/>
        <w:rPr>
          <w:rFonts w:hint="eastAsia" w:ascii="仿宋" w:hAnsi="仿宋" w:eastAsia="仿宋" w:cs="仿宋"/>
          <w:szCs w:val="24"/>
          <w:highlight w:val="none"/>
          <w:lang w:eastAsia="zh-CN"/>
        </w:rPr>
      </w:pPr>
      <w:r>
        <w:rPr>
          <w:rFonts w:hint="eastAsia" w:ascii="仿宋" w:hAnsi="仿宋" w:eastAsia="仿宋" w:cs="仿宋"/>
          <w:szCs w:val="24"/>
          <w:highlight w:val="none"/>
        </w:rPr>
        <w:t>四、实质性条款</w:t>
      </w:r>
      <w:r>
        <w:rPr>
          <w:rFonts w:hint="eastAsia" w:ascii="仿宋" w:hAnsi="仿宋" w:eastAsia="仿宋" w:cs="仿宋"/>
          <w:szCs w:val="24"/>
          <w:highlight w:val="none"/>
          <w:lang w:eastAsia="zh-CN"/>
        </w:rPr>
        <w:tab/>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8567"/>
      </w:tblGrid>
      <w:tr w14:paraId="4093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top"/>
          </w:tcPr>
          <w:p w14:paraId="6C08B95F">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613" w:type="pct"/>
            <w:vAlign w:val="top"/>
          </w:tcPr>
          <w:p w14:paraId="6A0A20EB">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1532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386" w:type="pct"/>
            <w:vAlign w:val="center"/>
          </w:tcPr>
          <w:p w14:paraId="2CF81AC0">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613" w:type="pct"/>
            <w:vAlign w:val="top"/>
          </w:tcPr>
          <w:p w14:paraId="565788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项目负责人</w:t>
            </w:r>
            <w:r>
              <w:rPr>
                <w:rFonts w:hint="eastAsia" w:ascii="仿宋" w:hAnsi="仿宋" w:eastAsia="仿宋" w:cs="仿宋"/>
                <w:kern w:val="0"/>
                <w:sz w:val="24"/>
                <w:szCs w:val="24"/>
                <w:highlight w:val="none"/>
                <w:lang w:val="en-US" w:eastAsia="zh-CN"/>
              </w:rPr>
              <w:t>仅限</w:t>
            </w:r>
            <w:r>
              <w:rPr>
                <w:rFonts w:hint="eastAsia" w:ascii="仿宋" w:hAnsi="仿宋" w:eastAsia="仿宋" w:cs="仿宋"/>
                <w:color w:val="000000"/>
                <w:kern w:val="0"/>
                <w:sz w:val="24"/>
                <w:szCs w:val="24"/>
                <w:highlight w:val="none"/>
                <w:lang w:val="en-US" w:eastAsia="zh-CN"/>
              </w:rPr>
              <w:t>1人；</w:t>
            </w:r>
            <w:r>
              <w:rPr>
                <w:rFonts w:hint="eastAsia" w:ascii="仿宋" w:hAnsi="仿宋" w:eastAsia="仿宋" w:cs="仿宋"/>
                <w:color w:val="000000"/>
                <w:kern w:val="0"/>
                <w:sz w:val="24"/>
                <w:szCs w:val="24"/>
                <w:highlight w:val="none"/>
              </w:rPr>
              <w:t>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0C3DFE4F">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eastAsia="zh-CN"/>
              </w:rPr>
            </w:pPr>
            <w:r>
              <w:rPr>
                <w:rFonts w:hint="eastAsia" w:ascii="仿宋" w:hAnsi="仿宋" w:eastAsia="仿宋" w:cs="仿宋"/>
                <w:color w:val="000000"/>
                <w:kern w:val="0"/>
                <w:sz w:val="24"/>
                <w:szCs w:val="24"/>
                <w:lang w:val="en-US" w:eastAsia="zh-CN" w:bidi="ar-SA"/>
              </w:rPr>
              <w:t>2.</w:t>
            </w:r>
            <w:r>
              <w:rPr>
                <w:rFonts w:hint="eastAsia" w:ascii="仿宋" w:hAnsi="仿宋" w:eastAsia="仿宋" w:cs="仿宋"/>
                <w:color w:val="000000"/>
                <w:kern w:val="0"/>
                <w:sz w:val="24"/>
                <w:szCs w:val="24"/>
                <w:highlight w:val="none"/>
                <w:lang w:val="en-US" w:eastAsia="zh-CN"/>
              </w:rPr>
              <w:t>团队成员（项目负责人除外）至少7人；</w:t>
            </w:r>
            <w:r>
              <w:rPr>
                <w:rFonts w:hint="eastAsia" w:ascii="仿宋" w:hAnsi="仿宋" w:eastAsia="仿宋" w:cs="仿宋"/>
                <w:color w:val="000000"/>
                <w:kern w:val="0"/>
                <w:sz w:val="24"/>
                <w:szCs w:val="24"/>
                <w:lang w:val="en-US" w:eastAsia="zh-CN" w:bidi="ar-SA"/>
              </w:rPr>
              <w:t>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bl>
    <w:p w14:paraId="50966CAD">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33B9EE0C">
      <w:pPr>
        <w:ind w:left="0"/>
        <w:jc w:val="left"/>
        <w:outlineLvl w:val="0"/>
        <w:rPr>
          <w:rFonts w:hint="eastAsia" w:ascii="仿宋" w:hAnsi="仿宋" w:eastAsia="仿宋" w:cs="仿宋"/>
          <w:b/>
          <w:bCs w:val="0"/>
          <w:kern w:val="0"/>
          <w:sz w:val="24"/>
          <w:szCs w:val="24"/>
          <w:highlight w:val="none"/>
          <w:lang w:val="en-US" w:eastAsia="zh-CN" w:bidi="ar-SA"/>
        </w:rPr>
      </w:pPr>
    </w:p>
    <w:p w14:paraId="749DDA48">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五、技术要求</w:t>
      </w:r>
    </w:p>
    <w:p w14:paraId="45807D56">
      <w:pPr>
        <w:spacing w:line="500" w:lineRule="exact"/>
        <w:rPr>
          <w:rFonts w:hint="eastAsia" w:ascii="仿宋" w:hAnsi="仿宋" w:eastAsia="仿宋" w:cs="仿宋"/>
          <w:b/>
          <w:bCs w:val="0"/>
          <w:color w:val="FF000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（一）服务需求</w:t>
      </w:r>
      <w:r>
        <w:rPr>
          <w:rFonts w:hint="eastAsia" w:ascii="仿宋" w:hAnsi="仿宋" w:eastAsia="仿宋" w:cs="仿宋"/>
          <w:b/>
          <w:bCs w:val="0"/>
          <w:color w:val="FF0000"/>
          <w:kern w:val="0"/>
          <w:sz w:val="24"/>
          <w:szCs w:val="24"/>
          <w:highlight w:val="none"/>
          <w:lang w:val="en-US" w:eastAsia="zh-CN" w:bidi="ar-SA"/>
        </w:rPr>
        <w:t>（以下条款为必须满足条款，无需投标人响应，均作为采购合同条款，投标人在中标（成交）后均须满足。）</w:t>
      </w:r>
    </w:p>
    <w:p w14:paraId="049CB216">
      <w:pPr>
        <w:widowControl/>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为确保医院放射诊疗设备运行，保障辐射安全，根据国家法律法规及卫生行政部门的相关要求，必须定期对全院在用的放射诊疗设备的性能指标及相应放射工作场所的辐射防护水平进行强制性年度检测，</w:t>
      </w:r>
      <w:r>
        <w:rPr>
          <w:rFonts w:hint="eastAsia" w:ascii="仿宋" w:hAnsi="仿宋" w:eastAsia="仿宋" w:cs="仿宋"/>
          <w:b w:val="0"/>
          <w:bCs/>
          <w:kern w:val="0"/>
          <w:sz w:val="24"/>
          <w:szCs w:val="21"/>
          <w:lang w:val="en-US" w:eastAsia="zh-CN" w:bidi="ar-SA"/>
        </w:rPr>
        <w:t>每台设备年检时间不一致，需按采购人规定时间内完成，保证设备年检时效不过期。</w:t>
      </w:r>
      <w:r>
        <w:rPr>
          <w:rFonts w:hint="eastAsia" w:ascii="仿宋" w:hAnsi="仿宋" w:eastAsia="仿宋" w:cs="仿宋"/>
          <w:b w:val="0"/>
          <w:bCs/>
          <w:kern w:val="0"/>
          <w:sz w:val="24"/>
          <w:highlight w:val="none"/>
          <w:lang w:val="en-US" w:eastAsia="zh-CN"/>
        </w:rPr>
        <w:t xml:space="preserve">具体工作内容如下： </w:t>
      </w:r>
    </w:p>
    <w:p w14:paraId="2B3014FE">
      <w:pPr>
        <w:keepNext w:val="0"/>
        <w:keepLines w:val="0"/>
        <w:pageBreakBefore w:val="0"/>
        <w:widowControl/>
        <w:kinsoku/>
        <w:wordWrap/>
        <w:overflowPunct/>
        <w:topLinePunct w:val="0"/>
        <w:autoSpaceDE/>
        <w:autoSpaceDN/>
        <w:bidi w:val="0"/>
        <w:spacing w:line="480" w:lineRule="exact"/>
        <w:ind w:left="210" w:leftChars="100" w:firstLine="240" w:firstLineChars="100"/>
        <w:rPr>
          <w:rFonts w:hint="eastAsia" w:ascii="仿宋" w:hAnsi="仿宋" w:eastAsia="仿宋" w:cs="仿宋"/>
          <w:bCs/>
          <w:sz w:val="24"/>
          <w:szCs w:val="24"/>
          <w:lang w:val="en-US" w:eastAsia="zh-CN"/>
        </w:rPr>
      </w:pPr>
      <w:r>
        <w:rPr>
          <w:rFonts w:hint="eastAsia" w:ascii="仿宋" w:hAnsi="仿宋" w:eastAsia="仿宋" w:cs="仿宋"/>
          <w:sz w:val="24"/>
          <w:szCs w:val="24"/>
          <w:lang w:val="en-US" w:eastAsia="zh-CN"/>
        </w:rPr>
        <w:t>1.根据GBZ 130-2020《放射诊断放射防护要求》和HJ 1157-2021《环境γ辐射剂量率测量技术规范》等法律法规的要求，</w:t>
      </w:r>
      <w:r>
        <w:rPr>
          <w:rFonts w:hint="eastAsia" w:ascii="仿宋" w:hAnsi="仿宋" w:eastAsia="仿宋" w:cs="仿宋"/>
          <w:bCs/>
          <w:sz w:val="24"/>
          <w:szCs w:val="24"/>
          <w:lang w:val="en-US" w:eastAsia="zh-CN"/>
        </w:rPr>
        <w:t>对所有设备进行质量控制检测及放射防护检测，并出具相应检测报告，报告需符合上级卫生行政部门及环保部门审查要求（注：相关法律法规如有更新，以最新版本要求为准）。</w:t>
      </w:r>
    </w:p>
    <w:p w14:paraId="4F57093E">
      <w:pPr>
        <w:keepNext w:val="0"/>
        <w:keepLines w:val="0"/>
        <w:pageBreakBefore w:val="0"/>
        <w:widowControl/>
        <w:kinsoku/>
        <w:wordWrap/>
        <w:overflowPunct/>
        <w:topLinePunct w:val="0"/>
        <w:autoSpaceDE/>
        <w:autoSpaceDN/>
        <w:bidi w:val="0"/>
        <w:spacing w:line="480" w:lineRule="exact"/>
        <w:ind w:left="210" w:leftChars="100" w:firstLine="240" w:firstLineChars="100"/>
        <w:rPr>
          <w:rFonts w:hint="eastAsia" w:ascii="仿宋" w:hAnsi="仿宋" w:eastAsia="仿宋" w:cs="仿宋"/>
          <w:bCs/>
          <w:sz w:val="24"/>
          <w:szCs w:val="24"/>
          <w:lang w:val="en-US" w:eastAsia="zh-CN"/>
        </w:rPr>
      </w:pPr>
      <w:r>
        <w:rPr>
          <w:rFonts w:hint="eastAsia" w:ascii="仿宋" w:hAnsi="仿宋" w:eastAsia="仿宋" w:cs="仿宋"/>
          <w:sz w:val="24"/>
          <w:szCs w:val="24"/>
          <w:lang w:val="en-US" w:eastAsia="zh-CN"/>
        </w:rPr>
        <w:t>2.采购人提出检测预约需求后，中标人应在5个工作日内安排进行检测，具体检测时间与采购人提前确认；完成现场检测后，10个工作日内向采购人提交检测报告。</w:t>
      </w:r>
    </w:p>
    <w:p w14:paraId="1073647F">
      <w:pPr>
        <w:keepNext w:val="0"/>
        <w:keepLines w:val="0"/>
        <w:pageBreakBefore w:val="0"/>
        <w:widowControl/>
        <w:kinsoku/>
        <w:wordWrap/>
        <w:overflowPunct/>
        <w:topLinePunct w:val="0"/>
        <w:autoSpaceDE/>
        <w:autoSpaceDN/>
        <w:bidi w:val="0"/>
        <w:spacing w:line="480" w:lineRule="exact"/>
        <w:ind w:left="210" w:leftChars="100" w:firstLine="240" w:firstLineChars="100"/>
        <w:rPr>
          <w:rFonts w:hint="eastAsia" w:ascii="仿宋" w:hAnsi="仿宋" w:eastAsia="仿宋" w:cs="仿宋"/>
          <w:bCs/>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bCs/>
          <w:sz w:val="24"/>
          <w:szCs w:val="24"/>
          <w:lang w:val="en-US" w:eastAsia="zh-CN"/>
        </w:rPr>
        <w:t>检测不合格时，提供整改意见，并提供复测，直至检测合格</w:t>
      </w:r>
      <w:r>
        <w:rPr>
          <w:rFonts w:hint="eastAsia" w:ascii="仿宋" w:hAnsi="仿宋" w:eastAsia="仿宋" w:cs="仿宋"/>
          <w:bCs/>
          <w:sz w:val="24"/>
          <w:szCs w:val="24"/>
        </w:rPr>
        <w:t>，相关费用已包含在投标报价及年度服务总价中，采购人不再支付额外费用。</w:t>
      </w:r>
      <w:r>
        <w:rPr>
          <w:rFonts w:hint="eastAsia" w:ascii="仿宋" w:hAnsi="仿宋" w:eastAsia="仿宋" w:cs="仿宋"/>
          <w:bCs/>
          <w:sz w:val="24"/>
          <w:szCs w:val="24"/>
          <w:lang w:val="en-US" w:eastAsia="zh-CN"/>
        </w:rPr>
        <w:t>复测时间须在年检时间内，保证设备年检不过期。</w:t>
      </w:r>
    </w:p>
    <w:p w14:paraId="20403F8C">
      <w:pPr>
        <w:keepNext w:val="0"/>
        <w:keepLines w:val="0"/>
        <w:pageBreakBefore w:val="0"/>
        <w:widowControl/>
        <w:kinsoku/>
        <w:wordWrap/>
        <w:overflowPunct/>
        <w:topLinePunct w:val="0"/>
        <w:autoSpaceDE/>
        <w:autoSpaceDN/>
        <w:bidi w:val="0"/>
        <w:spacing w:line="480" w:lineRule="exact"/>
        <w:ind w:left="210" w:leftChars="100" w:firstLine="240" w:firstLineChars="1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4.项目检测时，受检设备的状态应能满足检测的要求，检测条件按国家标准、行业常用条件进行检测，在检测过程中出现设备故障、损坏等情况，采购人不承担任何责任。</w:t>
      </w:r>
    </w:p>
    <w:p w14:paraId="065B9B39">
      <w:pPr>
        <w:keepNext w:val="0"/>
        <w:keepLines w:val="0"/>
        <w:pageBreakBefore w:val="0"/>
        <w:widowControl/>
        <w:kinsoku/>
        <w:wordWrap/>
        <w:overflowPunct/>
        <w:topLinePunct w:val="0"/>
        <w:autoSpaceDE/>
        <w:autoSpaceDN/>
        <w:bidi w:val="0"/>
        <w:spacing w:line="480" w:lineRule="exact"/>
        <w:ind w:left="210" w:leftChars="100" w:firstLine="240" w:firstLineChars="1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5.如检测报告出现的遗漏或错误由中标人负责。</w:t>
      </w:r>
    </w:p>
    <w:p w14:paraId="299D4385">
      <w:pPr>
        <w:keepNext w:val="0"/>
        <w:keepLines w:val="0"/>
        <w:pageBreakBefore w:val="0"/>
        <w:widowControl/>
        <w:kinsoku/>
        <w:wordWrap/>
        <w:overflowPunct/>
        <w:topLinePunct w:val="0"/>
        <w:autoSpaceDE/>
        <w:autoSpaceDN/>
        <w:bidi w:val="0"/>
        <w:spacing w:line="480" w:lineRule="exact"/>
        <w:ind w:left="210" w:leftChars="100" w:firstLine="240" w:firstLineChars="1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6.设备检测完毕后中标人交付所需的检测报告及相关资料，资料须符合完整性、正确性及有效性。</w:t>
      </w:r>
    </w:p>
    <w:p w14:paraId="7515FC0D">
      <w:pPr>
        <w:keepNext w:val="0"/>
        <w:keepLines w:val="0"/>
        <w:pageBreakBefore w:val="0"/>
        <w:widowControl/>
        <w:kinsoku/>
        <w:wordWrap/>
        <w:overflowPunct/>
        <w:topLinePunct w:val="0"/>
        <w:autoSpaceDE/>
        <w:autoSpaceDN/>
        <w:bidi w:val="0"/>
        <w:spacing w:line="480" w:lineRule="exact"/>
        <w:ind w:left="210" w:leftChars="100" w:firstLine="240" w:firstLineChars="1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7.如中标人不能按期完成设备检测的，造成设备年检过期的，一切费用或造成负面影响的由中标人负责。</w:t>
      </w:r>
    </w:p>
    <w:p w14:paraId="0A9E5899">
      <w:pPr>
        <w:widowControl/>
        <w:spacing w:line="360" w:lineRule="auto"/>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8.中标人须为本项目提供应急检测服务。当采购人因设备故障需进行重大维修或更换重要零部件、突发公共卫生事件、监督检查、质量控制异常或其他紧急情况，需要立即开展放射诊疗设备性能与防护检测，中标人应在接到采购人正式通知后，2小时内响应，协商时间到达现场，按国家现行规范、标准完成应急检测工作，及时出具临时检测意见及正式检测报告。应急检测不另行收取任何费用，相关费用已包含在投标报价及年度服务总价中，采购人不再支付额外费用。</w:t>
      </w:r>
    </w:p>
    <w:p w14:paraId="275C1CBB">
      <w:pPr>
        <w:widowControl/>
        <w:spacing w:line="360" w:lineRule="auto"/>
        <w:ind w:firstLine="480" w:firstLineChars="200"/>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9.如采购人在合同期内需要办理《放射诊疗许可证》变更/校验、《辐射安全许可证》变更/校验等工作的，中标人需向采购人提供咨询指导并协助办理。</w:t>
      </w:r>
    </w:p>
    <w:p w14:paraId="1B970467">
      <w:pPr>
        <w:widowControl/>
        <w:spacing w:line="360" w:lineRule="auto"/>
        <w:ind w:firstLine="480" w:firstLineChars="200"/>
        <w:rPr>
          <w:rFonts w:hint="eastAsia" w:ascii="仿宋" w:hAnsi="仿宋" w:eastAsia="仿宋" w:cs="仿宋"/>
          <w:b w:val="0"/>
          <w:bCs/>
          <w:color w:val="000000" w:themeColor="text1"/>
          <w:kern w:val="0"/>
          <w:sz w:val="24"/>
          <w:highlight w:val="none"/>
          <w:lang w:val="en-US" w:eastAsia="zh-CN"/>
          <w14:textFill>
            <w14:solidFill>
              <w14:schemeClr w14:val="tx1"/>
            </w14:solidFill>
          </w14:textFill>
        </w:rPr>
      </w:pPr>
    </w:p>
    <w:p w14:paraId="5AED0B61">
      <w:pPr>
        <w:widowControl/>
        <w:rPr>
          <w:rFonts w:hint="eastAsia" w:ascii="仿宋" w:hAnsi="仿宋" w:eastAsia="仿宋" w:cs="仿宋"/>
          <w:b/>
          <w:kern w:val="0"/>
          <w:sz w:val="24"/>
          <w:highlight w:val="none"/>
        </w:rPr>
      </w:pPr>
      <w:r>
        <w:rPr>
          <w:rFonts w:hint="eastAsia" w:ascii="仿宋" w:hAnsi="仿宋" w:eastAsia="仿宋" w:cs="仿宋"/>
          <w:b/>
          <w:kern w:val="0"/>
          <w:sz w:val="24"/>
          <w:highlight w:val="none"/>
        </w:rPr>
        <w:t>（</w:t>
      </w:r>
      <w:r>
        <w:rPr>
          <w:rFonts w:hint="eastAsia" w:ascii="仿宋" w:hAnsi="仿宋" w:eastAsia="仿宋" w:cs="仿宋"/>
          <w:b/>
          <w:kern w:val="0"/>
          <w:sz w:val="24"/>
          <w:highlight w:val="none"/>
          <w:lang w:val="en-US" w:eastAsia="zh-CN"/>
        </w:rPr>
        <w:t>二</w:t>
      </w:r>
      <w:r>
        <w:rPr>
          <w:rFonts w:hint="eastAsia" w:ascii="仿宋" w:hAnsi="仿宋" w:eastAsia="仿宋" w:cs="仿宋"/>
          <w:b/>
          <w:kern w:val="0"/>
          <w:sz w:val="24"/>
          <w:highlight w:val="none"/>
        </w:rPr>
        <w:t>）项目人员需求一览表</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491"/>
        <w:gridCol w:w="1634"/>
        <w:gridCol w:w="2975"/>
        <w:gridCol w:w="2315"/>
      </w:tblGrid>
      <w:tr w14:paraId="48E6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466" w:type="pct"/>
            <w:vAlign w:val="center"/>
          </w:tcPr>
          <w:p w14:paraId="7DD9C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03" w:type="pct"/>
            <w:vAlign w:val="center"/>
          </w:tcPr>
          <w:p w14:paraId="5D99E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w:t>
            </w:r>
          </w:p>
        </w:tc>
        <w:tc>
          <w:tcPr>
            <w:tcW w:w="880" w:type="pct"/>
            <w:vAlign w:val="center"/>
          </w:tcPr>
          <w:p w14:paraId="4DD7B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w:t>
            </w:r>
          </w:p>
        </w:tc>
        <w:tc>
          <w:tcPr>
            <w:tcW w:w="1602" w:type="pct"/>
            <w:vAlign w:val="center"/>
          </w:tcPr>
          <w:p w14:paraId="7F330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★人员必须具备条件</w:t>
            </w:r>
          </w:p>
        </w:tc>
        <w:tc>
          <w:tcPr>
            <w:tcW w:w="1247" w:type="pct"/>
            <w:vAlign w:val="center"/>
          </w:tcPr>
          <w:p w14:paraId="01259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人员可偏离条件</w:t>
            </w:r>
          </w:p>
        </w:tc>
      </w:tr>
      <w:tr w14:paraId="1CAF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466" w:type="pct"/>
            <w:vAlign w:val="center"/>
          </w:tcPr>
          <w:p w14:paraId="4AD37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03" w:type="pct"/>
            <w:vAlign w:val="center"/>
          </w:tcPr>
          <w:p w14:paraId="78E92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项目负责人</w:t>
            </w:r>
          </w:p>
        </w:tc>
        <w:tc>
          <w:tcPr>
            <w:tcW w:w="880" w:type="pct"/>
            <w:vAlign w:val="center"/>
          </w:tcPr>
          <w:p w14:paraId="0CE7A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1人</w:t>
            </w:r>
          </w:p>
          <w:p w14:paraId="32922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val="en-US" w:eastAsia="zh-CN"/>
              </w:rPr>
              <w:t>项目负责人</w:t>
            </w:r>
            <w:r>
              <w:rPr>
                <w:rFonts w:hint="eastAsia" w:ascii="仿宋" w:hAnsi="仿宋" w:eastAsia="仿宋" w:cs="仿宋"/>
                <w:color w:val="auto"/>
                <w:kern w:val="0"/>
                <w:sz w:val="24"/>
                <w:szCs w:val="24"/>
                <w:highlight w:val="none"/>
              </w:rPr>
              <w:t>数量必须固定为</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人，投标时少于或多于此人数均视为</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无效）</w:t>
            </w:r>
          </w:p>
        </w:tc>
        <w:tc>
          <w:tcPr>
            <w:tcW w:w="1602" w:type="pct"/>
            <w:vMerge w:val="restart"/>
            <w:vAlign w:val="center"/>
          </w:tcPr>
          <w:p w14:paraId="1C0B8D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olor w:val="auto"/>
                <w:lang w:val="en-US" w:eastAsia="zh-CN"/>
              </w:rPr>
            </w:pPr>
            <w:r>
              <w:rPr>
                <w:rFonts w:hint="eastAsia" w:ascii="仿宋" w:hAnsi="仿宋" w:eastAsia="仿宋" w:cs="仿宋"/>
                <w:color w:val="auto"/>
                <w:kern w:val="0"/>
                <w:sz w:val="24"/>
                <w:szCs w:val="24"/>
                <w:highlight w:val="none"/>
                <w:lang w:val="en-US" w:eastAsia="zh-CN" w:bidi="ar-SA"/>
              </w:rPr>
              <w:t>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仿宋" w:hAnsi="仿宋" w:eastAsia="仿宋" w:cs="仿宋"/>
                <w:color w:val="auto"/>
                <w:kern w:val="0"/>
                <w:sz w:val="24"/>
                <w:szCs w:val="24"/>
                <w:lang w:val="en-US" w:eastAsia="zh-CN" w:bidi="ar-SA"/>
              </w:rPr>
              <w:t>。</w:t>
            </w:r>
          </w:p>
        </w:tc>
        <w:tc>
          <w:tcPr>
            <w:tcW w:w="1247" w:type="pct"/>
            <w:vAlign w:val="center"/>
          </w:tcPr>
          <w:p w14:paraId="1F6F017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1.具有“核技术”或“辐射”或“环境”或“卫生”类相关专业</w:t>
            </w:r>
            <w:r>
              <w:rPr>
                <w:rFonts w:hint="eastAsia" w:ascii="仿宋" w:hAnsi="仿宋" w:eastAsia="仿宋" w:cs="仿宋"/>
                <w:color w:val="auto"/>
                <w:kern w:val="0"/>
                <w:sz w:val="24"/>
                <w:szCs w:val="24"/>
                <w:highlight w:val="none"/>
                <w:lang w:val="en-US" w:eastAsia="zh-CN"/>
              </w:rPr>
              <w:t>学历</w:t>
            </w:r>
            <w:r>
              <w:rPr>
                <w:rFonts w:hint="eastAsia" w:ascii="仿宋" w:hAnsi="仿宋" w:eastAsia="仿宋" w:cs="仿宋"/>
                <w:color w:val="auto"/>
                <w:kern w:val="0"/>
                <w:sz w:val="24"/>
                <w:szCs w:val="24"/>
                <w:highlight w:val="none"/>
              </w:rPr>
              <w:t>；</w:t>
            </w:r>
          </w:p>
          <w:p w14:paraId="1AFB95B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2.具有放射卫生技术服务机构专业技术人员培训合格证书；</w:t>
            </w:r>
          </w:p>
          <w:p w14:paraId="1E0161E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3.具有“核技术”或“辐射”或“环境”或“卫生”类相关专业技术职称证书</w:t>
            </w:r>
            <w:r>
              <w:rPr>
                <w:rFonts w:hint="eastAsia" w:ascii="仿宋" w:hAnsi="仿宋" w:eastAsia="仿宋" w:cs="仿宋"/>
                <w:color w:val="auto"/>
                <w:kern w:val="0"/>
                <w:sz w:val="24"/>
                <w:szCs w:val="24"/>
                <w:highlight w:val="none"/>
                <w:lang w:eastAsia="zh-CN"/>
              </w:rPr>
              <w:t>。</w:t>
            </w:r>
          </w:p>
        </w:tc>
      </w:tr>
      <w:tr w14:paraId="4112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466" w:type="pct"/>
            <w:vAlign w:val="center"/>
          </w:tcPr>
          <w:p w14:paraId="22680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03" w:type="pct"/>
            <w:vAlign w:val="center"/>
          </w:tcPr>
          <w:p w14:paraId="00BEF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团队成员（项目负责人除外）</w:t>
            </w:r>
          </w:p>
        </w:tc>
        <w:tc>
          <w:tcPr>
            <w:tcW w:w="880" w:type="pct"/>
            <w:vAlign w:val="center"/>
          </w:tcPr>
          <w:p w14:paraId="0B384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至少7人</w:t>
            </w:r>
          </w:p>
        </w:tc>
        <w:tc>
          <w:tcPr>
            <w:tcW w:w="1602" w:type="pct"/>
            <w:vMerge w:val="continue"/>
            <w:vAlign w:val="center"/>
          </w:tcPr>
          <w:p w14:paraId="0BAAE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4"/>
                <w:szCs w:val="24"/>
                <w:highlight w:val="none"/>
                <w:lang w:val="en-US" w:eastAsia="zh-CN"/>
              </w:rPr>
            </w:pPr>
          </w:p>
        </w:tc>
        <w:tc>
          <w:tcPr>
            <w:tcW w:w="1247" w:type="pct"/>
            <w:vAlign w:val="center"/>
          </w:tcPr>
          <w:p w14:paraId="03FBD04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具有“核技术”或“辐射”或“环境”或“卫生”类相关专业学历；</w:t>
            </w:r>
          </w:p>
          <w:p w14:paraId="058C8D7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2</w:t>
            </w:r>
            <w:r>
              <w:rPr>
                <w:rFonts w:hint="eastAsia" w:ascii="仿宋" w:hAnsi="仿宋" w:eastAsia="仿宋" w:cs="仿宋"/>
                <w:color w:val="auto"/>
                <w:kern w:val="0"/>
                <w:sz w:val="24"/>
                <w:szCs w:val="24"/>
                <w:highlight w:val="none"/>
              </w:rPr>
              <w:t>.项目团队成员具有放射卫生技术服务机构专业技术人员培训合格证书和“核技术”或“辐射”或“环境”或“卫生”类相关专业技术职称证书。</w:t>
            </w:r>
          </w:p>
        </w:tc>
      </w:tr>
    </w:tbl>
    <w:p w14:paraId="6CC3DF3B">
      <w:pPr>
        <w:pageBreakBefore w:val="0"/>
        <w:kinsoku/>
        <w:wordWrap/>
        <w:overflowPunct/>
        <w:topLinePunct w:val="0"/>
        <w:bidi w:val="0"/>
        <w:spacing w:line="240" w:lineRule="auto"/>
        <w:jc w:val="left"/>
        <w:rPr>
          <w:rFonts w:hint="eastAsia" w:ascii="仿宋" w:hAnsi="仿宋" w:eastAsia="仿宋" w:cs="仿宋"/>
          <w:b/>
          <w:bCs w:val="0"/>
          <w:sz w:val="21"/>
          <w:szCs w:val="21"/>
          <w:highlight w:val="none"/>
          <w:lang w:eastAsia="zh-CN"/>
        </w:rPr>
      </w:pPr>
    </w:p>
    <w:p w14:paraId="5DC23900">
      <w:pPr>
        <w:jc w:val="both"/>
        <w:outlineLvl w:val="0"/>
        <w:rPr>
          <w:rFonts w:hint="eastAsia" w:ascii="仿宋" w:hAnsi="仿宋" w:eastAsia="仿宋" w:cs="仿宋"/>
          <w:b/>
          <w:bCs w:val="0"/>
          <w:kern w:val="0"/>
          <w:sz w:val="24"/>
          <w:szCs w:val="24"/>
          <w:highlight w:val="none"/>
          <w:lang w:val="en-US" w:eastAsia="zh-CN" w:bidi="ar-SA"/>
        </w:rPr>
      </w:pPr>
    </w:p>
    <w:p w14:paraId="3C351D3D">
      <w:pPr>
        <w:jc w:val="both"/>
        <w:outlineLvl w:val="0"/>
        <w:rPr>
          <w:rFonts w:hint="eastAsia" w:ascii="仿宋" w:hAnsi="仿宋" w:eastAsia="仿宋" w:cs="仿宋"/>
          <w:b/>
          <w:bCs w:val="0"/>
          <w:kern w:val="0"/>
          <w:sz w:val="24"/>
          <w:szCs w:val="24"/>
          <w:highlight w:val="none"/>
          <w:lang w:val="en-US" w:eastAsia="zh-CN" w:bidi="ar-SA"/>
        </w:rPr>
      </w:pPr>
    </w:p>
    <w:p w14:paraId="03422398">
      <w:pPr>
        <w:jc w:val="both"/>
        <w:outlineLvl w:val="0"/>
        <w:rPr>
          <w:rFonts w:hint="eastAsia" w:ascii="仿宋" w:hAnsi="仿宋" w:eastAsia="仿宋" w:cs="仿宋"/>
          <w:b/>
          <w:bCs w:val="0"/>
          <w:color w:val="FF000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六、商务要求</w:t>
      </w:r>
      <w:r>
        <w:rPr>
          <w:rFonts w:hint="eastAsia" w:ascii="仿宋" w:hAnsi="仿宋" w:eastAsia="仿宋" w:cs="仿宋"/>
          <w:b/>
          <w:bCs w:val="0"/>
          <w:color w:val="FF0000"/>
          <w:kern w:val="0"/>
          <w:sz w:val="24"/>
          <w:szCs w:val="24"/>
          <w:highlight w:val="none"/>
          <w:lang w:val="en-US" w:eastAsia="zh-CN" w:bidi="ar-SA"/>
        </w:rPr>
        <w:t>（以下条款为必须满足条款，无需投标人响应，均作为采购合同条款，投标人在中标（成交）后均须满足。）</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54"/>
        <w:gridCol w:w="6874"/>
      </w:tblGrid>
      <w:tr w14:paraId="2D50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59" w:type="pct"/>
            <w:vAlign w:val="center"/>
          </w:tcPr>
          <w:p w14:paraId="05DE2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37" w:type="pct"/>
            <w:vAlign w:val="center"/>
          </w:tcPr>
          <w:p w14:paraId="40366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目录</w:t>
            </w:r>
          </w:p>
        </w:tc>
        <w:tc>
          <w:tcPr>
            <w:tcW w:w="3702" w:type="pct"/>
            <w:vAlign w:val="center"/>
          </w:tcPr>
          <w:p w14:paraId="1D259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商务条款要求</w:t>
            </w:r>
          </w:p>
        </w:tc>
      </w:tr>
      <w:tr w14:paraId="5C66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59" w:type="pct"/>
            <w:vAlign w:val="center"/>
          </w:tcPr>
          <w:p w14:paraId="002D0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37" w:type="pct"/>
            <w:vAlign w:val="center"/>
          </w:tcPr>
          <w:p w14:paraId="0B93C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themeColor="text1"/>
                <w:kern w:val="0"/>
                <w:sz w:val="24"/>
                <w:szCs w:val="24"/>
                <w:highlight w:val="none"/>
                <w:shd w:val="clear"/>
                <w:lang w:val="en-US" w:eastAsia="zh-CN"/>
                <w14:textFill>
                  <w14:solidFill>
                    <w14:schemeClr w14:val="tx1"/>
                  </w14:solidFill>
                </w14:textFill>
              </w:rPr>
              <w:t>服务期限</w:t>
            </w:r>
          </w:p>
        </w:tc>
        <w:tc>
          <w:tcPr>
            <w:tcW w:w="3702" w:type="pct"/>
            <w:vAlign w:val="center"/>
          </w:tcPr>
          <w:p w14:paraId="2BEA0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1、本项目服务期限为一年。</w:t>
            </w:r>
          </w:p>
          <w:p w14:paraId="1728A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rPr>
              <w:t>2、一年合同期满后，经</w:t>
            </w:r>
            <w:r>
              <w:rPr>
                <w:rFonts w:hint="eastAsia" w:ascii="仿宋" w:hAnsi="仿宋" w:eastAsia="仿宋" w:cs="仿宋"/>
                <w:color w:val="000000"/>
                <w:kern w:val="0"/>
                <w:sz w:val="24"/>
                <w:szCs w:val="24"/>
                <w:highlight w:val="none"/>
                <w:lang w:val="en-US" w:eastAsia="zh-CN"/>
              </w:rPr>
              <w:t>采购人</w:t>
            </w:r>
            <w:r>
              <w:rPr>
                <w:rFonts w:hint="eastAsia" w:ascii="仿宋" w:hAnsi="仿宋" w:eastAsia="仿宋" w:cs="仿宋"/>
                <w:color w:val="000000"/>
                <w:kern w:val="0"/>
                <w:sz w:val="24"/>
                <w:szCs w:val="24"/>
                <w:highlight w:val="none"/>
              </w:rPr>
              <w:t>履约</w:t>
            </w:r>
            <w:r>
              <w:rPr>
                <w:rFonts w:hint="eastAsia" w:ascii="仿宋" w:hAnsi="仿宋" w:eastAsia="仿宋" w:cs="仿宋"/>
                <w:color w:val="000000"/>
                <w:kern w:val="0"/>
                <w:sz w:val="24"/>
                <w:szCs w:val="24"/>
                <w:highlight w:val="none"/>
                <w:lang w:val="en-US" w:eastAsia="zh-CN"/>
              </w:rPr>
              <w:t>评价为良好或以上</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且经双方协商同意的</w:t>
            </w:r>
            <w:r>
              <w:rPr>
                <w:rFonts w:hint="eastAsia" w:ascii="仿宋" w:hAnsi="仿宋" w:eastAsia="仿宋" w:cs="仿宋"/>
                <w:color w:val="000000"/>
                <w:kern w:val="0"/>
                <w:sz w:val="24"/>
                <w:szCs w:val="24"/>
                <w:highlight w:val="none"/>
              </w:rPr>
              <w:t>可续签下一年度合同，每次续签期限为一年，最多可续签</w:t>
            </w:r>
            <w:r>
              <w:rPr>
                <w:rFonts w:hint="eastAsia" w:ascii="仿宋" w:hAnsi="仿宋" w:eastAsia="仿宋" w:cs="仿宋"/>
                <w:color w:val="000000"/>
                <w:kern w:val="0"/>
                <w:sz w:val="24"/>
                <w:szCs w:val="24"/>
                <w:highlight w:val="none"/>
                <w:lang w:val="en-US" w:eastAsia="zh-CN"/>
              </w:rPr>
              <w:t>两</w:t>
            </w:r>
            <w:r>
              <w:rPr>
                <w:rFonts w:hint="eastAsia" w:ascii="仿宋" w:hAnsi="仿宋" w:eastAsia="仿宋" w:cs="仿宋"/>
                <w:color w:val="000000"/>
                <w:kern w:val="0"/>
                <w:sz w:val="24"/>
                <w:szCs w:val="24"/>
                <w:highlight w:val="none"/>
              </w:rPr>
              <w:t>次。</w:t>
            </w:r>
          </w:p>
        </w:tc>
      </w:tr>
      <w:tr w14:paraId="6C82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59" w:type="pct"/>
            <w:vAlign w:val="center"/>
          </w:tcPr>
          <w:p w14:paraId="089EB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37" w:type="pct"/>
            <w:vAlign w:val="center"/>
          </w:tcPr>
          <w:p w14:paraId="1AFF7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服务地点</w:t>
            </w:r>
          </w:p>
        </w:tc>
        <w:tc>
          <w:tcPr>
            <w:tcW w:w="3702" w:type="pct"/>
            <w:vAlign w:val="center"/>
          </w:tcPr>
          <w:p w14:paraId="101BD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深圳市龙岗中心医院。</w:t>
            </w:r>
          </w:p>
        </w:tc>
      </w:tr>
      <w:tr w14:paraId="0BA0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59" w:type="pct"/>
            <w:vAlign w:val="center"/>
          </w:tcPr>
          <w:p w14:paraId="6C87E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837" w:type="pct"/>
            <w:vAlign w:val="center"/>
          </w:tcPr>
          <w:p w14:paraId="2D0AA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shd w:val="clear"/>
                <w:lang w:val="en-US" w:eastAsia="zh-CN"/>
              </w:rPr>
              <w:t>付款方式</w:t>
            </w:r>
          </w:p>
        </w:tc>
        <w:tc>
          <w:tcPr>
            <w:tcW w:w="3702" w:type="pct"/>
            <w:vAlign w:val="center"/>
          </w:tcPr>
          <w:p w14:paraId="7F6518A4">
            <w:pPr>
              <w:keepNext w:val="0"/>
              <w:keepLines w:val="0"/>
              <w:widowControl/>
              <w:suppressLineNumbers w:val="0"/>
              <w:autoSpaceDE w:val="0"/>
              <w:autoSpaceDN/>
              <w:spacing w:before="0" w:beforeAutospacing="0" w:after="0" w:afterAutospacing="0"/>
              <w:ind w:left="0" w:right="0"/>
              <w:jc w:val="left"/>
              <w:rPr>
                <w:rFonts w:hint="eastAsia" w:ascii="仿宋" w:hAnsi="仿宋" w:eastAsia="仿宋" w:cs="仿宋"/>
                <w:color w:val="000000"/>
                <w:kern w:val="0"/>
                <w:sz w:val="24"/>
                <w:szCs w:val="24"/>
                <w:highlight w:val="none"/>
                <w:lang w:val="en-US" w:eastAsia="zh-CN"/>
              </w:rPr>
            </w:pPr>
            <w:r>
              <w:rPr>
                <w:rFonts w:hint="default" w:ascii="仿宋" w:hAnsi="仿宋" w:eastAsia="仿宋" w:cs="仿宋"/>
                <w:color w:val="auto"/>
                <w:kern w:val="0"/>
                <w:sz w:val="24"/>
                <w:szCs w:val="24"/>
                <w:lang w:val="en-US" w:eastAsia="zh-CN" w:bidi="ar"/>
                <w:woUserID w:val="1"/>
              </w:rPr>
              <w:t>合同签订后，</w:t>
            </w:r>
            <w:r>
              <w:rPr>
                <w:rFonts w:hint="eastAsia" w:ascii="仿宋" w:hAnsi="仿宋" w:eastAsia="仿宋" w:cs="仿宋"/>
                <w:color w:val="auto"/>
                <w:kern w:val="0"/>
                <w:sz w:val="24"/>
                <w:szCs w:val="24"/>
                <w:lang w:val="en-US" w:eastAsia="zh-CN" w:bidi="ar"/>
                <w:woUserID w:val="1"/>
              </w:rPr>
              <w:t>根据项目实际完成工作量，按照服务需求的中标单价进行结算</w:t>
            </w:r>
            <w:r>
              <w:rPr>
                <w:rFonts w:hint="default" w:ascii="仿宋" w:hAnsi="仿宋" w:eastAsia="仿宋" w:cs="仿宋"/>
                <w:color w:val="auto"/>
                <w:kern w:val="0"/>
                <w:sz w:val="24"/>
                <w:szCs w:val="24"/>
                <w:lang w:val="en-US" w:eastAsia="zh-CN" w:bidi="ar"/>
                <w:woUserID w:val="1"/>
              </w:rPr>
              <w:t>。</w:t>
            </w:r>
            <w:r>
              <w:rPr>
                <w:rFonts w:hint="default" w:ascii="仿宋" w:hAnsi="仿宋" w:eastAsia="仿宋" w:cs="仿宋"/>
                <w:color w:val="000000"/>
                <w:kern w:val="0"/>
                <w:sz w:val="24"/>
                <w:szCs w:val="24"/>
                <w:lang w:val="en-US" w:eastAsia="zh-CN" w:bidi="ar"/>
                <w:woUserID w:val="1"/>
              </w:rPr>
              <w:t>中标人需提供相应的</w:t>
            </w:r>
            <w:r>
              <w:rPr>
                <w:rFonts w:hint="eastAsia" w:ascii="仿宋" w:hAnsi="仿宋" w:eastAsia="仿宋" w:cs="仿宋"/>
                <w:color w:val="000000"/>
                <w:kern w:val="0"/>
                <w:sz w:val="24"/>
                <w:szCs w:val="24"/>
                <w:lang w:val="en-US" w:eastAsia="zh-CN" w:bidi="ar"/>
                <w:woUserID w:val="1"/>
              </w:rPr>
              <w:t>等额</w:t>
            </w:r>
            <w:r>
              <w:rPr>
                <w:rFonts w:hint="default" w:ascii="仿宋" w:hAnsi="仿宋" w:eastAsia="仿宋" w:cs="仿宋"/>
                <w:color w:val="000000"/>
                <w:kern w:val="0"/>
                <w:sz w:val="24"/>
                <w:szCs w:val="24"/>
                <w:lang w:val="en-US" w:eastAsia="zh-CN" w:bidi="ar"/>
                <w:woUserID w:val="1"/>
              </w:rPr>
              <w:t>发票</w:t>
            </w:r>
            <w:r>
              <w:rPr>
                <w:rFonts w:hint="eastAsia" w:ascii="仿宋" w:hAnsi="仿宋" w:eastAsia="仿宋" w:cs="仿宋"/>
                <w:color w:val="000000"/>
                <w:kern w:val="0"/>
                <w:sz w:val="24"/>
                <w:szCs w:val="24"/>
                <w:lang w:val="en-US" w:eastAsia="zh-CN" w:bidi="ar"/>
                <w:woUserID w:val="1"/>
              </w:rPr>
              <w:t>，</w:t>
            </w:r>
            <w:r>
              <w:rPr>
                <w:rFonts w:hint="default" w:ascii="仿宋" w:hAnsi="仿宋" w:eastAsia="仿宋" w:cs="仿宋"/>
                <w:color w:val="000000"/>
                <w:kern w:val="0"/>
                <w:sz w:val="24"/>
                <w:szCs w:val="24"/>
                <w:highlight w:val="none"/>
                <w:lang w:val="en-US" w:eastAsia="zh-CN" w:bidi="ar"/>
                <w:woUserID w:val="1"/>
              </w:rPr>
              <w:t>采购人收到中标人发票后按照相应时间规定支付</w:t>
            </w:r>
            <w:r>
              <w:rPr>
                <w:rFonts w:hint="default" w:ascii="仿宋" w:hAnsi="仿宋" w:eastAsia="仿宋" w:cs="仿宋"/>
                <w:color w:val="000000"/>
                <w:kern w:val="0"/>
                <w:sz w:val="24"/>
                <w:szCs w:val="24"/>
                <w:lang w:val="en-US" w:eastAsia="zh-CN" w:bidi="ar"/>
                <w:woUserID w:val="1"/>
              </w:rPr>
              <w:t>。</w:t>
            </w:r>
          </w:p>
        </w:tc>
      </w:tr>
      <w:tr w14:paraId="2951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59" w:type="pct"/>
            <w:vAlign w:val="center"/>
          </w:tcPr>
          <w:p w14:paraId="0D140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837" w:type="pct"/>
            <w:vAlign w:val="center"/>
          </w:tcPr>
          <w:p w14:paraId="0905C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关于验收</w:t>
            </w:r>
          </w:p>
        </w:tc>
        <w:tc>
          <w:tcPr>
            <w:tcW w:w="3702" w:type="pct"/>
            <w:vAlign w:val="center"/>
          </w:tcPr>
          <w:p w14:paraId="6E701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完成</w:t>
            </w:r>
            <w:r>
              <w:rPr>
                <w:rFonts w:hint="eastAsia" w:ascii="仿宋" w:hAnsi="仿宋" w:eastAsia="仿宋" w:cs="仿宋"/>
                <w:bCs/>
                <w:kern w:val="0"/>
                <w:sz w:val="24"/>
                <w:highlight w:val="none"/>
              </w:rPr>
              <w:t>项目实际</w:t>
            </w:r>
            <w:r>
              <w:rPr>
                <w:rFonts w:hint="eastAsia" w:ascii="仿宋" w:hAnsi="仿宋" w:eastAsia="仿宋" w:cs="仿宋"/>
                <w:b w:val="0"/>
                <w:bCs/>
                <w:kern w:val="0"/>
                <w:sz w:val="24"/>
                <w:highlight w:val="none"/>
                <w:lang w:val="en-US" w:eastAsia="zh-CN"/>
              </w:rPr>
              <w:t>放射诊疗设备的性能检测及对应放射工作场所的辐射防护检测，并出具检测报告。</w:t>
            </w:r>
          </w:p>
        </w:tc>
      </w:tr>
      <w:tr w14:paraId="33EF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59" w:type="pct"/>
            <w:vAlign w:val="center"/>
          </w:tcPr>
          <w:p w14:paraId="307C8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837" w:type="pct"/>
            <w:vAlign w:val="center"/>
          </w:tcPr>
          <w:p w14:paraId="608B3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关于违约</w:t>
            </w:r>
          </w:p>
        </w:tc>
        <w:tc>
          <w:tcPr>
            <w:tcW w:w="3702" w:type="pct"/>
            <w:vAlign w:val="center"/>
          </w:tcPr>
          <w:p w14:paraId="6B6D7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中标人如是投标时，承诺中标（成交）后取得相关认证证书的，但中标后未按承诺要求在相应时间内取得相关认证证书的，将视为合同违约，需支付合同金额10%的违约金。</w:t>
            </w:r>
          </w:p>
        </w:tc>
      </w:tr>
      <w:tr w14:paraId="3957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59" w:type="pct"/>
            <w:vAlign w:val="center"/>
          </w:tcPr>
          <w:p w14:paraId="4493F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837" w:type="pct"/>
            <w:vAlign w:val="center"/>
          </w:tcPr>
          <w:p w14:paraId="46D39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支付上限</w:t>
            </w:r>
          </w:p>
        </w:tc>
        <w:tc>
          <w:tcPr>
            <w:tcW w:w="3702" w:type="pct"/>
            <w:vAlign w:val="center"/>
          </w:tcPr>
          <w:p w14:paraId="49F68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本项目支付上限不超过中标人投标总价。</w:t>
            </w:r>
          </w:p>
        </w:tc>
      </w:tr>
    </w:tbl>
    <w:p w14:paraId="1E8DC4DF">
      <w:pPr>
        <w:numPr>
          <w:ilvl w:val="-1"/>
          <w:numId w:val="0"/>
        </w:numPr>
        <w:jc w:val="left"/>
        <w:outlineLvl w:val="9"/>
        <w:rPr>
          <w:rFonts w:hint="eastAsia" w:ascii="仿宋" w:hAnsi="仿宋" w:eastAsia="仿宋" w:cs="仿宋"/>
          <w:b/>
          <w:bCs w:val="0"/>
          <w:kern w:val="0"/>
          <w:sz w:val="24"/>
          <w:szCs w:val="24"/>
          <w:highlight w:val="none"/>
          <w:lang w:val="en-US" w:eastAsia="zh-CN" w:bidi="ar-SA"/>
        </w:rPr>
      </w:pPr>
    </w:p>
    <w:p w14:paraId="54B411A3">
      <w:pPr>
        <w:numPr>
          <w:ilvl w:val="-1"/>
          <w:numId w:val="0"/>
        </w:numPr>
        <w:jc w:val="left"/>
        <w:outlineLvl w:val="9"/>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14:paraId="5F25F9C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E053706">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47A38F3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F83B52B">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528DA3A">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250EE9E7">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49BCCFFE">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6EE9CA27">
      <w:pPr>
        <w:outlineLvl w:val="2"/>
        <w:rPr>
          <w:rFonts w:hint="eastAsia" w:ascii="仿宋" w:hAnsi="仿宋" w:eastAsia="仿宋" w:cs="仿宋"/>
          <w:sz w:val="24"/>
          <w:szCs w:val="24"/>
          <w:highlight w:val="none"/>
        </w:rPr>
      </w:pPr>
      <w:r>
        <w:rPr>
          <w:rStyle w:val="35"/>
          <w:rFonts w:hint="eastAsia" w:ascii="仿宋" w:hAnsi="仿宋" w:eastAsia="仿宋" w:cs="仿宋"/>
          <w:b/>
          <w:bCs w:val="0"/>
          <w:sz w:val="24"/>
          <w:szCs w:val="24"/>
          <w:highlight w:val="none"/>
        </w:rPr>
        <w:t>投标文件组成</w:t>
      </w:r>
    </w:p>
    <w:p w14:paraId="6240DD92">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279EF908">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74F5E292">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3045D710">
      <w:pPr>
        <w:pStyle w:val="28"/>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510B3E98">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5B77DE78">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2B0BB12A">
      <w:pPr>
        <w:pStyle w:val="2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7.合同条款及格式</w:t>
      </w:r>
    </w:p>
    <w:p w14:paraId="4C0FB7F8">
      <w:pPr>
        <w:pStyle w:val="28"/>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8.投标人认为需要加以说明的其他内容</w:t>
      </w:r>
    </w:p>
    <w:p w14:paraId="26244019">
      <w:pPr>
        <w:outlineLvl w:val="2"/>
        <w:rPr>
          <w:rFonts w:hint="eastAsia" w:ascii="仿宋" w:hAnsi="仿宋" w:eastAsia="仿宋" w:cs="仿宋"/>
          <w:b/>
          <w:bCs/>
          <w:sz w:val="28"/>
          <w:szCs w:val="28"/>
          <w:highlight w:val="none"/>
        </w:rPr>
      </w:pPr>
    </w:p>
    <w:p w14:paraId="299E11EE">
      <w:pPr>
        <w:outlineLvl w:val="2"/>
        <w:rPr>
          <w:rFonts w:hint="eastAsia" w:ascii="仿宋" w:hAnsi="仿宋" w:eastAsia="仿宋" w:cs="仿宋"/>
          <w:b/>
          <w:bCs/>
          <w:sz w:val="28"/>
          <w:szCs w:val="28"/>
          <w:highlight w:val="none"/>
        </w:rPr>
      </w:pPr>
    </w:p>
    <w:p w14:paraId="2D07D960">
      <w:pPr>
        <w:outlineLvl w:val="2"/>
        <w:rPr>
          <w:rFonts w:hint="eastAsia" w:ascii="仿宋" w:hAnsi="仿宋" w:eastAsia="仿宋" w:cs="仿宋"/>
          <w:b/>
          <w:bCs/>
          <w:sz w:val="28"/>
          <w:szCs w:val="28"/>
          <w:highlight w:val="none"/>
        </w:rPr>
      </w:pPr>
    </w:p>
    <w:p w14:paraId="1C5C17A8">
      <w:pPr>
        <w:outlineLvl w:val="2"/>
        <w:rPr>
          <w:rFonts w:hint="eastAsia" w:ascii="仿宋" w:hAnsi="仿宋" w:eastAsia="仿宋" w:cs="仿宋"/>
          <w:b/>
          <w:bCs/>
          <w:sz w:val="28"/>
          <w:szCs w:val="28"/>
          <w:highlight w:val="none"/>
        </w:rPr>
      </w:pPr>
    </w:p>
    <w:p w14:paraId="59C9446F">
      <w:pPr>
        <w:outlineLvl w:val="2"/>
        <w:rPr>
          <w:rFonts w:hint="eastAsia" w:ascii="仿宋" w:hAnsi="仿宋" w:eastAsia="仿宋" w:cs="仿宋"/>
          <w:b/>
          <w:bCs/>
          <w:sz w:val="28"/>
          <w:szCs w:val="28"/>
          <w:highlight w:val="none"/>
        </w:rPr>
      </w:pPr>
    </w:p>
    <w:p w14:paraId="036F13F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1B6D23AF">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5"/>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424FF100">
      <w:pPr>
        <w:pStyle w:val="6"/>
        <w:rPr>
          <w:rFonts w:hint="eastAsia" w:ascii="仿宋" w:hAnsi="仿宋" w:eastAsia="仿宋" w:cs="仿宋"/>
          <w:highlight w:val="none"/>
        </w:rPr>
      </w:pPr>
    </w:p>
    <w:p w14:paraId="3E1BD300">
      <w:pPr>
        <w:keepNext/>
        <w:keepLines/>
        <w:spacing w:line="360" w:lineRule="auto"/>
        <w:outlineLvl w:val="3"/>
        <w:rPr>
          <w:rFonts w:hint="eastAsia" w:ascii="仿宋" w:hAnsi="仿宋" w:eastAsia="仿宋" w:cs="仿宋"/>
          <w:b/>
          <w:bCs/>
          <w:sz w:val="24"/>
          <w:szCs w:val="24"/>
          <w:highlight w:val="none"/>
        </w:rPr>
      </w:pPr>
      <w:bookmarkStart w:id="2" w:name="_Toc5828"/>
      <w:bookmarkStart w:id="3" w:name="_Toc24797"/>
      <w:bookmarkStart w:id="4" w:name="_Toc18075"/>
      <w:bookmarkStart w:id="5" w:name="_Toc24698"/>
      <w:r>
        <w:rPr>
          <w:rFonts w:hint="eastAsia" w:ascii="仿宋" w:hAnsi="仿宋" w:eastAsia="仿宋" w:cs="仿宋"/>
          <w:b/>
          <w:bCs/>
          <w:sz w:val="24"/>
          <w:szCs w:val="24"/>
          <w:highlight w:val="none"/>
        </w:rPr>
        <w:t>一、评标指引表</w:t>
      </w:r>
      <w:bookmarkEnd w:id="2"/>
      <w:bookmarkEnd w:id="3"/>
      <w:bookmarkEnd w:id="4"/>
      <w:bookmarkEnd w:id="5"/>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52AF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7642AE15">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6DB7B3EE">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2EF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E57ED99">
            <w:pPr>
              <w:keepNext w:val="0"/>
              <w:keepLines w:val="0"/>
              <w:suppressLineNumbers w:val="0"/>
              <w:spacing w:before="0" w:beforeAutospacing="0" w:after="0" w:afterAutospacing="0" w:line="360" w:lineRule="auto"/>
              <w:ind w:left="0" w:right="0" w:firstLine="2400"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6CCBFB9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5B76D9D6">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75FA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1E44DC2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3EA4A58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60A6587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65C77DB">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7C2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464F388">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15A3C7B">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0CC8974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46E875C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AC6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294F33E">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16F0A3D">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0053844B">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573009C9">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68C3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6FCB532">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65692701">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77CA11C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E05A323">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5ACE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441A15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14:paraId="2A41682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45712BC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1DA2A1A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950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9677C76">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7869F35">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789506D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28787CF">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B58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0C2D65E">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041516A">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4A6591F3">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10328426">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63EC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BE89D85">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3D30A20A">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1B76D1B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41CB1785">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2294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4B8562D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2C573FF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3E77F2C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DFEC63C">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900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7C76E6">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488D8083">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44541A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F9A8086">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6097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E3EB21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8083091">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C7271EE">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6AE83D3F">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576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3A862FF">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14:paraId="2C2BA29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61D3424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9A9CB03">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427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C9796A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261D7E1">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4FCEFA6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43A3CAA">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90B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1B4D59CC">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5907E1D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46AA308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201324EF">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7F65180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0DBB65FF">
      <w:pPr>
        <w:numPr>
          <w:ilvl w:val="0"/>
          <w:numId w:val="4"/>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6E7D18C7">
      <w:pPr>
        <w:pStyle w:val="5"/>
        <w:ind w:left="0" w:leftChars="0" w:firstLine="0" w:firstLineChars="0"/>
        <w:rPr>
          <w:rFonts w:hint="eastAsia" w:ascii="仿宋" w:hAnsi="仿宋" w:eastAsia="仿宋" w:cs="仿宋"/>
          <w:b w:val="0"/>
          <w:i w:val="0"/>
          <w:caps w:val="0"/>
          <w:spacing w:val="0"/>
          <w:w w:val="100"/>
          <w:sz w:val="28"/>
          <w:highlight w:val="none"/>
        </w:rPr>
      </w:pPr>
    </w:p>
    <w:p w14:paraId="5C817998">
      <w:pPr>
        <w:pStyle w:val="6"/>
        <w:rPr>
          <w:rFonts w:hint="eastAsia" w:ascii="仿宋" w:hAnsi="仿宋" w:eastAsia="仿宋" w:cs="仿宋"/>
          <w:highlight w:val="none"/>
        </w:rPr>
      </w:pPr>
    </w:p>
    <w:p w14:paraId="610334B6">
      <w:pPr>
        <w:pStyle w:val="18"/>
        <w:rPr>
          <w:rFonts w:hint="eastAsia" w:ascii="仿宋" w:hAnsi="仿宋" w:eastAsia="仿宋" w:cs="仿宋"/>
          <w:highlight w:val="none"/>
        </w:rPr>
      </w:pPr>
    </w:p>
    <w:p w14:paraId="39E7F66A">
      <w:pPr>
        <w:rPr>
          <w:rFonts w:hint="eastAsia" w:ascii="仿宋" w:hAnsi="仿宋" w:eastAsia="仿宋" w:cs="仿宋"/>
          <w:highlight w:val="none"/>
        </w:rPr>
      </w:pPr>
    </w:p>
    <w:p w14:paraId="2A8C2A3B">
      <w:pPr>
        <w:pStyle w:val="28"/>
        <w:rPr>
          <w:rFonts w:hint="eastAsia" w:ascii="仿宋" w:hAnsi="仿宋" w:eastAsia="仿宋" w:cs="仿宋"/>
          <w:highlight w:val="none"/>
        </w:rPr>
      </w:pPr>
    </w:p>
    <w:p w14:paraId="732CA4D8">
      <w:pPr>
        <w:rPr>
          <w:rFonts w:hint="eastAsia" w:ascii="仿宋" w:hAnsi="仿宋" w:eastAsia="仿宋" w:cs="仿宋"/>
          <w:b/>
          <w:bCs w:val="0"/>
          <w:kern w:val="2"/>
          <w:sz w:val="24"/>
          <w:szCs w:val="24"/>
          <w:highlight w:val="none"/>
          <w:lang w:val="en-US" w:eastAsia="zh-CN"/>
        </w:rPr>
      </w:pPr>
      <w:bookmarkStart w:id="6" w:name="_Toc13843"/>
      <w:r>
        <w:rPr>
          <w:rFonts w:hint="eastAsia" w:ascii="仿宋" w:hAnsi="仿宋" w:eastAsia="仿宋" w:cs="仿宋"/>
          <w:b/>
          <w:bCs w:val="0"/>
          <w:kern w:val="2"/>
          <w:sz w:val="24"/>
          <w:szCs w:val="24"/>
          <w:highlight w:val="none"/>
          <w:lang w:val="en-US" w:eastAsia="zh-CN"/>
        </w:rPr>
        <w:br w:type="page"/>
      </w:r>
    </w:p>
    <w:p w14:paraId="575D7DBB">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t>二、投标函</w:t>
      </w:r>
      <w:bookmarkEnd w:id="6"/>
    </w:p>
    <w:p w14:paraId="0FA3B989">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19AF96AF">
      <w:pPr>
        <w:pStyle w:val="6"/>
        <w:rPr>
          <w:rFonts w:hint="eastAsia" w:ascii="仿宋" w:hAnsi="仿宋" w:eastAsia="仿宋" w:cs="仿宋"/>
          <w:color w:val="auto"/>
          <w:sz w:val="24"/>
          <w:szCs w:val="24"/>
          <w:highlight w:val="none"/>
        </w:rPr>
      </w:pPr>
    </w:p>
    <w:p w14:paraId="02BC1A3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7A1CA0E9">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4C821E37">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4FEE1C4">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7081BAB2">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11450877">
      <w:pPr>
        <w:pStyle w:val="6"/>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358D952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3E1FBE59">
      <w:pPr>
        <w:ind w:left="539" w:leftChars="257"/>
        <w:rPr>
          <w:rFonts w:hint="eastAsia" w:ascii="仿宋" w:hAnsi="仿宋" w:eastAsia="仿宋" w:cs="仿宋"/>
          <w:color w:val="auto"/>
          <w:sz w:val="24"/>
          <w:szCs w:val="24"/>
          <w:highlight w:val="none"/>
        </w:rPr>
      </w:pPr>
    </w:p>
    <w:p w14:paraId="531DBDFB">
      <w:pPr>
        <w:ind w:left="539"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54B7A317">
      <w:pPr>
        <w:ind w:left="539"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384F5FB9">
      <w:pPr>
        <w:ind w:left="539"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5FF6378B">
      <w:pPr>
        <w:ind w:left="539"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7F9FEF2">
      <w:pPr>
        <w:ind w:left="539"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3AECB54">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649DF8C">
      <w:pPr>
        <w:widowControl/>
        <w:autoSpaceDE w:val="0"/>
        <w:autoSpaceDN w:val="0"/>
        <w:spacing w:line="360" w:lineRule="exact"/>
        <w:ind w:left="180" w:leftChars="86" w:right="17" w:firstLine="4080" w:firstLineChars="1700"/>
        <w:textAlignment w:val="bottom"/>
        <w:rPr>
          <w:rFonts w:hint="eastAsia" w:ascii="仿宋" w:hAnsi="仿宋" w:eastAsia="仿宋" w:cs="仿宋"/>
          <w:color w:val="auto"/>
          <w:sz w:val="24"/>
          <w:szCs w:val="24"/>
          <w:highlight w:val="none"/>
        </w:rPr>
      </w:pPr>
    </w:p>
    <w:p w14:paraId="14B96CCF">
      <w:pPr>
        <w:pStyle w:val="28"/>
        <w:rPr>
          <w:rFonts w:hint="eastAsia" w:ascii="仿宋" w:hAnsi="仿宋" w:eastAsia="仿宋" w:cs="仿宋"/>
          <w:color w:val="auto"/>
          <w:sz w:val="24"/>
          <w:szCs w:val="24"/>
          <w:highlight w:val="none"/>
        </w:rPr>
      </w:pPr>
    </w:p>
    <w:p w14:paraId="464C6887">
      <w:pPr>
        <w:pStyle w:val="28"/>
        <w:rPr>
          <w:rFonts w:hint="eastAsia" w:ascii="仿宋" w:hAnsi="仿宋" w:eastAsia="仿宋" w:cs="仿宋"/>
          <w:color w:val="auto"/>
          <w:sz w:val="24"/>
          <w:szCs w:val="24"/>
          <w:highlight w:val="none"/>
        </w:rPr>
      </w:pPr>
    </w:p>
    <w:p w14:paraId="1DE2ECF2">
      <w:pPr>
        <w:pStyle w:val="28"/>
        <w:rPr>
          <w:rFonts w:hint="eastAsia" w:ascii="仿宋" w:hAnsi="仿宋" w:eastAsia="仿宋" w:cs="仿宋"/>
          <w:color w:val="auto"/>
          <w:sz w:val="24"/>
          <w:szCs w:val="24"/>
          <w:highlight w:val="none"/>
        </w:rPr>
      </w:pPr>
    </w:p>
    <w:p w14:paraId="27B65D4D">
      <w:pPr>
        <w:pStyle w:val="28"/>
        <w:rPr>
          <w:rFonts w:hint="eastAsia" w:ascii="仿宋" w:hAnsi="仿宋" w:eastAsia="仿宋" w:cs="仿宋"/>
          <w:color w:val="auto"/>
          <w:sz w:val="24"/>
          <w:szCs w:val="24"/>
          <w:highlight w:val="none"/>
        </w:rPr>
      </w:pPr>
    </w:p>
    <w:p w14:paraId="286204A4">
      <w:pPr>
        <w:pStyle w:val="28"/>
        <w:rPr>
          <w:rFonts w:hint="eastAsia" w:ascii="仿宋" w:hAnsi="仿宋" w:eastAsia="仿宋" w:cs="仿宋"/>
          <w:color w:val="auto"/>
          <w:sz w:val="24"/>
          <w:szCs w:val="24"/>
          <w:highlight w:val="none"/>
        </w:rPr>
      </w:pPr>
    </w:p>
    <w:p w14:paraId="5C0B4A99">
      <w:pPr>
        <w:pStyle w:val="28"/>
        <w:rPr>
          <w:rFonts w:hint="eastAsia" w:ascii="仿宋" w:hAnsi="仿宋" w:eastAsia="仿宋" w:cs="仿宋"/>
          <w:color w:val="auto"/>
          <w:sz w:val="24"/>
          <w:szCs w:val="24"/>
          <w:highlight w:val="none"/>
        </w:rPr>
      </w:pPr>
    </w:p>
    <w:p w14:paraId="278DCE80">
      <w:pPr>
        <w:pStyle w:val="28"/>
        <w:rPr>
          <w:rFonts w:hint="eastAsia" w:ascii="仿宋" w:hAnsi="仿宋" w:eastAsia="仿宋" w:cs="仿宋"/>
          <w:color w:val="auto"/>
          <w:sz w:val="24"/>
          <w:szCs w:val="24"/>
          <w:highlight w:val="none"/>
        </w:rPr>
      </w:pPr>
    </w:p>
    <w:p w14:paraId="2822F26F">
      <w:pPr>
        <w:pStyle w:val="28"/>
        <w:rPr>
          <w:rFonts w:hint="eastAsia" w:ascii="仿宋" w:hAnsi="仿宋" w:eastAsia="仿宋" w:cs="仿宋"/>
          <w:color w:val="auto"/>
          <w:sz w:val="24"/>
          <w:szCs w:val="24"/>
          <w:highlight w:val="none"/>
        </w:rPr>
      </w:pPr>
    </w:p>
    <w:p w14:paraId="41007B19">
      <w:pPr>
        <w:pStyle w:val="28"/>
        <w:rPr>
          <w:rFonts w:hint="eastAsia" w:ascii="仿宋" w:hAnsi="仿宋" w:eastAsia="仿宋" w:cs="仿宋"/>
          <w:color w:val="auto"/>
          <w:sz w:val="24"/>
          <w:szCs w:val="24"/>
          <w:highlight w:val="none"/>
        </w:rPr>
      </w:pPr>
    </w:p>
    <w:p w14:paraId="48F531C2">
      <w:pPr>
        <w:pStyle w:val="28"/>
        <w:rPr>
          <w:rFonts w:hint="eastAsia" w:ascii="仿宋" w:hAnsi="仿宋" w:eastAsia="仿宋" w:cs="仿宋"/>
          <w:color w:val="auto"/>
          <w:sz w:val="24"/>
          <w:szCs w:val="24"/>
          <w:highlight w:val="none"/>
        </w:rPr>
      </w:pPr>
    </w:p>
    <w:p w14:paraId="58B4510B">
      <w:pPr>
        <w:pStyle w:val="28"/>
        <w:rPr>
          <w:rFonts w:hint="eastAsia" w:ascii="仿宋" w:hAnsi="仿宋" w:eastAsia="仿宋" w:cs="仿宋"/>
          <w:color w:val="auto"/>
          <w:sz w:val="24"/>
          <w:szCs w:val="24"/>
          <w:highlight w:val="none"/>
        </w:rPr>
      </w:pPr>
    </w:p>
    <w:p w14:paraId="7746E84A">
      <w:pPr>
        <w:numPr>
          <w:ilvl w:val="-1"/>
          <w:numId w:val="0"/>
        </w:numPr>
        <w:jc w:val="left"/>
        <w:rPr>
          <w:rFonts w:hint="eastAsia" w:ascii="仿宋" w:hAnsi="仿宋" w:eastAsia="仿宋" w:cs="仿宋"/>
          <w:b/>
          <w:bCs w:val="0"/>
          <w:kern w:val="2"/>
          <w:sz w:val="24"/>
          <w:szCs w:val="24"/>
          <w:highlight w:val="none"/>
          <w:lang w:val="en-US" w:eastAsia="zh-CN" w:bidi="ar-SA"/>
        </w:rPr>
      </w:pPr>
      <w:r>
        <w:rPr>
          <w:rFonts w:hint="eastAsia" w:ascii="仿宋" w:hAnsi="仿宋" w:eastAsia="仿宋" w:cs="仿宋"/>
          <w:b/>
          <w:bCs w:val="0"/>
          <w:kern w:val="2"/>
          <w:sz w:val="24"/>
          <w:szCs w:val="24"/>
          <w:highlight w:val="none"/>
          <w:lang w:val="en-US" w:eastAsia="zh-CN" w:bidi="ar-SA"/>
        </w:rPr>
        <w:br w:type="page"/>
      </w:r>
    </w:p>
    <w:p w14:paraId="3B16E25C">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2F39F7BD">
      <w:pPr>
        <w:rPr>
          <w:rFonts w:hint="eastAsia" w:ascii="仿宋" w:hAnsi="仿宋" w:eastAsia="仿宋" w:cs="仿宋"/>
          <w:highlight w:val="none"/>
        </w:rPr>
      </w:pPr>
    </w:p>
    <w:p w14:paraId="677D9DF6">
      <w:pPr>
        <w:tabs>
          <w:tab w:val="left" w:pos="720"/>
        </w:tabs>
        <w:ind w:firstLine="3120"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20"/>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142"/>
        <w:gridCol w:w="1324"/>
        <w:gridCol w:w="2475"/>
        <w:gridCol w:w="795"/>
        <w:gridCol w:w="720"/>
        <w:gridCol w:w="927"/>
        <w:gridCol w:w="975"/>
        <w:gridCol w:w="1113"/>
      </w:tblGrid>
      <w:tr w14:paraId="704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9" w:type="dxa"/>
            <w:vAlign w:val="center"/>
          </w:tcPr>
          <w:p w14:paraId="252E1AE7">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142" w:type="dxa"/>
            <w:vAlign w:val="center"/>
          </w:tcPr>
          <w:p w14:paraId="146DF129">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sz w:val="24"/>
                <w:szCs w:val="24"/>
                <w:highlight w:val="none"/>
              </w:rPr>
            </w:pPr>
            <w:r>
              <w:rPr>
                <w:rFonts w:hint="eastAsia" w:ascii="仿宋" w:hAnsi="仿宋" w:eastAsia="仿宋" w:cs="仿宋"/>
                <w:b/>
                <w:sz w:val="24"/>
                <w:szCs w:val="24"/>
                <w:highlight w:val="none"/>
              </w:rPr>
              <w:t>采购计划编号</w:t>
            </w:r>
          </w:p>
        </w:tc>
        <w:tc>
          <w:tcPr>
            <w:tcW w:w="1324" w:type="dxa"/>
            <w:vAlign w:val="center"/>
          </w:tcPr>
          <w:p w14:paraId="7BB7A6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sz w:val="24"/>
                <w:szCs w:val="24"/>
                <w:highlight w:val="none"/>
              </w:rPr>
            </w:pPr>
            <w:r>
              <w:rPr>
                <w:rFonts w:hint="eastAsia" w:ascii="仿宋" w:hAnsi="仿宋" w:eastAsia="仿宋" w:cs="仿宋"/>
                <w:b/>
                <w:i w:val="0"/>
                <w:iCs w:val="0"/>
                <w:color w:val="000000"/>
                <w:kern w:val="0"/>
                <w:sz w:val="24"/>
                <w:szCs w:val="24"/>
                <w:u w:val="none"/>
                <w:lang w:val="en-US" w:eastAsia="zh-CN" w:bidi="ar"/>
              </w:rPr>
              <w:t>设备类型</w:t>
            </w:r>
          </w:p>
        </w:tc>
        <w:tc>
          <w:tcPr>
            <w:tcW w:w="2475" w:type="dxa"/>
            <w:vAlign w:val="center"/>
          </w:tcPr>
          <w:p w14:paraId="114DB9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sz w:val="24"/>
                <w:szCs w:val="24"/>
                <w:highlight w:val="none"/>
              </w:rPr>
            </w:pPr>
            <w:r>
              <w:rPr>
                <w:rFonts w:hint="eastAsia" w:ascii="仿宋" w:hAnsi="仿宋" w:eastAsia="仿宋" w:cs="仿宋"/>
                <w:b/>
                <w:i w:val="0"/>
                <w:iCs w:val="0"/>
                <w:color w:val="000000"/>
                <w:kern w:val="0"/>
                <w:sz w:val="24"/>
                <w:szCs w:val="24"/>
                <w:u w:val="none"/>
                <w:lang w:val="en-US" w:eastAsia="zh-CN" w:bidi="ar"/>
              </w:rPr>
              <w:t>服务需求名称</w:t>
            </w:r>
          </w:p>
        </w:tc>
        <w:tc>
          <w:tcPr>
            <w:tcW w:w="795" w:type="dxa"/>
            <w:vAlign w:val="center"/>
          </w:tcPr>
          <w:p w14:paraId="6EC1ED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sz w:val="24"/>
                <w:szCs w:val="24"/>
                <w:highlight w:val="none"/>
              </w:rPr>
            </w:pPr>
            <w:r>
              <w:rPr>
                <w:rFonts w:hint="eastAsia" w:ascii="仿宋" w:hAnsi="仿宋" w:eastAsia="仿宋" w:cs="仿宋"/>
                <w:b/>
                <w:i w:val="0"/>
                <w:iCs w:val="0"/>
                <w:color w:val="000000"/>
                <w:kern w:val="0"/>
                <w:sz w:val="24"/>
                <w:szCs w:val="24"/>
                <w:u w:val="none"/>
                <w:lang w:val="en-US" w:eastAsia="zh-CN" w:bidi="ar"/>
              </w:rPr>
              <w:t>参考数量</w:t>
            </w:r>
          </w:p>
        </w:tc>
        <w:tc>
          <w:tcPr>
            <w:tcW w:w="720" w:type="dxa"/>
            <w:vAlign w:val="center"/>
          </w:tcPr>
          <w:p w14:paraId="42ED09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 w:hAnsi="仿宋" w:eastAsia="仿宋" w:cs="仿宋"/>
                <w:b/>
                <w:bCs/>
                <w:sz w:val="24"/>
                <w:szCs w:val="24"/>
                <w:highlight w:val="none"/>
              </w:rPr>
            </w:pPr>
            <w:r>
              <w:rPr>
                <w:rFonts w:hint="eastAsia" w:ascii="仿宋" w:hAnsi="仿宋" w:eastAsia="仿宋" w:cs="仿宋"/>
                <w:b/>
                <w:i w:val="0"/>
                <w:iCs w:val="0"/>
                <w:color w:val="000000"/>
                <w:kern w:val="0"/>
                <w:sz w:val="24"/>
                <w:szCs w:val="24"/>
                <w:u w:val="none"/>
                <w:lang w:val="en-US" w:eastAsia="zh-CN" w:bidi="ar"/>
              </w:rPr>
              <w:t>单位</w:t>
            </w:r>
          </w:p>
        </w:tc>
        <w:tc>
          <w:tcPr>
            <w:tcW w:w="927" w:type="dxa"/>
            <w:vAlign w:val="center"/>
          </w:tcPr>
          <w:p w14:paraId="18B83C44">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val="0"/>
                <w:color w:val="auto"/>
                <w:kern w:val="2"/>
                <w:sz w:val="24"/>
                <w:szCs w:val="24"/>
                <w:highlight w:val="none"/>
                <w:lang w:val="en-US" w:eastAsia="zh-CN"/>
              </w:rPr>
            </w:pPr>
            <w:r>
              <w:rPr>
                <w:rFonts w:hint="eastAsia" w:ascii="仿宋" w:hAnsi="仿宋" w:eastAsia="仿宋" w:cs="仿宋"/>
                <w:b/>
                <w:bCs w:val="0"/>
                <w:color w:val="auto"/>
                <w:kern w:val="2"/>
                <w:sz w:val="24"/>
                <w:szCs w:val="24"/>
                <w:highlight w:val="none"/>
                <w:lang w:val="en-US" w:eastAsia="zh-CN"/>
              </w:rPr>
              <w:t>单价</w:t>
            </w:r>
          </w:p>
          <w:p w14:paraId="7D1B7BE0">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sz w:val="24"/>
                <w:szCs w:val="24"/>
                <w:highlight w:val="none"/>
              </w:rPr>
            </w:pPr>
            <w:r>
              <w:rPr>
                <w:rFonts w:hint="eastAsia" w:ascii="仿宋" w:hAnsi="仿宋" w:eastAsia="仿宋" w:cs="仿宋"/>
                <w:b/>
                <w:bCs w:val="0"/>
                <w:color w:val="auto"/>
                <w:kern w:val="2"/>
                <w:sz w:val="24"/>
                <w:szCs w:val="24"/>
                <w:highlight w:val="none"/>
                <w:lang w:val="en-US" w:eastAsia="zh-CN"/>
              </w:rPr>
              <w:t>（</w:t>
            </w:r>
            <w:r>
              <w:rPr>
                <w:rFonts w:hint="eastAsia" w:ascii="仿宋" w:hAnsi="仿宋" w:eastAsia="仿宋" w:cs="仿宋"/>
                <w:b/>
                <w:sz w:val="24"/>
                <w:szCs w:val="24"/>
                <w:highlight w:val="none"/>
              </w:rPr>
              <w:t>元</w:t>
            </w:r>
            <w:r>
              <w:rPr>
                <w:rFonts w:hint="eastAsia" w:ascii="仿宋" w:hAnsi="仿宋" w:eastAsia="仿宋" w:cs="仿宋"/>
                <w:b/>
                <w:sz w:val="24"/>
                <w:szCs w:val="24"/>
                <w:highlight w:val="none"/>
                <w:lang w:eastAsia="zh-CN"/>
              </w:rPr>
              <w:t>）</w:t>
            </w:r>
          </w:p>
        </w:tc>
        <w:tc>
          <w:tcPr>
            <w:tcW w:w="975" w:type="dxa"/>
            <w:vAlign w:val="center"/>
          </w:tcPr>
          <w:p w14:paraId="21B5178A">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合价</w:t>
            </w:r>
          </w:p>
          <w:p w14:paraId="082709A6">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sz w:val="24"/>
                <w:szCs w:val="24"/>
                <w:highlight w:val="none"/>
              </w:rPr>
            </w:pP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元</w:t>
            </w:r>
            <w:r>
              <w:rPr>
                <w:rFonts w:hint="eastAsia" w:ascii="仿宋" w:hAnsi="仿宋" w:eastAsia="仿宋" w:cs="仿宋"/>
                <w:b/>
                <w:sz w:val="24"/>
                <w:szCs w:val="24"/>
                <w:highlight w:val="none"/>
                <w:lang w:eastAsia="zh-CN"/>
              </w:rPr>
              <w:t>）</w:t>
            </w:r>
          </w:p>
        </w:tc>
        <w:tc>
          <w:tcPr>
            <w:tcW w:w="1113" w:type="dxa"/>
            <w:vAlign w:val="center"/>
          </w:tcPr>
          <w:p w14:paraId="07E45A74">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预算</w:t>
            </w:r>
            <w:r>
              <w:rPr>
                <w:rFonts w:hint="eastAsia" w:ascii="仿宋" w:hAnsi="仿宋" w:eastAsia="仿宋" w:cs="仿宋"/>
                <w:b/>
                <w:sz w:val="24"/>
                <w:szCs w:val="24"/>
                <w:highlight w:val="none"/>
                <w:lang w:val="en-US" w:eastAsia="zh-CN"/>
              </w:rPr>
              <w:t>金额</w:t>
            </w:r>
          </w:p>
          <w:p w14:paraId="51EC6589">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（元）</w:t>
            </w:r>
          </w:p>
        </w:tc>
      </w:tr>
      <w:tr w14:paraId="30E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7F9CF82F">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1142" w:type="dxa"/>
            <w:vMerge w:val="restart"/>
            <w:vAlign w:val="center"/>
          </w:tcPr>
          <w:p w14:paraId="7352DA24">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LGZXYYZBB20260318-2</w:t>
            </w:r>
          </w:p>
        </w:tc>
        <w:tc>
          <w:tcPr>
            <w:tcW w:w="1324" w:type="dxa"/>
            <w:shd w:val="clear" w:color="auto" w:fill="auto"/>
            <w:vAlign w:val="center"/>
          </w:tcPr>
          <w:p w14:paraId="5BF613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CT</w:t>
            </w:r>
          </w:p>
        </w:tc>
        <w:tc>
          <w:tcPr>
            <w:tcW w:w="2475" w:type="dxa"/>
            <w:shd w:val="clear" w:color="auto" w:fill="auto"/>
            <w:vAlign w:val="center"/>
          </w:tcPr>
          <w:p w14:paraId="530B5E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754657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720" w:type="dxa"/>
            <w:shd w:val="clear" w:color="auto" w:fill="auto"/>
            <w:vAlign w:val="center"/>
          </w:tcPr>
          <w:p w14:paraId="4CD64F3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0461EEE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7A84A6DD">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restart"/>
            <w:vAlign w:val="center"/>
          </w:tcPr>
          <w:p w14:paraId="3AE58F07">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182000.00</w:t>
            </w:r>
          </w:p>
        </w:tc>
      </w:tr>
      <w:tr w14:paraId="393C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29721E4A">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1142" w:type="dxa"/>
            <w:vMerge w:val="continue"/>
            <w:vAlign w:val="center"/>
          </w:tcPr>
          <w:p w14:paraId="149AB0C7">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5B2FB2E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DR</w:t>
            </w:r>
          </w:p>
        </w:tc>
        <w:tc>
          <w:tcPr>
            <w:tcW w:w="2475" w:type="dxa"/>
            <w:shd w:val="clear" w:color="auto" w:fill="auto"/>
            <w:vAlign w:val="center"/>
          </w:tcPr>
          <w:p w14:paraId="1A1235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2385C03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720" w:type="dxa"/>
            <w:shd w:val="clear" w:color="auto" w:fill="auto"/>
            <w:vAlign w:val="center"/>
          </w:tcPr>
          <w:p w14:paraId="010C64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164B559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061F90F4">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220E2EAB">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5A5A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61EE949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1142" w:type="dxa"/>
            <w:vMerge w:val="continue"/>
            <w:vAlign w:val="center"/>
          </w:tcPr>
          <w:p w14:paraId="1A0F478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0EE6642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DSA</w:t>
            </w:r>
          </w:p>
        </w:tc>
        <w:tc>
          <w:tcPr>
            <w:tcW w:w="2475" w:type="dxa"/>
            <w:shd w:val="clear" w:color="auto" w:fill="auto"/>
            <w:vAlign w:val="center"/>
          </w:tcPr>
          <w:p w14:paraId="73277B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5F8E595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720" w:type="dxa"/>
            <w:shd w:val="clear" w:color="auto" w:fill="auto"/>
            <w:vAlign w:val="center"/>
          </w:tcPr>
          <w:p w14:paraId="69794A1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52FB2DA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1ED69E0D">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6BCBE5E9">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5812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29" w:type="dxa"/>
            <w:vMerge w:val="restart"/>
            <w:vAlign w:val="center"/>
          </w:tcPr>
          <w:p w14:paraId="652C29A9">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1142" w:type="dxa"/>
            <w:vMerge w:val="continue"/>
            <w:vAlign w:val="center"/>
          </w:tcPr>
          <w:p w14:paraId="6C9E0D10">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vMerge w:val="restart"/>
            <w:shd w:val="clear" w:color="auto" w:fill="auto"/>
            <w:vAlign w:val="center"/>
          </w:tcPr>
          <w:p w14:paraId="05C70B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C臂</w:t>
            </w:r>
          </w:p>
        </w:tc>
        <w:tc>
          <w:tcPr>
            <w:tcW w:w="2475" w:type="dxa"/>
            <w:shd w:val="clear" w:color="auto" w:fill="auto"/>
            <w:vAlign w:val="center"/>
          </w:tcPr>
          <w:p w14:paraId="27F1D6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p>
        </w:tc>
        <w:tc>
          <w:tcPr>
            <w:tcW w:w="795" w:type="dxa"/>
            <w:shd w:val="clear" w:color="auto" w:fill="auto"/>
            <w:vAlign w:val="center"/>
          </w:tcPr>
          <w:p w14:paraId="6D039D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720" w:type="dxa"/>
            <w:shd w:val="clear" w:color="auto" w:fill="auto"/>
            <w:vAlign w:val="center"/>
          </w:tcPr>
          <w:p w14:paraId="0613E73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4F495530">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5613DBC8">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7ACB89ED">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6EDB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9" w:type="dxa"/>
            <w:vMerge w:val="continue"/>
            <w:vAlign w:val="center"/>
          </w:tcPr>
          <w:p w14:paraId="70F8807F">
            <w:pPr>
              <w:keepNext w:val="0"/>
              <w:keepLines w:val="0"/>
              <w:widowControl/>
              <w:suppressLineNumbers w:val="0"/>
              <w:spacing w:before="0" w:beforeAutospacing="0" w:after="0" w:afterAutospacing="0"/>
              <w:ind w:left="0" w:right="0"/>
              <w:jc w:val="center"/>
              <w:textAlignment w:val="center"/>
              <w:rPr>
                <w:rFonts w:hint="default"/>
              </w:rPr>
            </w:pPr>
          </w:p>
        </w:tc>
        <w:tc>
          <w:tcPr>
            <w:tcW w:w="1142" w:type="dxa"/>
            <w:vMerge w:val="continue"/>
            <w:vAlign w:val="center"/>
          </w:tcPr>
          <w:p w14:paraId="166032B1">
            <w:pPr>
              <w:keepNext w:val="0"/>
              <w:keepLines w:val="0"/>
              <w:widowControl/>
              <w:suppressLineNumbers w:val="0"/>
              <w:spacing w:before="0" w:beforeAutospacing="0" w:after="0" w:afterAutospacing="0"/>
              <w:ind w:left="0" w:right="0"/>
              <w:jc w:val="center"/>
              <w:textAlignment w:val="center"/>
              <w:rPr>
                <w:rFonts w:hint="default"/>
              </w:rPr>
            </w:pPr>
          </w:p>
        </w:tc>
        <w:tc>
          <w:tcPr>
            <w:tcW w:w="1324" w:type="dxa"/>
            <w:vMerge w:val="continue"/>
            <w:shd w:val="clear" w:color="auto" w:fill="auto"/>
            <w:vAlign w:val="center"/>
          </w:tcPr>
          <w:p w14:paraId="191614DE">
            <w:pPr>
              <w:keepNext w:val="0"/>
              <w:keepLines w:val="0"/>
              <w:widowControl/>
              <w:suppressLineNumbers w:val="0"/>
              <w:spacing w:before="0" w:beforeAutospacing="0" w:after="0" w:afterAutospacing="0"/>
              <w:ind w:left="0" w:right="0"/>
              <w:jc w:val="center"/>
              <w:textAlignment w:val="center"/>
              <w:rPr>
                <w:rFonts w:hint="default"/>
              </w:rPr>
            </w:pPr>
          </w:p>
        </w:tc>
        <w:tc>
          <w:tcPr>
            <w:tcW w:w="2475" w:type="dxa"/>
            <w:shd w:val="clear" w:color="auto" w:fill="auto"/>
            <w:vAlign w:val="center"/>
          </w:tcPr>
          <w:p w14:paraId="3CDEB5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1D05BC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720" w:type="dxa"/>
            <w:shd w:val="clear" w:color="auto" w:fill="auto"/>
            <w:vAlign w:val="center"/>
          </w:tcPr>
          <w:p w14:paraId="4CD1514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6B2355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vAlign w:val="center"/>
          </w:tcPr>
          <w:p w14:paraId="73DD9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3" w:type="dxa"/>
            <w:vMerge w:val="continue"/>
            <w:vAlign w:val="center"/>
          </w:tcPr>
          <w:p w14:paraId="71B7FE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E9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00B1A7E1">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1142" w:type="dxa"/>
            <w:vMerge w:val="continue"/>
            <w:vAlign w:val="center"/>
          </w:tcPr>
          <w:p w14:paraId="49D1F954">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71785B7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移动DR</w:t>
            </w:r>
          </w:p>
        </w:tc>
        <w:tc>
          <w:tcPr>
            <w:tcW w:w="2475" w:type="dxa"/>
            <w:shd w:val="clear" w:color="auto" w:fill="auto"/>
            <w:vAlign w:val="center"/>
          </w:tcPr>
          <w:p w14:paraId="59F489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p>
        </w:tc>
        <w:tc>
          <w:tcPr>
            <w:tcW w:w="795" w:type="dxa"/>
            <w:shd w:val="clear" w:color="auto" w:fill="auto"/>
            <w:vAlign w:val="center"/>
          </w:tcPr>
          <w:p w14:paraId="6882D40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720" w:type="dxa"/>
            <w:shd w:val="clear" w:color="auto" w:fill="auto"/>
            <w:vAlign w:val="center"/>
          </w:tcPr>
          <w:p w14:paraId="264B12A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1207034D">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39D281FE">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2C009C61">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0EA2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6C6DD442">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1142" w:type="dxa"/>
            <w:vMerge w:val="continue"/>
            <w:vAlign w:val="center"/>
          </w:tcPr>
          <w:p w14:paraId="19A5B695">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3DE720F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钼靶</w:t>
            </w:r>
          </w:p>
        </w:tc>
        <w:tc>
          <w:tcPr>
            <w:tcW w:w="2475" w:type="dxa"/>
            <w:shd w:val="clear" w:color="auto" w:fill="auto"/>
            <w:vAlign w:val="center"/>
          </w:tcPr>
          <w:p w14:paraId="382D5C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507EBE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633ABCD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3DF221A5">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41328363">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628D7341">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2451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04677936">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w:t>
            </w:r>
          </w:p>
        </w:tc>
        <w:tc>
          <w:tcPr>
            <w:tcW w:w="1142" w:type="dxa"/>
            <w:vMerge w:val="continue"/>
            <w:vAlign w:val="center"/>
          </w:tcPr>
          <w:p w14:paraId="686D3880">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617B0BA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口腔CT</w:t>
            </w:r>
          </w:p>
        </w:tc>
        <w:tc>
          <w:tcPr>
            <w:tcW w:w="2475" w:type="dxa"/>
            <w:shd w:val="clear" w:color="auto" w:fill="auto"/>
            <w:vAlign w:val="center"/>
          </w:tcPr>
          <w:p w14:paraId="00409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51B25DA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720" w:type="dxa"/>
            <w:shd w:val="clear" w:color="auto" w:fill="auto"/>
            <w:vAlign w:val="center"/>
          </w:tcPr>
          <w:p w14:paraId="1A5898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55D6C93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6064BBA2">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070613F3">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4287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6D24FDBE">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w:t>
            </w:r>
          </w:p>
        </w:tc>
        <w:tc>
          <w:tcPr>
            <w:tcW w:w="1142" w:type="dxa"/>
            <w:vMerge w:val="continue"/>
            <w:vAlign w:val="center"/>
          </w:tcPr>
          <w:p w14:paraId="7B595BC0">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66FA83B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牙片机</w:t>
            </w:r>
          </w:p>
        </w:tc>
        <w:tc>
          <w:tcPr>
            <w:tcW w:w="2475" w:type="dxa"/>
            <w:shd w:val="clear" w:color="auto" w:fill="auto"/>
            <w:vAlign w:val="center"/>
          </w:tcPr>
          <w:p w14:paraId="37FE3C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7A53326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720" w:type="dxa"/>
            <w:shd w:val="clear" w:color="auto" w:fill="auto"/>
            <w:vAlign w:val="center"/>
          </w:tcPr>
          <w:p w14:paraId="77B2730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4876F2F6">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564F52FC">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296188FD">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5D92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32E620CA">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w:t>
            </w:r>
          </w:p>
        </w:tc>
        <w:tc>
          <w:tcPr>
            <w:tcW w:w="1142" w:type="dxa"/>
            <w:vMerge w:val="continue"/>
            <w:vAlign w:val="center"/>
          </w:tcPr>
          <w:p w14:paraId="2B7D575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06052BB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碎石机</w:t>
            </w:r>
          </w:p>
        </w:tc>
        <w:tc>
          <w:tcPr>
            <w:tcW w:w="2475" w:type="dxa"/>
            <w:shd w:val="clear" w:color="auto" w:fill="auto"/>
            <w:vAlign w:val="center"/>
          </w:tcPr>
          <w:p w14:paraId="2783F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3472D86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720" w:type="dxa"/>
            <w:shd w:val="clear" w:color="auto" w:fill="auto"/>
            <w:vAlign w:val="center"/>
          </w:tcPr>
          <w:p w14:paraId="0AF8CB4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1853A417">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2AFA3A82">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11231803">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2BB6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5BE787B4">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c>
          <w:tcPr>
            <w:tcW w:w="1142" w:type="dxa"/>
            <w:vMerge w:val="continue"/>
            <w:vAlign w:val="center"/>
          </w:tcPr>
          <w:p w14:paraId="28CB6777">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76A4313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骨密度仪</w:t>
            </w:r>
          </w:p>
        </w:tc>
        <w:tc>
          <w:tcPr>
            <w:tcW w:w="2475" w:type="dxa"/>
            <w:shd w:val="clear" w:color="auto" w:fill="auto"/>
            <w:vAlign w:val="center"/>
          </w:tcPr>
          <w:p w14:paraId="595E77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1.机房防护检测</w:t>
            </w:r>
          </w:p>
        </w:tc>
        <w:tc>
          <w:tcPr>
            <w:tcW w:w="795" w:type="dxa"/>
            <w:shd w:val="clear" w:color="auto" w:fill="auto"/>
            <w:vAlign w:val="center"/>
          </w:tcPr>
          <w:p w14:paraId="36461CE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3EE5FC9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5E38CD7B">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732214AE">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20300A4A">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6E89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300622CC">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w:t>
            </w:r>
          </w:p>
        </w:tc>
        <w:tc>
          <w:tcPr>
            <w:tcW w:w="1142" w:type="dxa"/>
            <w:vMerge w:val="continue"/>
            <w:vAlign w:val="center"/>
          </w:tcPr>
          <w:p w14:paraId="583834D7">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4B66191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胃肠机</w:t>
            </w:r>
          </w:p>
        </w:tc>
        <w:tc>
          <w:tcPr>
            <w:tcW w:w="2475" w:type="dxa"/>
            <w:shd w:val="clear" w:color="auto" w:fill="auto"/>
            <w:vAlign w:val="center"/>
          </w:tcPr>
          <w:p w14:paraId="2E4128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25B6C0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720" w:type="dxa"/>
            <w:shd w:val="clear" w:color="auto" w:fill="auto"/>
            <w:vAlign w:val="center"/>
          </w:tcPr>
          <w:p w14:paraId="2B51D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2F94032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78324E9B">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67A87DCF">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476A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61C4362A">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w:t>
            </w:r>
          </w:p>
        </w:tc>
        <w:tc>
          <w:tcPr>
            <w:tcW w:w="1142" w:type="dxa"/>
            <w:vMerge w:val="continue"/>
            <w:vAlign w:val="center"/>
          </w:tcPr>
          <w:p w14:paraId="694D034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0F228C8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直线加速器</w:t>
            </w:r>
          </w:p>
        </w:tc>
        <w:tc>
          <w:tcPr>
            <w:tcW w:w="2475" w:type="dxa"/>
            <w:shd w:val="clear" w:color="auto" w:fill="auto"/>
            <w:vAlign w:val="center"/>
          </w:tcPr>
          <w:p w14:paraId="06B6C9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51D98B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5C4019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340D2886">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25246D05">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32E550CC">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737F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29C61DD0">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w:t>
            </w:r>
          </w:p>
        </w:tc>
        <w:tc>
          <w:tcPr>
            <w:tcW w:w="1142" w:type="dxa"/>
            <w:vMerge w:val="continue"/>
            <w:vAlign w:val="center"/>
          </w:tcPr>
          <w:p w14:paraId="224A0BBF">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2319F85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CT模拟定位机</w:t>
            </w:r>
          </w:p>
        </w:tc>
        <w:tc>
          <w:tcPr>
            <w:tcW w:w="2475" w:type="dxa"/>
            <w:shd w:val="clear" w:color="auto" w:fill="auto"/>
            <w:vAlign w:val="center"/>
          </w:tcPr>
          <w:p w14:paraId="4D110A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5F2C7F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64FBD1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04CAF98B">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15D3C9EB">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6FE8432A">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7B40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28D87F52">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w:t>
            </w:r>
          </w:p>
        </w:tc>
        <w:tc>
          <w:tcPr>
            <w:tcW w:w="1142" w:type="dxa"/>
            <w:vMerge w:val="continue"/>
            <w:vAlign w:val="center"/>
          </w:tcPr>
          <w:p w14:paraId="5289ED13">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61A646B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后装机</w:t>
            </w:r>
          </w:p>
        </w:tc>
        <w:tc>
          <w:tcPr>
            <w:tcW w:w="2475" w:type="dxa"/>
            <w:shd w:val="clear" w:color="auto" w:fill="auto"/>
            <w:vAlign w:val="center"/>
          </w:tcPr>
          <w:p w14:paraId="3CCBF6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2E73A0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6EE193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1B692E98">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06357A5C">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03A86F5B">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28E0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Merge w:val="restart"/>
            <w:vAlign w:val="center"/>
          </w:tcPr>
          <w:p w14:paraId="7C4BD513">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w:t>
            </w:r>
          </w:p>
        </w:tc>
        <w:tc>
          <w:tcPr>
            <w:tcW w:w="1142" w:type="dxa"/>
            <w:vMerge w:val="continue"/>
            <w:vAlign w:val="center"/>
          </w:tcPr>
          <w:p w14:paraId="458977E0">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vMerge w:val="restart"/>
            <w:shd w:val="clear" w:color="auto" w:fill="auto"/>
            <w:vAlign w:val="center"/>
          </w:tcPr>
          <w:p w14:paraId="1731A4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SPECT/CT</w:t>
            </w:r>
          </w:p>
        </w:tc>
        <w:tc>
          <w:tcPr>
            <w:tcW w:w="2475" w:type="dxa"/>
            <w:shd w:val="clear" w:color="auto" w:fill="auto"/>
            <w:vAlign w:val="center"/>
          </w:tcPr>
          <w:p w14:paraId="62B73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p>
        </w:tc>
        <w:tc>
          <w:tcPr>
            <w:tcW w:w="795" w:type="dxa"/>
            <w:shd w:val="clear" w:color="auto" w:fill="auto"/>
            <w:vAlign w:val="center"/>
          </w:tcPr>
          <w:p w14:paraId="7B019C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34D090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73F71B8A">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0A2E07B8">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0A5C10D8">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78A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Merge w:val="continue"/>
            <w:vAlign w:val="center"/>
          </w:tcPr>
          <w:p w14:paraId="3690776A">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142" w:type="dxa"/>
            <w:vMerge w:val="continue"/>
            <w:vAlign w:val="center"/>
          </w:tcPr>
          <w:p w14:paraId="7E6F717F">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vMerge w:val="continue"/>
            <w:shd w:val="clear" w:color="auto" w:fill="auto"/>
            <w:vAlign w:val="center"/>
          </w:tcPr>
          <w:p w14:paraId="09012B7D">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2475" w:type="dxa"/>
            <w:shd w:val="clear" w:color="auto" w:fill="auto"/>
            <w:vAlign w:val="center"/>
          </w:tcPr>
          <w:p w14:paraId="1D74C2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2.核医学工作场所防护检测（含两间甲癌病房）：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（1）SPECT中心防护检测</w:t>
            </w:r>
          </w:p>
          <w:p w14:paraId="1C7DF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（2）场所表面污染检测；</w:t>
            </w:r>
          </w:p>
          <w:p w14:paraId="5C128A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（3）x、γ辐射剂量率检测。涉及核素：Sr-90(Y-90)、Tc-99m、Sr-89、I-131</w:t>
            </w:r>
          </w:p>
        </w:tc>
        <w:tc>
          <w:tcPr>
            <w:tcW w:w="795" w:type="dxa"/>
            <w:shd w:val="clear" w:color="auto" w:fill="auto"/>
            <w:vAlign w:val="center"/>
          </w:tcPr>
          <w:p w14:paraId="1CC9E8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044676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6DEEFA7A">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2FC57B8A">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27FC3DF6">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0A5E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Merge w:val="continue"/>
            <w:vAlign w:val="center"/>
          </w:tcPr>
          <w:p w14:paraId="51D2333D">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142" w:type="dxa"/>
            <w:vMerge w:val="continue"/>
            <w:vAlign w:val="center"/>
          </w:tcPr>
          <w:p w14:paraId="470C2A5F">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vMerge w:val="continue"/>
            <w:shd w:val="clear" w:color="auto" w:fill="auto"/>
            <w:vAlign w:val="center"/>
          </w:tcPr>
          <w:p w14:paraId="2D2ECDC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2475" w:type="dxa"/>
            <w:shd w:val="clear" w:color="auto" w:fill="auto"/>
            <w:vAlign w:val="center"/>
          </w:tcPr>
          <w:p w14:paraId="679DBD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3.衰变池废水检测（含I-131检测）</w:t>
            </w:r>
          </w:p>
        </w:tc>
        <w:tc>
          <w:tcPr>
            <w:tcW w:w="795" w:type="dxa"/>
            <w:shd w:val="clear" w:color="auto" w:fill="auto"/>
            <w:vAlign w:val="center"/>
          </w:tcPr>
          <w:p w14:paraId="3FDB3D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720" w:type="dxa"/>
            <w:shd w:val="clear" w:color="auto" w:fill="auto"/>
            <w:vAlign w:val="center"/>
          </w:tcPr>
          <w:p w14:paraId="56DE24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5A2D217C">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30827614">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5D3E8374">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6422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Merge w:val="restart"/>
            <w:vAlign w:val="center"/>
          </w:tcPr>
          <w:p w14:paraId="7BE0C73D">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w:t>
            </w:r>
          </w:p>
        </w:tc>
        <w:tc>
          <w:tcPr>
            <w:tcW w:w="1142" w:type="dxa"/>
            <w:vMerge w:val="continue"/>
            <w:vAlign w:val="center"/>
          </w:tcPr>
          <w:p w14:paraId="3D94D064">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vMerge w:val="restart"/>
            <w:shd w:val="clear" w:color="auto" w:fill="auto"/>
            <w:vAlign w:val="center"/>
          </w:tcPr>
          <w:p w14:paraId="1A9D172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PET/CT</w:t>
            </w:r>
          </w:p>
        </w:tc>
        <w:tc>
          <w:tcPr>
            <w:tcW w:w="2475" w:type="dxa"/>
            <w:shd w:val="clear" w:color="auto" w:fill="auto"/>
            <w:vAlign w:val="center"/>
          </w:tcPr>
          <w:p w14:paraId="0DA245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p>
        </w:tc>
        <w:tc>
          <w:tcPr>
            <w:tcW w:w="795" w:type="dxa"/>
            <w:shd w:val="clear" w:color="auto" w:fill="auto"/>
            <w:vAlign w:val="center"/>
          </w:tcPr>
          <w:p w14:paraId="2CE13D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6FDB40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1F2B63A6">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0E22C695">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6EEA54D1">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2BD3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529" w:type="dxa"/>
            <w:vMerge w:val="continue"/>
            <w:vAlign w:val="center"/>
          </w:tcPr>
          <w:p w14:paraId="4AAC2C6C">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p>
        </w:tc>
        <w:tc>
          <w:tcPr>
            <w:tcW w:w="1142" w:type="dxa"/>
            <w:vMerge w:val="continue"/>
            <w:vAlign w:val="center"/>
          </w:tcPr>
          <w:p w14:paraId="1EBA0191">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vMerge w:val="continue"/>
            <w:shd w:val="clear" w:color="auto" w:fill="auto"/>
            <w:vAlign w:val="center"/>
          </w:tcPr>
          <w:p w14:paraId="386BFB0E">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2475" w:type="dxa"/>
            <w:shd w:val="clear" w:color="auto" w:fill="auto"/>
            <w:vAlign w:val="center"/>
          </w:tcPr>
          <w:p w14:paraId="5D71C7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2.核医学工作场所防护检测：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（1）PET中心防护检测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（2）表面污染检测；</w:t>
            </w:r>
          </w:p>
          <w:p w14:paraId="148DB6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（3）x、γ辐射剂量率检测。涉及核素：F-18、Ga-68、P-32</w:t>
            </w:r>
          </w:p>
        </w:tc>
        <w:tc>
          <w:tcPr>
            <w:tcW w:w="795" w:type="dxa"/>
            <w:shd w:val="clear" w:color="auto" w:fill="auto"/>
            <w:vAlign w:val="center"/>
          </w:tcPr>
          <w:p w14:paraId="5106E8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0A4ADD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1E617B9D">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7840D23D">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666C8677">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636C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29" w:type="dxa"/>
            <w:vMerge w:val="continue"/>
            <w:vAlign w:val="center"/>
          </w:tcPr>
          <w:p w14:paraId="0C80FCA8">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p>
        </w:tc>
        <w:tc>
          <w:tcPr>
            <w:tcW w:w="1142" w:type="dxa"/>
            <w:vMerge w:val="continue"/>
            <w:vAlign w:val="center"/>
          </w:tcPr>
          <w:p w14:paraId="30CA59EE">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vMerge w:val="continue"/>
            <w:shd w:val="clear" w:color="auto" w:fill="auto"/>
            <w:vAlign w:val="center"/>
          </w:tcPr>
          <w:p w14:paraId="2E80257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2475" w:type="dxa"/>
            <w:shd w:val="clear" w:color="auto" w:fill="auto"/>
            <w:vAlign w:val="center"/>
          </w:tcPr>
          <w:p w14:paraId="302FB7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3.衰变池废水检测</w:t>
            </w:r>
          </w:p>
        </w:tc>
        <w:tc>
          <w:tcPr>
            <w:tcW w:w="795" w:type="dxa"/>
            <w:shd w:val="clear" w:color="auto" w:fill="auto"/>
            <w:vAlign w:val="center"/>
          </w:tcPr>
          <w:p w14:paraId="2F5310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720" w:type="dxa"/>
            <w:shd w:val="clear" w:color="auto" w:fill="auto"/>
            <w:vAlign w:val="center"/>
          </w:tcPr>
          <w:p w14:paraId="349261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3E999666">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611761FC">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04397C22">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1788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9" w:type="dxa"/>
            <w:vAlign w:val="center"/>
          </w:tcPr>
          <w:p w14:paraId="12F9A768">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17</w:t>
            </w:r>
          </w:p>
        </w:tc>
        <w:tc>
          <w:tcPr>
            <w:tcW w:w="1142" w:type="dxa"/>
            <w:vMerge w:val="continue"/>
            <w:vAlign w:val="center"/>
          </w:tcPr>
          <w:p w14:paraId="4FC9C960">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0256FFE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ERCP</w:t>
            </w:r>
          </w:p>
        </w:tc>
        <w:tc>
          <w:tcPr>
            <w:tcW w:w="2475" w:type="dxa"/>
            <w:shd w:val="clear" w:color="auto" w:fill="auto"/>
            <w:vAlign w:val="center"/>
          </w:tcPr>
          <w:p w14:paraId="00C8BD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1.性能检测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2.机房防护检测</w:t>
            </w:r>
          </w:p>
        </w:tc>
        <w:tc>
          <w:tcPr>
            <w:tcW w:w="795" w:type="dxa"/>
            <w:shd w:val="clear" w:color="auto" w:fill="auto"/>
            <w:vAlign w:val="center"/>
          </w:tcPr>
          <w:p w14:paraId="2E4DDF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3BF317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68A18F2D">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1C60A103">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79EDDF0E">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169C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29" w:type="dxa"/>
            <w:vAlign w:val="center"/>
          </w:tcPr>
          <w:p w14:paraId="24745144">
            <w:pPr>
              <w:keepNext w:val="0"/>
              <w:keepLines w:val="0"/>
              <w:suppressLineNumbers w:val="0"/>
              <w:snapToGrid w:val="0"/>
              <w:spacing w:before="0" w:beforeAutospacing="0" w:after="0" w:afterAutospacing="0"/>
              <w:ind w:left="0" w:leftChars="0" w:right="0" w:rightChars="0" w:firstLine="0" w:firstLineChars="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18</w:t>
            </w:r>
          </w:p>
        </w:tc>
        <w:tc>
          <w:tcPr>
            <w:tcW w:w="1142" w:type="dxa"/>
            <w:vMerge w:val="continue"/>
            <w:vAlign w:val="center"/>
          </w:tcPr>
          <w:p w14:paraId="6B82FEDF">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1324" w:type="dxa"/>
            <w:shd w:val="clear" w:color="auto" w:fill="auto"/>
            <w:vAlign w:val="center"/>
          </w:tcPr>
          <w:p w14:paraId="35E14D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I 125</w:t>
            </w:r>
          </w:p>
        </w:tc>
        <w:tc>
          <w:tcPr>
            <w:tcW w:w="2475" w:type="dxa"/>
            <w:shd w:val="clear" w:color="auto" w:fill="auto"/>
            <w:vAlign w:val="center"/>
          </w:tcPr>
          <w:p w14:paraId="1DF19F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1.粒籽病房防护检测</w:t>
            </w:r>
          </w:p>
        </w:tc>
        <w:tc>
          <w:tcPr>
            <w:tcW w:w="795" w:type="dxa"/>
            <w:shd w:val="clear" w:color="auto" w:fill="auto"/>
            <w:vAlign w:val="center"/>
          </w:tcPr>
          <w:p w14:paraId="102657D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14:paraId="3CE12A7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927" w:type="dxa"/>
            <w:vAlign w:val="center"/>
          </w:tcPr>
          <w:p w14:paraId="2B586968">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Cs/>
                <w:sz w:val="24"/>
                <w:szCs w:val="24"/>
                <w:highlight w:val="none"/>
                <w:lang w:val="en-US" w:eastAsia="zh-CN"/>
              </w:rPr>
            </w:pPr>
          </w:p>
        </w:tc>
        <w:tc>
          <w:tcPr>
            <w:tcW w:w="975" w:type="dxa"/>
            <w:vAlign w:val="center"/>
          </w:tcPr>
          <w:p w14:paraId="4F29459A">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c>
          <w:tcPr>
            <w:tcW w:w="1113" w:type="dxa"/>
            <w:vMerge w:val="continue"/>
            <w:vAlign w:val="center"/>
          </w:tcPr>
          <w:p w14:paraId="10B69C2F">
            <w:pPr>
              <w:keepNext w:val="0"/>
              <w:keepLines w:val="0"/>
              <w:suppressLineNumbers w:val="0"/>
              <w:snapToGrid w:val="0"/>
              <w:spacing w:before="0" w:beforeAutospacing="0" w:after="0" w:afterAutospacing="0"/>
              <w:ind w:left="0" w:leftChars="0" w:right="0" w:rightChars="0" w:firstLine="0" w:firstLineChars="0"/>
              <w:jc w:val="right"/>
              <w:rPr>
                <w:rFonts w:hint="eastAsia" w:ascii="仿宋" w:hAnsi="仿宋" w:eastAsia="仿宋" w:cs="仿宋"/>
                <w:bCs/>
                <w:sz w:val="24"/>
                <w:szCs w:val="24"/>
                <w:highlight w:val="none"/>
                <w:lang w:val="en-US" w:eastAsia="zh-CN"/>
              </w:rPr>
            </w:pPr>
          </w:p>
        </w:tc>
      </w:tr>
      <w:tr w14:paraId="3EBB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000" w:type="dxa"/>
            <w:gridSpan w:val="9"/>
            <w:vAlign w:val="center"/>
          </w:tcPr>
          <w:p w14:paraId="249CF544">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合计（即投标总价；币种：人民币；单位：元） 小写：           大写：</w:t>
            </w:r>
          </w:p>
        </w:tc>
      </w:tr>
    </w:tbl>
    <w:p w14:paraId="1F7ED0EF">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p>
    <w:p w14:paraId="1BA7F1EF">
      <w:pPr>
        <w:numPr>
          <w:ilvl w:val="-1"/>
          <w:numId w:val="0"/>
        </w:numPr>
        <w:jc w:val="left"/>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br w:type="page"/>
      </w:r>
    </w:p>
    <w:p w14:paraId="26105BF8">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14:paraId="10738DF5">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1"/>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7D43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4D8195EF">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29B9B407">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6075D9B1">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495BEFD0">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34CD80D8">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0E63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057F5AF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09C70935">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413D32E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0B2AD880">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2A40DFA6">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2A83CD3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2FB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72CDD44">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066C82A0">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66E1BC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7A86C0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7910BA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608127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52823C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2921B769">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5242B57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5426382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19D8CA34">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p>
        </w:tc>
      </w:tr>
      <w:tr w14:paraId="525D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424EAEB">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5A04F870">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0CC9A92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5070589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0DA4228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7A9EF01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2CA4C92D">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4219CF46">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4814CC7F">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587DA17F">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4A7BB5D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5F63494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8A62ED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59B78C0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4BA8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3DD165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6C91DFEE">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5F66A6F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7683E48">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025BDF8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05CF264D">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5CD7F469">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4CEB262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540536D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6B5CC53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6640E96E">
            <w:pPr>
              <w:keepNext w:val="0"/>
              <w:keepLines w:val="0"/>
              <w:suppressLineNumbers w:val="0"/>
              <w:spacing w:before="0" w:beforeAutospacing="0" w:after="0" w:afterAutospacing="0"/>
              <w:ind w:left="0" w:right="0"/>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4369413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0C601CB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34828CAE">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2D2E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57DE22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B534986">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76B09D7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w:t>
            </w:r>
          </w:p>
          <w:p w14:paraId="0FA93114">
            <w:pPr>
              <w:keepNext w:val="0"/>
              <w:keepLines w:val="0"/>
              <w:suppressLineNumbers w:val="0"/>
              <w:spacing w:before="0" w:beforeAutospacing="0" w:after="0" w:afterAutospacing="0"/>
              <w:ind w:left="0" w:right="0"/>
              <w:rPr>
                <w:rFonts w:hint="eastAsia" w:ascii="Calibri" w:hAnsi="Calibri" w:eastAsia="宋体" w:cs="Calibri"/>
                <w:kern w:val="2"/>
                <w:sz w:val="21"/>
                <w:szCs w:val="21"/>
                <w:lang w:val="en-US" w:eastAsia="zh-CN" w:bidi="ar-SA"/>
              </w:rPr>
            </w:pPr>
          </w:p>
          <w:p w14:paraId="71A64A6B">
            <w:pPr>
              <w:keepNext w:val="0"/>
              <w:keepLines w:val="0"/>
              <w:suppressLineNumbers w:val="0"/>
              <w:spacing w:before="0" w:beforeAutospacing="0" w:after="0" w:afterAutospacing="0"/>
              <w:ind w:left="0" w:right="0"/>
              <w:jc w:val="center"/>
              <w:rPr>
                <w:rFonts w:hint="eastAsia"/>
                <w:lang w:val="en-US" w:eastAsia="zh-CN"/>
              </w:rPr>
            </w:pPr>
          </w:p>
        </w:tc>
        <w:tc>
          <w:tcPr>
            <w:tcW w:w="1323" w:type="dxa"/>
            <w:vAlign w:val="center"/>
          </w:tcPr>
          <w:p w14:paraId="2917F95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4194FBA4">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1B961C7F">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45861A74">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27F4F8A">
      <w:pPr>
        <w:keepNext/>
        <w:keepLines/>
        <w:spacing w:line="360" w:lineRule="auto"/>
        <w:ind w:firstLine="480"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651AB87C">
      <w:pPr>
        <w:keepNext/>
        <w:keepLines/>
        <w:spacing w:line="360" w:lineRule="auto"/>
        <w:ind w:firstLine="480"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16075975">
      <w:pPr>
        <w:outlineLvl w:val="3"/>
        <w:rPr>
          <w:rFonts w:hint="eastAsia" w:ascii="仿宋" w:hAnsi="仿宋" w:eastAsia="仿宋" w:cs="仿宋"/>
          <w:b/>
          <w:szCs w:val="21"/>
          <w:highlight w:val="none"/>
        </w:rPr>
      </w:pPr>
      <w:bookmarkStart w:id="7" w:name="_Toc7602"/>
    </w:p>
    <w:bookmarkEnd w:id="7"/>
    <w:p w14:paraId="26554BD2">
      <w:pPr>
        <w:rPr>
          <w:rFonts w:hint="eastAsia" w:ascii="仿宋" w:hAnsi="仿宋" w:eastAsia="仿宋" w:cs="仿宋"/>
          <w:highlight w:val="none"/>
        </w:rPr>
      </w:pPr>
    </w:p>
    <w:p w14:paraId="1C7BE001">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7CD8B432">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3A86F80F">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39F2B5C9">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599638E4">
      <w:pPr>
        <w:adjustRightInd w:val="0"/>
        <w:jc w:val="center"/>
        <w:outlineLvl w:val="4"/>
        <w:rPr>
          <w:rFonts w:hint="eastAsia" w:ascii="仿宋" w:hAnsi="仿宋" w:eastAsia="仿宋" w:cs="仿宋"/>
          <w:b/>
          <w:bCs/>
          <w:sz w:val="24"/>
          <w:szCs w:val="24"/>
          <w:highlight w:val="none"/>
        </w:rPr>
      </w:pPr>
    </w:p>
    <w:p w14:paraId="6870A206">
      <w:pPr>
        <w:adjustRightInd w:val="0"/>
        <w:jc w:val="both"/>
        <w:outlineLvl w:val="4"/>
        <w:rPr>
          <w:rFonts w:hint="eastAsia" w:ascii="仿宋" w:hAnsi="仿宋" w:eastAsia="仿宋" w:cs="仿宋"/>
          <w:b/>
          <w:bCs/>
          <w:sz w:val="24"/>
          <w:szCs w:val="24"/>
          <w:highlight w:val="none"/>
          <w:lang w:val="en-US" w:eastAsia="zh-CN"/>
        </w:rPr>
      </w:pPr>
    </w:p>
    <w:p w14:paraId="361A408E">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599C0FBB">
      <w:pPr>
        <w:shd w:val="clear"/>
        <w:snapToGrid w:val="0"/>
        <w:spacing w:line="360" w:lineRule="auto"/>
        <w:rPr>
          <w:rFonts w:hint="eastAsia" w:ascii="仿宋" w:hAnsi="仿宋" w:eastAsia="仿宋" w:cs="仿宋"/>
          <w:color w:val="auto"/>
          <w:sz w:val="24"/>
          <w:szCs w:val="24"/>
          <w:highlight w:val="none"/>
        </w:rPr>
      </w:pPr>
    </w:p>
    <w:p w14:paraId="6766B812">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0E42383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0079E49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0B6C2D4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3F77E7E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2B022F3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6E834E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6E25596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7165D9B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25DC8D1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011ACEA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41D72BF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361BD1A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30E2BE5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3B123284">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40872A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611B319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1BDDD7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AE16F5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7E0C567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14:paraId="5F95B9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49DA72E2">
      <w:pPr>
        <w:shd w:val="clear"/>
        <w:spacing w:line="360" w:lineRule="auto"/>
        <w:ind w:firstLine="5760" w:firstLineChars="2400"/>
        <w:jc w:val="left"/>
        <w:rPr>
          <w:rFonts w:hint="eastAsia" w:ascii="仿宋" w:hAnsi="仿宋" w:eastAsia="仿宋" w:cs="仿宋"/>
          <w:color w:val="auto"/>
          <w:sz w:val="24"/>
          <w:szCs w:val="24"/>
          <w:highlight w:val="none"/>
        </w:rPr>
      </w:pPr>
    </w:p>
    <w:p w14:paraId="7F3D8D8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8799018">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759E42A1">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6969770E">
      <w:pPr>
        <w:pStyle w:val="5"/>
        <w:widowControl w:val="0"/>
        <w:numPr>
          <w:ilvl w:val="0"/>
          <w:numId w:val="0"/>
        </w:numPr>
        <w:jc w:val="both"/>
        <w:rPr>
          <w:rFonts w:hint="default" w:ascii="仿宋" w:hAnsi="仿宋" w:eastAsia="仿宋" w:cs="仿宋"/>
          <w:b/>
          <w:bCs/>
          <w:sz w:val="24"/>
          <w:szCs w:val="24"/>
          <w:highlight w:val="none"/>
          <w:lang w:val="en-US" w:eastAsia="zh-CN"/>
        </w:rPr>
      </w:pPr>
    </w:p>
    <w:p w14:paraId="16F21D0D">
      <w:pPr>
        <w:pStyle w:val="5"/>
        <w:widowControl w:val="0"/>
        <w:numPr>
          <w:ilvl w:val="0"/>
          <w:numId w:val="0"/>
        </w:numPr>
        <w:jc w:val="both"/>
        <w:rPr>
          <w:rFonts w:hint="default" w:ascii="仿宋" w:hAnsi="仿宋" w:eastAsia="仿宋" w:cs="仿宋"/>
          <w:b/>
          <w:bCs/>
          <w:sz w:val="24"/>
          <w:szCs w:val="24"/>
          <w:highlight w:val="none"/>
          <w:lang w:val="en-US" w:eastAsia="zh-CN"/>
        </w:rPr>
      </w:pPr>
    </w:p>
    <w:p w14:paraId="0836DAF0">
      <w:pPr>
        <w:rPr>
          <w:rFonts w:hint="eastAsia" w:ascii="仿宋" w:hAnsi="仿宋" w:eastAsia="仿宋" w:cs="仿宋"/>
          <w:b/>
          <w:bCs/>
          <w:kern w:val="2"/>
          <w:sz w:val="24"/>
          <w:szCs w:val="24"/>
          <w:highlight w:val="none"/>
          <w:lang w:val="en-US" w:eastAsia="zh-CN" w:bidi="ar-SA"/>
        </w:rPr>
      </w:pPr>
      <w:bookmarkStart w:id="8" w:name="_Toc743"/>
      <w:bookmarkStart w:id="9" w:name="_Toc29757"/>
      <w:r>
        <w:rPr>
          <w:rFonts w:hint="eastAsia" w:ascii="仿宋" w:hAnsi="仿宋" w:eastAsia="仿宋" w:cs="仿宋"/>
          <w:b/>
          <w:bCs/>
          <w:kern w:val="2"/>
          <w:sz w:val="24"/>
          <w:szCs w:val="24"/>
          <w:highlight w:val="none"/>
          <w:lang w:val="en-US" w:eastAsia="zh-CN" w:bidi="ar-SA"/>
        </w:rPr>
        <w:br w:type="page"/>
      </w:r>
    </w:p>
    <w:bookmarkEnd w:id="8"/>
    <w:bookmarkEnd w:id="9"/>
    <w:p w14:paraId="353FCB50">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法定代表人（负责人）证明书格式</w:t>
      </w:r>
    </w:p>
    <w:p w14:paraId="13B83FEB">
      <w:pPr>
        <w:pStyle w:val="11"/>
        <w:spacing w:line="360" w:lineRule="auto"/>
        <w:jc w:val="center"/>
        <w:rPr>
          <w:rFonts w:hint="eastAsia" w:ascii="仿宋" w:hAnsi="仿宋" w:eastAsia="仿宋" w:cs="仿宋"/>
          <w:b/>
          <w:bCs/>
          <w:sz w:val="24"/>
          <w:szCs w:val="24"/>
          <w:highlight w:val="none"/>
        </w:rPr>
      </w:pPr>
    </w:p>
    <w:p w14:paraId="2F8DB674">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法定代表人（负责人）证明书</w:t>
      </w:r>
    </w:p>
    <w:p w14:paraId="4D533498">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（姓名），现任我单位</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职务，为法定代表人（负责人），身份证件号为：</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u w:val="none"/>
          <w:lang w:eastAsia="zh-CN"/>
        </w:rPr>
        <w:t>特</w:t>
      </w:r>
      <w:r>
        <w:rPr>
          <w:rFonts w:hint="eastAsia" w:ascii="仿宋" w:hAnsi="仿宋" w:eastAsia="仿宋" w:cs="仿宋"/>
          <w:kern w:val="2"/>
          <w:sz w:val="24"/>
          <w:szCs w:val="24"/>
          <w:lang w:eastAsia="zh-CN"/>
        </w:rPr>
        <w:t>此证明。</w:t>
      </w:r>
    </w:p>
    <w:p w14:paraId="544AF69B">
      <w:pPr>
        <w:widowControl w:val="0"/>
        <w:spacing w:line="360" w:lineRule="auto"/>
        <w:ind w:firstLine="480" w:firstLineChars="200"/>
        <w:jc w:val="both"/>
        <w:rPr>
          <w:rFonts w:hint="eastAsia" w:ascii="仿宋" w:hAnsi="仿宋" w:eastAsia="仿宋" w:cs="仿宋"/>
          <w:kern w:val="2"/>
          <w:sz w:val="24"/>
          <w:szCs w:val="24"/>
          <w:lang w:eastAsia="zh-CN"/>
        </w:rPr>
      </w:pPr>
    </w:p>
    <w:p w14:paraId="093908C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有效期与我方在深圳市龙岗中心医院</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采购（项目编号：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 xml:space="preserve">）中投标有效期一致。   </w:t>
      </w:r>
    </w:p>
    <w:p w14:paraId="05CC8E21">
      <w:pPr>
        <w:widowControl w:val="0"/>
        <w:spacing w:line="360" w:lineRule="auto"/>
        <w:ind w:firstLine="480" w:firstLineChars="200"/>
        <w:jc w:val="both"/>
        <w:rPr>
          <w:rFonts w:hint="eastAsia" w:ascii="仿宋" w:hAnsi="仿宋" w:eastAsia="仿宋" w:cs="仿宋"/>
          <w:kern w:val="2"/>
          <w:sz w:val="24"/>
          <w:szCs w:val="24"/>
          <w:lang w:eastAsia="zh-CN"/>
        </w:rPr>
      </w:pPr>
    </w:p>
    <w:p w14:paraId="362EF567">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投标人名称：</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（盖章）</w:t>
      </w:r>
    </w:p>
    <w:p w14:paraId="19A2999A">
      <w:pPr>
        <w:widowControl w:val="0"/>
        <w:spacing w:line="360" w:lineRule="auto"/>
        <w:ind w:firstLine="5280" w:firstLineChars="2200"/>
        <w:jc w:val="both"/>
        <w:rPr>
          <w:rFonts w:hint="eastAsia" w:ascii="仿宋" w:hAnsi="仿宋" w:eastAsia="仿宋" w:cs="仿宋"/>
          <w:kern w:val="2"/>
          <w:sz w:val="24"/>
          <w:szCs w:val="24"/>
          <w:lang w:eastAsia="zh-CN"/>
        </w:rPr>
      </w:pPr>
    </w:p>
    <w:p w14:paraId="4ABC3706">
      <w:pPr>
        <w:widowControl w:val="0"/>
        <w:spacing w:line="360" w:lineRule="auto"/>
        <w:ind w:firstLine="5280" w:firstLineChars="2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签发日期： 年  月  日      </w:t>
      </w:r>
    </w:p>
    <w:p w14:paraId="2363C0E3">
      <w:pPr>
        <w:widowControl w:val="0"/>
        <w:spacing w:line="360" w:lineRule="auto"/>
        <w:ind w:firstLine="3120" w:firstLineChars="1300"/>
        <w:jc w:val="both"/>
        <w:rPr>
          <w:rFonts w:hint="eastAsia" w:ascii="仿宋" w:hAnsi="仿宋" w:eastAsia="仿宋" w:cs="仿宋"/>
          <w:kern w:val="2"/>
          <w:sz w:val="24"/>
          <w:szCs w:val="24"/>
          <w:lang w:eastAsia="zh-CN"/>
        </w:rPr>
      </w:pPr>
    </w:p>
    <w:p w14:paraId="23AC068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说明：1、法定代表人为投标人（企业事业单位、国家机关、社会团体）的主要行政负责人。</w:t>
      </w:r>
    </w:p>
    <w:p w14:paraId="1982D3C4">
      <w:pPr>
        <w:widowControl w:val="0"/>
        <w:numPr>
          <w:ilvl w:val="0"/>
          <w:numId w:val="5"/>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本证明书要提供法定代表人（负责人）相关身份证明文件：身份证扫描件（正反两面）；港澳台居民可提供来往通行证扫描件；非中国国籍管辖范围人员，可提供公安部门认可的身份证明材料扫描件。</w:t>
      </w:r>
    </w:p>
    <w:p w14:paraId="4B02C990">
      <w:pPr>
        <w:widowControl w:val="0"/>
        <w:numPr>
          <w:ilvl w:val="0"/>
          <w:numId w:val="5"/>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本项目投标授权代表为法定代表人（负责人）的，无需提供《投标文件签署授权委托书》。</w:t>
      </w:r>
    </w:p>
    <w:p w14:paraId="44FB7E77">
      <w:pPr>
        <w:widowControl w:val="0"/>
        <w:numPr>
          <w:ilvl w:val="0"/>
          <w:numId w:val="5"/>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内容必须填写真实、清楚，涂改无效，不得转让、买卖。</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696E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F2F7D4F">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5BE736F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4"/>
                <w:szCs w:val="24"/>
                <w:lang w:eastAsia="zh-CN"/>
              </w:rPr>
            </w:pPr>
          </w:p>
          <w:p w14:paraId="503541F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26310B4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4289AAF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36714E6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33D8A7F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19B1A36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tc>
        <w:tc>
          <w:tcPr>
            <w:tcW w:w="4265" w:type="dxa"/>
          </w:tcPr>
          <w:p w14:paraId="4ED7528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35850AC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4"/>
                <w:szCs w:val="24"/>
                <w:lang w:eastAsia="zh-CN"/>
              </w:rPr>
            </w:pPr>
          </w:p>
          <w:p w14:paraId="4BFAA3E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tc>
      </w:tr>
    </w:tbl>
    <w:p w14:paraId="77AD4FA3">
      <w:pPr>
        <w:keepNext/>
        <w:keepLines/>
        <w:spacing w:line="360" w:lineRule="auto"/>
        <w:rPr>
          <w:rFonts w:hint="eastAsia" w:ascii="仿宋" w:hAnsi="仿宋" w:eastAsia="仿宋" w:cs="仿宋"/>
          <w:sz w:val="24"/>
          <w:szCs w:val="24"/>
          <w:highlight w:val="none"/>
        </w:rPr>
      </w:pPr>
    </w:p>
    <w:p w14:paraId="310EC79A">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807B5D">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6E84A9B3">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法定代表人（负责人）授权书格式（投标人代表为法定代表人（负责人）的无须提供本格式）</w:t>
      </w:r>
    </w:p>
    <w:p w14:paraId="52BB8B06">
      <w:pPr>
        <w:spacing w:line="360" w:lineRule="auto"/>
        <w:jc w:val="center"/>
        <w:rPr>
          <w:rFonts w:hint="eastAsia" w:ascii="仿宋" w:hAnsi="仿宋" w:eastAsia="仿宋" w:cs="仿宋"/>
          <w:b/>
          <w:bCs/>
          <w:sz w:val="24"/>
          <w:szCs w:val="24"/>
          <w:highlight w:val="none"/>
        </w:rPr>
      </w:pPr>
    </w:p>
    <w:p w14:paraId="33D13445">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法定代表人（负责人）授权书</w:t>
      </w:r>
    </w:p>
    <w:p w14:paraId="73EE770C">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本授权委托书声明：我</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（姓名）系</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（投标人名称）的法定代表人（负责人），现授权委托</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（姓名），</w:t>
      </w:r>
      <w:r>
        <w:rPr>
          <w:rFonts w:hint="eastAsia" w:ascii="仿宋" w:hAnsi="仿宋" w:eastAsia="仿宋" w:cs="仿宋"/>
          <w:kern w:val="2"/>
          <w:sz w:val="24"/>
          <w:szCs w:val="24"/>
          <w:lang w:val="en-US" w:eastAsia="zh-CN"/>
        </w:rPr>
        <w:t>身份证件号：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val="en-US" w:eastAsia="zh-CN"/>
        </w:rPr>
        <w:t>职务：</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eastAsia="zh-CN"/>
        </w:rPr>
        <w:t>为我单位签署本项目已递交的投标文件的法定代表人（负责人）的授权委托代理人，代理人全权代表我所签署的本项目已递交的投标文件内容我均承认。</w:t>
      </w:r>
    </w:p>
    <w:p w14:paraId="1E59EACB">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代理人无转委托权，特此委托。</w:t>
      </w:r>
    </w:p>
    <w:p w14:paraId="7A9122B8">
      <w:pPr>
        <w:widowControl w:val="0"/>
        <w:spacing w:line="360" w:lineRule="auto"/>
        <w:ind w:firstLine="480" w:firstLineChars="200"/>
        <w:jc w:val="both"/>
        <w:rPr>
          <w:rFonts w:hint="eastAsia" w:ascii="仿宋" w:hAnsi="仿宋" w:eastAsia="仿宋" w:cs="仿宋"/>
          <w:kern w:val="2"/>
          <w:sz w:val="24"/>
          <w:szCs w:val="24"/>
          <w:lang w:eastAsia="zh-CN"/>
        </w:rPr>
      </w:pPr>
    </w:p>
    <w:p w14:paraId="7B996112">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本授权书于</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lang w:eastAsia="zh-CN"/>
        </w:rPr>
        <w:t>年</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月</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日签字生效，有效期与本项目我方投标有效期一致，特此声明。</w:t>
      </w:r>
    </w:p>
    <w:p w14:paraId="6274BAB8">
      <w:pPr>
        <w:widowControl w:val="0"/>
        <w:spacing w:line="360" w:lineRule="auto"/>
        <w:ind w:firstLine="480" w:firstLineChars="200"/>
        <w:jc w:val="both"/>
        <w:rPr>
          <w:rFonts w:hint="eastAsia" w:ascii="仿宋" w:hAnsi="仿宋" w:eastAsia="仿宋" w:cs="仿宋"/>
          <w:kern w:val="2"/>
          <w:sz w:val="24"/>
          <w:szCs w:val="24"/>
          <w:lang w:eastAsia="zh-CN"/>
        </w:rPr>
      </w:pPr>
    </w:p>
    <w:p w14:paraId="431413AA">
      <w:pPr>
        <w:spacing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349D93F6">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p>
    <w:p w14:paraId="4904FA0A">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r>
        <w:rPr>
          <w:rFonts w:hint="eastAsia" w:ascii="仿宋" w:hAnsi="仿宋" w:eastAsia="仿宋" w:cs="仿宋"/>
          <w:color w:val="auto"/>
          <w:sz w:val="24"/>
          <w:szCs w:val="24"/>
          <w:highlight w:val="none"/>
          <w:lang w:val="en-US" w:eastAsia="zh-CN"/>
        </w:rPr>
        <w:t>或签章</w:t>
      </w:r>
      <w:r>
        <w:rPr>
          <w:rFonts w:hint="eastAsia" w:ascii="仿宋" w:hAnsi="仿宋" w:eastAsia="仿宋" w:cs="仿宋"/>
          <w:color w:val="auto"/>
          <w:sz w:val="24"/>
          <w:szCs w:val="24"/>
          <w:highlight w:val="none"/>
        </w:rPr>
        <w:t>）：</w:t>
      </w:r>
    </w:p>
    <w:p w14:paraId="35283B32">
      <w:pPr>
        <w:widowControl w:val="0"/>
        <w:spacing w:line="360" w:lineRule="auto"/>
        <w:ind w:firstLine="480" w:firstLineChars="200"/>
        <w:jc w:val="both"/>
        <w:rPr>
          <w:rFonts w:hint="eastAsia" w:ascii="仿宋" w:hAnsi="仿宋" w:eastAsia="仿宋" w:cs="仿宋"/>
          <w:kern w:val="2"/>
          <w:sz w:val="24"/>
          <w:szCs w:val="24"/>
          <w:lang w:eastAsia="zh-CN"/>
        </w:rPr>
      </w:pPr>
    </w:p>
    <w:p w14:paraId="26716D63">
      <w:pPr>
        <w:widowControl w:val="0"/>
        <w:spacing w:line="360" w:lineRule="auto"/>
        <w:ind w:firstLine="480" w:firstLineChars="200"/>
        <w:jc w:val="both"/>
        <w:rPr>
          <w:rFonts w:hint="eastAsia" w:ascii="仿宋" w:hAnsi="仿宋" w:eastAsia="仿宋" w:cs="仿宋"/>
          <w:b/>
          <w:color w:val="FF0000"/>
          <w:kern w:val="2"/>
          <w:sz w:val="24"/>
          <w:szCs w:val="24"/>
          <w:lang w:eastAsia="zh-CN"/>
        </w:rPr>
      </w:pPr>
      <w:r>
        <w:rPr>
          <w:rFonts w:hint="eastAsia" w:ascii="仿宋" w:hAnsi="仿宋" w:eastAsia="仿宋" w:cs="仿宋"/>
          <w:b/>
          <w:color w:val="FF0000"/>
          <w:kern w:val="2"/>
          <w:sz w:val="24"/>
          <w:szCs w:val="24"/>
          <w:lang w:eastAsia="zh-CN"/>
        </w:rPr>
        <w:t>附：请提供代理人身份证扫描件（正反两面）；港澳台居民可提供来往通行证扫描件；非中国国籍管辖范围人员，可提供公安部门认可的身份证明材料扫描件。</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6ECC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87E288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4AE4F03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4"/>
                <w:szCs w:val="24"/>
                <w:lang w:eastAsia="zh-CN"/>
              </w:rPr>
            </w:pPr>
          </w:p>
          <w:p w14:paraId="4BE185B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25D4903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66AE08D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3D95FF0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3E6601C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p w14:paraId="6A5F967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tc>
        <w:tc>
          <w:tcPr>
            <w:tcW w:w="4265" w:type="dxa"/>
          </w:tcPr>
          <w:p w14:paraId="701B7B1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694EF05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4"/>
                <w:szCs w:val="24"/>
                <w:lang w:eastAsia="zh-CN"/>
              </w:rPr>
            </w:pPr>
          </w:p>
          <w:p w14:paraId="1467D7C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4"/>
                <w:szCs w:val="24"/>
                <w:lang w:eastAsia="zh-CN"/>
              </w:rPr>
            </w:pPr>
          </w:p>
        </w:tc>
      </w:tr>
    </w:tbl>
    <w:p w14:paraId="27E33911">
      <w:pPr>
        <w:widowControl/>
        <w:autoSpaceDE w:val="0"/>
        <w:autoSpaceDN w:val="0"/>
        <w:ind w:right="893"/>
        <w:textAlignment w:val="bottom"/>
        <w:rPr>
          <w:rFonts w:hint="eastAsia" w:ascii="仿宋" w:hAnsi="仿宋" w:eastAsia="仿宋" w:cs="仿宋"/>
          <w:color w:val="auto"/>
          <w:sz w:val="24"/>
          <w:szCs w:val="24"/>
          <w:highlight w:val="none"/>
        </w:rPr>
      </w:pPr>
    </w:p>
    <w:p w14:paraId="1190354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2562F8">
      <w:pPr>
        <w:keepNext w:val="0"/>
        <w:keepLines w:val="0"/>
        <w:numPr>
          <w:ilvl w:val="-1"/>
          <w:numId w:val="0"/>
        </w:numPr>
        <w:spacing w:line="240" w:lineRule="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br w:type="page"/>
      </w:r>
    </w:p>
    <w:p w14:paraId="74739F24">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1917A562">
      <w:pPr>
        <w:spacing w:before="184" w:line="208" w:lineRule="auto"/>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109118F7">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27065DCB">
      <w:pPr>
        <w:spacing w:line="75" w:lineRule="exact"/>
        <w:rPr>
          <w:rFonts w:hint="eastAsia" w:ascii="仿宋" w:hAnsi="仿宋" w:eastAsia="仿宋" w:cs="仿宋"/>
          <w:highlight w:val="none"/>
        </w:rPr>
      </w:pPr>
    </w:p>
    <w:tbl>
      <w:tblPr>
        <w:tblStyle w:val="50"/>
        <w:tblW w:w="50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0"/>
        <w:gridCol w:w="691"/>
        <w:gridCol w:w="1036"/>
        <w:gridCol w:w="1418"/>
        <w:gridCol w:w="937"/>
        <w:gridCol w:w="1109"/>
        <w:gridCol w:w="1635"/>
        <w:gridCol w:w="1550"/>
      </w:tblGrid>
      <w:tr w14:paraId="2674B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noWrap w:val="0"/>
            <w:vAlign w:val="center"/>
          </w:tcPr>
          <w:p w14:paraId="6151E98D">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noWrap w:val="0"/>
            <w:vAlign w:val="center"/>
          </w:tcPr>
          <w:p w14:paraId="0DED1803">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noWrap w:val="0"/>
            <w:vAlign w:val="center"/>
          </w:tcPr>
          <w:p w14:paraId="615C28A1">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noWrap w:val="0"/>
            <w:vAlign w:val="center"/>
          </w:tcPr>
          <w:p w14:paraId="7ECEAC03">
            <w:pPr>
              <w:jc w:val="center"/>
              <w:rPr>
                <w:rFonts w:hint="eastAsia" w:ascii="仿宋" w:hAnsi="仿宋" w:eastAsia="仿宋" w:cs="仿宋"/>
                <w:sz w:val="24"/>
                <w:szCs w:val="24"/>
                <w:highlight w:val="none"/>
                <w:lang w:val="en-US" w:eastAsia="zh-CN"/>
              </w:rPr>
            </w:pPr>
          </w:p>
        </w:tc>
      </w:tr>
      <w:tr w14:paraId="6D27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noWrap w:val="0"/>
            <w:vAlign w:val="center"/>
          </w:tcPr>
          <w:p w14:paraId="1190CC94">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noWrap w:val="0"/>
            <w:vAlign w:val="center"/>
          </w:tcPr>
          <w:p w14:paraId="41763284">
            <w:pPr>
              <w:jc w:val="center"/>
              <w:rPr>
                <w:rFonts w:hint="eastAsia" w:ascii="仿宋" w:hAnsi="仿宋" w:eastAsia="仿宋" w:cs="仿宋"/>
                <w:sz w:val="24"/>
                <w:szCs w:val="24"/>
                <w:highlight w:val="none"/>
                <w:lang w:val="en-US" w:eastAsia="zh-CN"/>
              </w:rPr>
            </w:pPr>
          </w:p>
        </w:tc>
        <w:tc>
          <w:tcPr>
            <w:tcW w:w="1122" w:type="pct"/>
            <w:gridSpan w:val="2"/>
            <w:noWrap w:val="0"/>
            <w:vAlign w:val="center"/>
          </w:tcPr>
          <w:p w14:paraId="768011ED">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noWrap w:val="0"/>
            <w:vAlign w:val="center"/>
          </w:tcPr>
          <w:p w14:paraId="00CA7B84">
            <w:pPr>
              <w:jc w:val="center"/>
              <w:rPr>
                <w:rFonts w:hint="eastAsia" w:ascii="仿宋" w:hAnsi="仿宋" w:eastAsia="仿宋" w:cs="仿宋"/>
                <w:sz w:val="24"/>
                <w:szCs w:val="24"/>
                <w:highlight w:val="none"/>
              </w:rPr>
            </w:pPr>
          </w:p>
        </w:tc>
      </w:tr>
      <w:tr w14:paraId="5A08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4906559">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0BA9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noWrap w:val="0"/>
            <w:vAlign w:val="center"/>
          </w:tcPr>
          <w:p w14:paraId="7BF3E595">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14:paraId="1F3627EB">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noWrap w:val="0"/>
            <w:vAlign w:val="center"/>
          </w:tcPr>
          <w:p w14:paraId="789846BF">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noWrap w:val="0"/>
            <w:vAlign w:val="center"/>
          </w:tcPr>
          <w:p w14:paraId="1BDCF23E">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noWrap w:val="0"/>
            <w:vAlign w:val="center"/>
          </w:tcPr>
          <w:p w14:paraId="4DAE34A3">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5129903D">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noWrap w:val="0"/>
            <w:vAlign w:val="center"/>
          </w:tcPr>
          <w:p w14:paraId="68EE0208">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5B7A49BC">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5CD84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noWrap w:val="0"/>
            <w:vAlign w:val="center"/>
          </w:tcPr>
          <w:p w14:paraId="40CEE4D1">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14:paraId="1016E1AF">
            <w:pPr>
              <w:pStyle w:val="49"/>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noWrap w:val="0"/>
            <w:vAlign w:val="center"/>
          </w:tcPr>
          <w:p w14:paraId="621D541C">
            <w:pPr>
              <w:jc w:val="center"/>
              <w:rPr>
                <w:rFonts w:hint="eastAsia" w:ascii="仿宋" w:hAnsi="仿宋" w:eastAsia="仿宋" w:cs="仿宋"/>
                <w:sz w:val="24"/>
                <w:szCs w:val="24"/>
                <w:highlight w:val="none"/>
              </w:rPr>
            </w:pPr>
          </w:p>
        </w:tc>
        <w:tc>
          <w:tcPr>
            <w:tcW w:w="1122" w:type="pct"/>
            <w:gridSpan w:val="2"/>
            <w:noWrap w:val="0"/>
            <w:vAlign w:val="center"/>
          </w:tcPr>
          <w:p w14:paraId="698D68D8">
            <w:pPr>
              <w:jc w:val="center"/>
              <w:rPr>
                <w:rFonts w:hint="eastAsia" w:ascii="仿宋" w:hAnsi="仿宋" w:eastAsia="仿宋" w:cs="仿宋"/>
                <w:sz w:val="24"/>
                <w:szCs w:val="24"/>
                <w:highlight w:val="none"/>
              </w:rPr>
            </w:pPr>
          </w:p>
        </w:tc>
        <w:tc>
          <w:tcPr>
            <w:tcW w:w="897" w:type="pct"/>
            <w:noWrap w:val="0"/>
            <w:vAlign w:val="center"/>
          </w:tcPr>
          <w:p w14:paraId="2629FC53">
            <w:pPr>
              <w:jc w:val="center"/>
              <w:rPr>
                <w:rFonts w:hint="eastAsia" w:ascii="仿宋" w:hAnsi="仿宋" w:eastAsia="仿宋" w:cs="仿宋"/>
                <w:sz w:val="24"/>
                <w:szCs w:val="24"/>
                <w:highlight w:val="none"/>
              </w:rPr>
            </w:pPr>
          </w:p>
        </w:tc>
        <w:tc>
          <w:tcPr>
            <w:tcW w:w="848" w:type="pct"/>
            <w:noWrap w:val="0"/>
            <w:vAlign w:val="center"/>
          </w:tcPr>
          <w:p w14:paraId="693A5689">
            <w:pPr>
              <w:jc w:val="center"/>
              <w:rPr>
                <w:rFonts w:hint="eastAsia" w:ascii="仿宋" w:hAnsi="仿宋" w:eastAsia="仿宋" w:cs="仿宋"/>
                <w:sz w:val="24"/>
                <w:szCs w:val="24"/>
                <w:highlight w:val="none"/>
              </w:rPr>
            </w:pPr>
          </w:p>
        </w:tc>
      </w:tr>
      <w:tr w14:paraId="36563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30CDCBFC">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14:paraId="237290B2">
            <w:pPr>
              <w:pStyle w:val="49"/>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noWrap w:val="0"/>
            <w:vAlign w:val="center"/>
          </w:tcPr>
          <w:p w14:paraId="407C612A">
            <w:pPr>
              <w:jc w:val="center"/>
              <w:rPr>
                <w:rFonts w:hint="eastAsia" w:ascii="仿宋" w:hAnsi="仿宋" w:eastAsia="仿宋" w:cs="仿宋"/>
                <w:sz w:val="24"/>
                <w:szCs w:val="24"/>
                <w:highlight w:val="none"/>
              </w:rPr>
            </w:pPr>
          </w:p>
        </w:tc>
        <w:tc>
          <w:tcPr>
            <w:tcW w:w="1122" w:type="pct"/>
            <w:gridSpan w:val="2"/>
            <w:noWrap w:val="0"/>
            <w:vAlign w:val="center"/>
          </w:tcPr>
          <w:p w14:paraId="4C428D61">
            <w:pPr>
              <w:jc w:val="center"/>
              <w:rPr>
                <w:rFonts w:hint="eastAsia" w:ascii="仿宋" w:hAnsi="仿宋" w:eastAsia="仿宋" w:cs="仿宋"/>
                <w:sz w:val="24"/>
                <w:szCs w:val="24"/>
                <w:highlight w:val="none"/>
              </w:rPr>
            </w:pPr>
          </w:p>
        </w:tc>
        <w:tc>
          <w:tcPr>
            <w:tcW w:w="897" w:type="pct"/>
            <w:noWrap w:val="0"/>
            <w:vAlign w:val="center"/>
          </w:tcPr>
          <w:p w14:paraId="265A1224">
            <w:pPr>
              <w:jc w:val="center"/>
              <w:rPr>
                <w:rFonts w:hint="eastAsia" w:ascii="仿宋" w:hAnsi="仿宋" w:eastAsia="仿宋" w:cs="仿宋"/>
                <w:sz w:val="24"/>
                <w:szCs w:val="24"/>
                <w:highlight w:val="none"/>
              </w:rPr>
            </w:pPr>
          </w:p>
        </w:tc>
        <w:tc>
          <w:tcPr>
            <w:tcW w:w="848" w:type="pct"/>
            <w:noWrap w:val="0"/>
            <w:vAlign w:val="center"/>
          </w:tcPr>
          <w:p w14:paraId="0BCB701C">
            <w:pPr>
              <w:jc w:val="center"/>
              <w:rPr>
                <w:rFonts w:hint="eastAsia" w:ascii="仿宋" w:hAnsi="仿宋" w:eastAsia="仿宋" w:cs="仿宋"/>
                <w:sz w:val="24"/>
                <w:szCs w:val="24"/>
                <w:highlight w:val="none"/>
              </w:rPr>
            </w:pPr>
          </w:p>
        </w:tc>
      </w:tr>
      <w:tr w14:paraId="7881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00A5B5E8">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noWrap w:val="0"/>
            <w:vAlign w:val="center"/>
          </w:tcPr>
          <w:p w14:paraId="784335B8">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noWrap w:val="0"/>
            <w:vAlign w:val="center"/>
          </w:tcPr>
          <w:p w14:paraId="3F5D7D82">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7552CD8B">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11423C17">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2102A632">
            <w:pPr>
              <w:spacing w:line="240" w:lineRule="auto"/>
              <w:ind w:left="0"/>
              <w:jc w:val="center"/>
              <w:rPr>
                <w:rFonts w:hint="eastAsia" w:ascii="仿宋" w:hAnsi="仿宋" w:eastAsia="仿宋" w:cs="仿宋"/>
                <w:sz w:val="24"/>
                <w:szCs w:val="24"/>
                <w:highlight w:val="none"/>
              </w:rPr>
            </w:pPr>
          </w:p>
        </w:tc>
      </w:tr>
      <w:tr w14:paraId="7A33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47E43251">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noWrap w:val="0"/>
            <w:vAlign w:val="center"/>
          </w:tcPr>
          <w:p w14:paraId="63945406">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noWrap w:val="0"/>
            <w:vAlign w:val="center"/>
          </w:tcPr>
          <w:p w14:paraId="0E3416A5">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2360D09A">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534795BE">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38DDA62E">
            <w:pPr>
              <w:spacing w:line="240" w:lineRule="auto"/>
              <w:ind w:left="0"/>
              <w:jc w:val="center"/>
              <w:rPr>
                <w:rFonts w:hint="eastAsia" w:ascii="仿宋" w:hAnsi="仿宋" w:eastAsia="仿宋" w:cs="仿宋"/>
                <w:sz w:val="24"/>
                <w:szCs w:val="24"/>
                <w:highlight w:val="none"/>
              </w:rPr>
            </w:pPr>
          </w:p>
        </w:tc>
      </w:tr>
      <w:tr w14:paraId="6B7F3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7854E601">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noWrap w:val="0"/>
            <w:vAlign w:val="center"/>
          </w:tcPr>
          <w:p w14:paraId="49B0F137">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noWrap w:val="0"/>
            <w:vAlign w:val="center"/>
          </w:tcPr>
          <w:p w14:paraId="3F97D62D">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203B1A2B">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5AA86109">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290AE03B">
            <w:pPr>
              <w:spacing w:line="240" w:lineRule="auto"/>
              <w:ind w:left="0"/>
              <w:jc w:val="center"/>
              <w:rPr>
                <w:rFonts w:hint="eastAsia" w:ascii="仿宋" w:hAnsi="仿宋" w:eastAsia="仿宋" w:cs="仿宋"/>
                <w:sz w:val="24"/>
                <w:szCs w:val="24"/>
                <w:highlight w:val="none"/>
                <w:lang w:eastAsia="zh-CN"/>
              </w:rPr>
            </w:pPr>
          </w:p>
        </w:tc>
      </w:tr>
      <w:tr w14:paraId="6F51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noWrap w:val="0"/>
            <w:vAlign w:val="center"/>
          </w:tcPr>
          <w:p w14:paraId="62986FA2">
            <w:pPr>
              <w:pStyle w:val="49"/>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2683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9F6F481">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24A5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4F022C47">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14:paraId="19917E73">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noWrap w:val="0"/>
            <w:vAlign w:val="center"/>
          </w:tcPr>
          <w:p w14:paraId="4DF799B8">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noWrap w:val="0"/>
            <w:vAlign w:val="center"/>
          </w:tcPr>
          <w:p w14:paraId="1AB03EE8">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38BA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noWrap w:val="0"/>
            <w:vAlign w:val="center"/>
          </w:tcPr>
          <w:p w14:paraId="56E1E48C">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14:paraId="2383DAF3">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noWrap w:val="0"/>
            <w:vAlign w:val="center"/>
          </w:tcPr>
          <w:p w14:paraId="546C4CA3">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14:paraId="685B62E1">
            <w:pPr>
              <w:pStyle w:val="49"/>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7EFE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noWrap w:val="0"/>
            <w:vAlign w:val="center"/>
          </w:tcPr>
          <w:p w14:paraId="46CF70CC">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14:paraId="204E27E1">
            <w:pPr>
              <w:pStyle w:val="49"/>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noWrap w:val="0"/>
            <w:vAlign w:val="center"/>
          </w:tcPr>
          <w:p w14:paraId="67010658">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14:paraId="7DABD43E">
            <w:pPr>
              <w:pStyle w:val="49"/>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1FFF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noWrap w:val="0"/>
            <w:vAlign w:val="center"/>
          </w:tcPr>
          <w:p w14:paraId="0CF5ED46">
            <w:pPr>
              <w:pStyle w:val="49"/>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2C06F341">
      <w:pPr>
        <w:pStyle w:val="16"/>
        <w:ind w:firstLine="480"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rPr>
        <w:t>投标人务必完整填写上述《供应商基本情况表》中的相关信息，如无对应人员或内容的，应填写“无”，否则引起的不利后果由其自行承担。</w:t>
      </w:r>
    </w:p>
    <w:p w14:paraId="2A1BBB92">
      <w:pPr>
        <w:pStyle w:val="16"/>
        <w:ind w:firstLine="480"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0DD12A06">
      <w:pPr>
        <w:pStyle w:val="16"/>
        <w:ind w:firstLine="480" w:firstLineChars="200"/>
        <w:rPr>
          <w:rFonts w:hint="eastAsia" w:ascii="仿宋" w:hAnsi="仿宋" w:eastAsia="仿宋" w:cs="仿宋"/>
          <w:b/>
          <w:bCs/>
          <w:color w:val="FF0000"/>
          <w:sz w:val="24"/>
          <w:szCs w:val="24"/>
          <w:highlight w:val="yellow"/>
        </w:rPr>
      </w:pPr>
      <w:r>
        <w:rPr>
          <w:rFonts w:hint="eastAsia" w:ascii="仿宋" w:hAnsi="仿宋" w:eastAsia="仿宋" w:cs="仿宋"/>
          <w:b/>
          <w:bCs/>
          <w:color w:val="FF0000"/>
          <w:sz w:val="24"/>
          <w:szCs w:val="24"/>
          <w:highlight w:val="yellow"/>
        </w:rPr>
        <w:t>投标时需提供以下附件，该要求作为供应商资格性审查的证明材料。如未提供，视为未提供资格审查的相关证明材料，按资格审查不通过处理。</w:t>
      </w:r>
    </w:p>
    <w:p w14:paraId="5771745B">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14:paraId="4C5D40DD">
      <w:pPr>
        <w:pStyle w:val="16"/>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69947460">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1E02249F">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44B459F7">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14:paraId="043EC5C0">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78E0F7C7">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754F00C9">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32892700">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14:paraId="2DA45508">
      <w:pPr>
        <w:pStyle w:val="16"/>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48EA5532">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21D6EEC7">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6F97DD91">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14:paraId="1202F143">
      <w:pPr>
        <w:pStyle w:val="16"/>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540BC36B">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4F80F18C">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493EE5EA">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14:paraId="3699A83C">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7770C44F">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09CFFACC">
      <w:pPr>
        <w:pStyle w:val="16"/>
        <w:rPr>
          <w:rFonts w:hint="eastAsia" w:ascii="仿宋" w:hAnsi="仿宋" w:eastAsia="仿宋" w:cs="仿宋"/>
          <w:b/>
          <w:bCs/>
          <w:color w:val="auto"/>
          <w:sz w:val="24"/>
          <w:szCs w:val="24"/>
          <w:highlight w:val="none"/>
        </w:rPr>
      </w:pPr>
    </w:p>
    <w:p w14:paraId="78C455A4">
      <w:pPr>
        <w:pStyle w:val="1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FA158CC">
      <w:pPr>
        <w:pStyle w:val="11"/>
        <w:adjustRightInd w:val="0"/>
        <w:snapToGrid w:val="0"/>
        <w:spacing w:line="360" w:lineRule="auto"/>
        <w:rPr>
          <w:rFonts w:hint="eastAsia" w:hAnsi="宋体" w:cs="宋体"/>
          <w:szCs w:val="21"/>
        </w:rPr>
      </w:pPr>
    </w:p>
    <w:p w14:paraId="1583E9BE">
      <w:pPr>
        <w:pStyle w:val="11"/>
        <w:adjustRightInd w:val="0"/>
        <w:snapToGrid w:val="0"/>
        <w:spacing w:line="360" w:lineRule="auto"/>
        <w:rPr>
          <w:rFonts w:hint="eastAsia" w:ascii="仿宋" w:hAnsi="仿宋" w:eastAsia="仿宋" w:cs="仿宋"/>
          <w:szCs w:val="21"/>
        </w:rPr>
      </w:pPr>
    </w:p>
    <w:p w14:paraId="2A1E1E9B">
      <w:pPr>
        <w:pStyle w:val="11"/>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兹证明，上述说明属实，并已提供相应资料和数据，我方同意遵照贵方要求出示有关证明文件。</w:t>
      </w:r>
    </w:p>
    <w:p w14:paraId="7384213F">
      <w:pPr>
        <w:wordWrap w:val="0"/>
        <w:adjustRightInd w:val="0"/>
        <w:snapToGrid w:val="0"/>
        <w:spacing w:line="360" w:lineRule="auto"/>
        <w:ind w:firstLine="4800" w:firstLineChars="2000"/>
        <w:rPr>
          <w:rFonts w:hint="eastAsia" w:ascii="宋体" w:hAnsi="宋体" w:cs="宋体"/>
          <w:sz w:val="24"/>
          <w:szCs w:val="24"/>
        </w:rPr>
      </w:pPr>
    </w:p>
    <w:p w14:paraId="0829220A">
      <w:pPr>
        <w:wordWrap w:val="0"/>
        <w:adjustRightInd w:val="0"/>
        <w:snapToGrid w:val="0"/>
        <w:spacing w:line="360" w:lineRule="auto"/>
        <w:ind w:firstLine="4800" w:firstLineChars="2000"/>
        <w:rPr>
          <w:rFonts w:hint="eastAsia" w:ascii="宋体" w:hAnsi="宋体" w:cs="宋体"/>
          <w:sz w:val="24"/>
          <w:szCs w:val="24"/>
        </w:rPr>
      </w:pPr>
    </w:p>
    <w:p w14:paraId="3B2853D0">
      <w:pPr>
        <w:wordWrap w:val="0"/>
        <w:adjustRightInd w:val="0"/>
        <w:snapToGrid w:val="0"/>
        <w:spacing w:line="360" w:lineRule="auto"/>
        <w:ind w:left="0" w:leftChars="0" w:firstLine="3120" w:firstLineChars="1300"/>
        <w:rPr>
          <w:rFonts w:hint="eastAsia" w:ascii="仿宋" w:hAnsi="仿宋" w:eastAsia="仿宋" w:cs="仿宋"/>
          <w:sz w:val="24"/>
          <w:szCs w:val="24"/>
        </w:rPr>
      </w:pPr>
      <w:r>
        <w:rPr>
          <w:rFonts w:hint="eastAsia" w:ascii="仿宋" w:hAnsi="仿宋" w:eastAsia="仿宋" w:cs="仿宋"/>
          <w:sz w:val="24"/>
          <w:szCs w:val="24"/>
        </w:rPr>
        <w:t xml:space="preserve">投标人（公章）：               </w:t>
      </w:r>
    </w:p>
    <w:p w14:paraId="2ADF5D3A">
      <w:pPr>
        <w:adjustRightInd w:val="0"/>
        <w:snapToGrid w:val="0"/>
        <w:spacing w:line="360" w:lineRule="auto"/>
        <w:ind w:left="0" w:leftChars="0" w:firstLine="3120" w:firstLineChars="1300"/>
        <w:jc w:val="lef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color w:val="000000"/>
          <w:kern w:val="0"/>
          <w:sz w:val="24"/>
          <w:szCs w:val="24"/>
        </w:rPr>
        <w:t>（负责人）</w:t>
      </w:r>
      <w:r>
        <w:rPr>
          <w:rFonts w:hint="eastAsia" w:ascii="仿宋" w:hAnsi="仿宋" w:eastAsia="仿宋" w:cs="仿宋"/>
          <w:sz w:val="24"/>
          <w:szCs w:val="24"/>
        </w:rPr>
        <w:t>或其授权代表签字或签章：</w:t>
      </w:r>
    </w:p>
    <w:p w14:paraId="0D8210DB">
      <w:pPr>
        <w:adjustRightInd w:val="0"/>
        <w:snapToGrid w:val="0"/>
        <w:spacing w:line="360" w:lineRule="auto"/>
        <w:ind w:left="0" w:leftChars="0" w:firstLine="3120" w:firstLineChars="1300"/>
        <w:jc w:val="left"/>
        <w:rPr>
          <w:rFonts w:hint="eastAsia" w:ascii="仿宋" w:hAnsi="仿宋" w:eastAsia="仿宋" w:cs="仿宋"/>
          <w:sz w:val="24"/>
          <w:szCs w:val="24"/>
        </w:rPr>
      </w:pPr>
      <w:r>
        <w:rPr>
          <w:rFonts w:hint="eastAsia" w:ascii="仿宋" w:hAnsi="仿宋" w:eastAsia="仿宋" w:cs="仿宋"/>
          <w:sz w:val="24"/>
          <w:szCs w:val="24"/>
        </w:rPr>
        <w:t>日期：      年    月    日</w:t>
      </w:r>
    </w:p>
    <w:p w14:paraId="7693693B">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5F1A5925">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7CB0B42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填写指引：</w:t>
      </w:r>
    </w:p>
    <w:p w14:paraId="561F756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8718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14:paraId="0ED6186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14:paraId="2E7CF08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14:paraId="214EDA7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14:paraId="0F5816C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14:paraId="3579FF1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14:paraId="039BD13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3、请依照提供的格式和内容填写声明函，不要随意变更格式；满足多项优惠政策的投标人，不重复享受多项价格扣除政策。</w:t>
      </w:r>
    </w:p>
    <w:p w14:paraId="608299E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14:paraId="15DDECF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14:paraId="4114F90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14:paraId="059F20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14:paraId="48B7A20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服务需求明细”的“服务需求名称”一栏为准）；如果涉及多项服务（标的）为同一企业制造，“标的名称”下划线处可以如实填写多项服务；</w:t>
      </w:r>
    </w:p>
    <w:p w14:paraId="1886CB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14:paraId="052AF17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397F2C8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2BCA7A6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26877A7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5AA85031">
      <w:pPr>
        <w:pStyle w:val="6"/>
        <w:rPr>
          <w:rFonts w:hint="eastAsia"/>
          <w:highlight w:val="none"/>
          <w:lang w:val="en-US" w:eastAsia="zh-CN"/>
        </w:rPr>
      </w:pPr>
    </w:p>
    <w:p w14:paraId="6A6EF351">
      <w:pPr>
        <w:keepNext w:val="0"/>
        <w:keepLines w:val="0"/>
        <w:pageBreakBefore w:val="0"/>
        <w:widowControl w:val="0"/>
        <w:kinsoku/>
        <w:wordWrap/>
        <w:overflowPunct/>
        <w:topLinePunct w:val="0"/>
        <w:autoSpaceDE/>
        <w:autoSpaceDN/>
        <w:bidi w:val="0"/>
        <w:adjustRightInd/>
        <w:snapToGrid/>
        <w:spacing w:line="400" w:lineRule="exact"/>
        <w:ind w:firstLine="264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服务</w:t>
      </w:r>
      <w:r>
        <w:rPr>
          <w:rFonts w:hint="eastAsia" w:ascii="仿宋" w:hAnsi="仿宋" w:eastAsia="仿宋" w:cs="仿宋"/>
          <w:b/>
          <w:kern w:val="2"/>
          <w:sz w:val="24"/>
          <w:szCs w:val="24"/>
          <w:highlight w:val="none"/>
        </w:rPr>
        <w:t>）</w:t>
      </w:r>
    </w:p>
    <w:p w14:paraId="0E1EEC4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采购活动，服务全部由符合政策要求的中小企业承接。相关企业的具体情况如下：</w:t>
      </w:r>
    </w:p>
    <w:p w14:paraId="02FC6A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sz w:val="24"/>
          <w:szCs w:val="24"/>
          <w:highlight w:val="none"/>
          <w:u w:val="single"/>
        </w:rPr>
        <w:t>CT</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FE676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sz w:val="24"/>
          <w:szCs w:val="24"/>
          <w:highlight w:val="none"/>
          <w:u w:val="single"/>
        </w:rPr>
        <w:t>DR</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13D28CE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DSA</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8703C0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C臂</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1EBA8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移动DR</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967C6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6</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钼靶</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6F901B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7</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口腔CT</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85ABA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8</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牙片机</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F4685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9</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碎石机</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6ED0E2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10</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骨密度仪</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F6FA8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11</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胃肠机</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16B6AA4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12</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直线加速器</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98207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13</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CT模拟定位机</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F0742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14</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后装机</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8528B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15</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SPECT/CT</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2.核医学工作场所防护检测（含两间甲癌病房）：（1）SPECT中心防护检测；（2）场所表面污染检测；（3）x、γ辐射剂量率检测。涉及核素：Sr-90(Y-90)、Tc-99m、Sr-89、I-131</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3.衰变池废水检测（含I-131检测）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5E3205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16</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PET/CT</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2.核医学工作场所防护检测：（1）PET中心防护检测；（2）场所表面污染检测；（3）x、γ辐射剂量率检测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3.衰变池废水检测。涉及核素：F-18、Ga-68、P-32</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587DF2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17</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ERCP</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1.性能检测</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2.机房防护检测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115A1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18</w:t>
      </w:r>
      <w:r>
        <w:rPr>
          <w:rFonts w:hint="eastAsia" w:ascii="仿宋" w:hAnsi="仿宋" w:eastAsia="仿宋" w:cs="仿宋"/>
          <w:kern w:val="2"/>
          <w:sz w:val="24"/>
          <w:szCs w:val="24"/>
          <w:highlight w:val="none"/>
        </w:rPr>
        <w:t>.</w:t>
      </w:r>
      <w:r>
        <w:rPr>
          <w:rFonts w:hint="eastAsia" w:ascii="仿宋" w:hAnsi="仿宋" w:eastAsia="仿宋" w:cs="仿宋"/>
          <w:b/>
          <w:bCs/>
          <w:sz w:val="24"/>
          <w:szCs w:val="24"/>
          <w:highlight w:val="none"/>
          <w:u w:val="single"/>
        </w:rPr>
        <w:t>I 125</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1.粒籽病房防护检测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其他未列明</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A01C59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2"/>
          <w:sz w:val="24"/>
          <w:szCs w:val="24"/>
          <w:highlight w:val="none"/>
        </w:rPr>
      </w:pPr>
    </w:p>
    <w:p w14:paraId="2193DB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25BAA1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3F591F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2ACFB9A7">
      <w:pPr>
        <w:rPr>
          <w:rFonts w:hint="eastAsia" w:ascii="仿宋" w:hAnsi="仿宋" w:eastAsia="仿宋" w:cs="仿宋"/>
          <w:sz w:val="24"/>
          <w:szCs w:val="24"/>
          <w:highlight w:val="none"/>
        </w:rPr>
      </w:pPr>
    </w:p>
    <w:p w14:paraId="684F122E">
      <w:pPr>
        <w:keepNext w:val="0"/>
        <w:keepLines w:val="0"/>
        <w:pageBreakBefore w:val="0"/>
        <w:widowControl w:val="0"/>
        <w:kinsoku/>
        <w:wordWrap/>
        <w:overflowPunct/>
        <w:topLinePunct w:val="0"/>
        <w:autoSpaceDE/>
        <w:autoSpaceDN/>
        <w:bidi w:val="0"/>
        <w:adjustRightInd/>
        <w:snapToGrid/>
        <w:spacing w:line="400" w:lineRule="exact"/>
        <w:ind w:firstLine="264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103714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14:paraId="6A175F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4958AA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22022D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664E4C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2139A9FD">
      <w:pPr>
        <w:ind w:firstLine="480" w:firstLineChars="200"/>
        <w:rPr>
          <w:rFonts w:ascii="宋体" w:hAnsi="宋体" w:cs="宋体"/>
          <w:sz w:val="24"/>
          <w:highlight w:val="none"/>
        </w:rPr>
      </w:pPr>
    </w:p>
    <w:p w14:paraId="1F9B006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67235B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3DD132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280B07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6344E7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2A1A1F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1471C7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767140DE">
      <w:pPr>
        <w:widowControl w:val="0"/>
        <w:jc w:val="both"/>
        <w:rPr>
          <w:rFonts w:hint="eastAsia" w:ascii="仿宋" w:hAnsi="仿宋" w:eastAsia="仿宋" w:cs="仿宋"/>
          <w:b/>
          <w:bCs/>
          <w:sz w:val="24"/>
          <w:szCs w:val="24"/>
          <w:highlight w:val="none"/>
        </w:rPr>
      </w:pPr>
    </w:p>
    <w:p w14:paraId="131D8725">
      <w:pPr>
        <w:widowControl w:val="0"/>
        <w:jc w:val="both"/>
        <w:rPr>
          <w:rFonts w:hint="eastAsia" w:ascii="仿宋" w:hAnsi="仿宋" w:eastAsia="仿宋" w:cs="仿宋"/>
          <w:color w:val="FF0000"/>
          <w:kern w:val="2"/>
          <w:sz w:val="24"/>
          <w:szCs w:val="24"/>
          <w:highlight w:val="none"/>
        </w:rPr>
      </w:pPr>
    </w:p>
    <w:p w14:paraId="7208C37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E147FA1">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200"/>
        <w:gridCol w:w="2793"/>
        <w:gridCol w:w="1432"/>
        <w:gridCol w:w="1059"/>
      </w:tblGrid>
      <w:tr w14:paraId="73D8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0" w:type="pct"/>
            <w:vAlign w:val="center"/>
          </w:tcPr>
          <w:p w14:paraId="77BDDF70">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1723" w:type="pct"/>
            <w:vAlign w:val="center"/>
          </w:tcPr>
          <w:p w14:paraId="0DC81226">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1504" w:type="pct"/>
            <w:vAlign w:val="center"/>
          </w:tcPr>
          <w:p w14:paraId="3AE89D3B">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771" w:type="pct"/>
            <w:vAlign w:val="center"/>
          </w:tcPr>
          <w:p w14:paraId="1AE09D76">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570" w:type="pct"/>
            <w:vAlign w:val="center"/>
          </w:tcPr>
          <w:p w14:paraId="252CE80B">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14:paraId="470B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Align w:val="center"/>
          </w:tcPr>
          <w:p w14:paraId="33EA67C5">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723" w:type="pct"/>
            <w:shd w:val="clear" w:color="auto" w:fill="auto"/>
            <w:vAlign w:val="top"/>
          </w:tcPr>
          <w:p w14:paraId="68FC89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4"/>
                <w:szCs w:val="24"/>
              </w:rPr>
            </w:pPr>
            <w:r>
              <w:rPr>
                <w:rFonts w:hint="eastAsia" w:ascii="仿宋" w:hAnsi="仿宋" w:eastAsia="仿宋" w:cs="仿宋"/>
                <w:sz w:val="24"/>
                <w:szCs w:val="24"/>
              </w:rPr>
              <w:t>1.项目负责人仅限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1BE67915">
            <w:pPr>
              <w:keepNext w:val="0"/>
              <w:keepLines w:val="0"/>
              <w:suppressLineNumbers w:val="0"/>
              <w:spacing w:before="0" w:beforeAutospacing="0" w:after="0" w:afterAutospacing="0"/>
              <w:ind w:left="0" w:leftChars="0" w:right="0" w:rightChars="0"/>
              <w:rPr>
                <w:rFonts w:hint="default" w:ascii="仿宋" w:hAnsi="仿宋" w:eastAsia="仿宋" w:cs="仿宋"/>
                <w:kern w:val="0"/>
                <w:sz w:val="24"/>
                <w:szCs w:val="24"/>
                <w:highlight w:val="none"/>
                <w:lang w:val="en-US" w:eastAsia="zh-CN" w:bidi="ar-SA"/>
              </w:rPr>
            </w:pPr>
            <w:r>
              <w:rPr>
                <w:rFonts w:hint="eastAsia" w:ascii="仿宋" w:hAnsi="仿宋" w:eastAsia="仿宋" w:cs="仿宋"/>
                <w:sz w:val="24"/>
                <w:szCs w:val="24"/>
              </w:rPr>
              <w:t>2.团队成员（项目负责人除外）至少7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504" w:type="pct"/>
            <w:vAlign w:val="center"/>
          </w:tcPr>
          <w:p w14:paraId="46DB2B5A">
            <w:pPr>
              <w:keepNext w:val="0"/>
              <w:keepLines w:val="0"/>
              <w:numPr>
                <w:ilvl w:val="0"/>
                <w:numId w:val="0"/>
              </w:numPr>
              <w:suppressLineNumbers w:val="0"/>
              <w:spacing w:before="0" w:beforeAutospacing="0" w:after="0" w:afterAutospacing="0"/>
              <w:ind w:left="0" w:leftChars="0" w:right="0" w:firstLine="480" w:firstLineChars="200"/>
              <w:jc w:val="both"/>
              <w:rPr>
                <w:rFonts w:hint="eastAsia" w:ascii="仿宋" w:hAnsi="仿宋" w:eastAsia="仿宋" w:cs="仿宋"/>
                <w:b/>
                <w:color w:val="FF0000"/>
                <w:sz w:val="24"/>
                <w:highlight w:val="yellow"/>
                <w:lang w:val="en-US" w:eastAsia="zh-CN"/>
              </w:rPr>
            </w:pPr>
            <w:r>
              <w:rPr>
                <w:rFonts w:hint="eastAsia" w:ascii="仿宋" w:hAnsi="仿宋" w:eastAsia="仿宋" w:cs="仿宋"/>
                <w:b/>
                <w:color w:val="FF0000"/>
                <w:sz w:val="24"/>
                <w:highlight w:val="yellow"/>
                <w:lang w:val="en-US" w:eastAsia="zh-CN"/>
              </w:rPr>
              <w:t>“投标响应”一栏应当详细填写投标人自身响应情况，而不能不合理照搬照抄实质性条款具体内容。存在未填写或响应不全（包括未填写整项实质性条款具体内容或者仅填写响应、全部响应等情况）均视为负偏离。</w:t>
            </w:r>
          </w:p>
          <w:p w14:paraId="3C09988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771" w:type="pct"/>
            <w:vAlign w:val="center"/>
          </w:tcPr>
          <w:p w14:paraId="361A2B36">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color w:val="FF0000"/>
                <w:sz w:val="24"/>
                <w:highlight w:val="yellow"/>
                <w:lang w:val="en-US"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62E8B7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 w:val="24"/>
                <w:szCs w:val="24"/>
                <w:highlight w:val="none"/>
              </w:rPr>
            </w:pPr>
          </w:p>
        </w:tc>
        <w:tc>
          <w:tcPr>
            <w:tcW w:w="570" w:type="pct"/>
          </w:tcPr>
          <w:p w14:paraId="16289215">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bl>
    <w:p w14:paraId="41688654">
      <w:pPr>
        <w:numPr>
          <w:ilvl w:val="0"/>
          <w:numId w:val="0"/>
        </w:numPr>
        <w:ind w:leftChars="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14:paraId="5751724A">
      <w:pPr>
        <w:numPr>
          <w:ilvl w:val="0"/>
          <w:numId w:val="0"/>
        </w:numPr>
        <w:ind w:leftChars="0" w:firstLine="480" w:firstLineChars="200"/>
        <w:jc w:val="both"/>
        <w:rPr>
          <w:rFonts w:hint="eastAsia" w:ascii="仿宋" w:hAnsi="仿宋" w:eastAsia="仿宋" w:cs="仿宋"/>
          <w:b/>
          <w:color w:val="FF0000"/>
          <w:sz w:val="24"/>
          <w:highlight w:val="yellow"/>
          <w:lang w:val="en-US" w:eastAsia="zh-CN"/>
        </w:rPr>
      </w:pPr>
      <w:r>
        <w:rPr>
          <w:rFonts w:hint="eastAsia" w:ascii="仿宋" w:hAnsi="仿宋" w:eastAsia="仿宋" w:cs="仿宋"/>
          <w:b/>
          <w:color w:val="FF0000"/>
          <w:sz w:val="24"/>
          <w:highlight w:val="yellow"/>
          <w:lang w:val="en-US" w:eastAsia="zh-CN"/>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6022D4F5">
      <w:pPr>
        <w:numPr>
          <w:ilvl w:val="0"/>
          <w:numId w:val="0"/>
        </w:numPr>
        <w:ind w:leftChars="0" w:firstLine="480" w:firstLineChars="200"/>
        <w:jc w:val="both"/>
        <w:rPr>
          <w:rFonts w:hint="eastAsia" w:ascii="仿宋" w:hAnsi="仿宋" w:eastAsia="仿宋" w:cs="仿宋"/>
          <w:b/>
          <w:sz w:val="24"/>
          <w:highlight w:val="none"/>
          <w:lang w:val="en-US" w:eastAsia="zh-CN"/>
        </w:rPr>
      </w:pPr>
      <w:r>
        <w:rPr>
          <w:rFonts w:hint="eastAsia" w:ascii="仿宋" w:hAnsi="仿宋" w:eastAsia="仿宋" w:cs="仿宋"/>
          <w:b/>
          <w:color w:val="FF0000"/>
          <w:sz w:val="24"/>
          <w:highlight w:val="yellow"/>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3F42779C">
      <w:pPr>
        <w:numPr>
          <w:ilvl w:val="0"/>
          <w:numId w:val="0"/>
        </w:numPr>
        <w:ind w:leftChars="0" w:firstLine="480"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14:paraId="198A51F8">
      <w:pPr>
        <w:numPr>
          <w:ilvl w:val="0"/>
          <w:numId w:val="0"/>
        </w:numPr>
        <w:ind w:leftChars="0" w:firstLine="480"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14:paraId="57869D42">
      <w:pPr>
        <w:numPr>
          <w:ilvl w:val="0"/>
          <w:numId w:val="0"/>
        </w:numPr>
        <w:ind w:leftChars="0" w:firstLine="480"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14:paraId="49E06553">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3756F61">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七、合同条款及格式</w:t>
      </w:r>
    </w:p>
    <w:p w14:paraId="57B038EE">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63BD9BD7">
      <w:pPr>
        <w:spacing w:line="360" w:lineRule="auto"/>
        <w:rPr>
          <w:rFonts w:hint="eastAsia" w:ascii="宋体" w:hAnsi="宋体" w:eastAsia="宋体" w:cs="宋体"/>
          <w:sz w:val="24"/>
          <w:szCs w:val="24"/>
        </w:rPr>
      </w:pPr>
      <w:r>
        <w:rPr>
          <w:rFonts w:hint="eastAsia" w:ascii="宋体" w:hAnsi="宋体" w:eastAsia="宋体" w:cs="宋体"/>
          <w:sz w:val="24"/>
          <w:szCs w:val="24"/>
        </w:rPr>
        <w:t>合同编号：</w:t>
      </w:r>
    </w:p>
    <w:p w14:paraId="3F36B652">
      <w:pPr>
        <w:jc w:val="center"/>
        <w:rPr>
          <w:rFonts w:hint="eastAsia" w:ascii="仿宋" w:hAnsi="仿宋" w:eastAsia="仿宋" w:cs="Times New Roman + SimSun"/>
          <w:b/>
          <w:sz w:val="52"/>
          <w:szCs w:val="52"/>
        </w:rPr>
      </w:pPr>
      <w:r>
        <w:rPr>
          <w:rFonts w:hint="eastAsia" w:cs="等线"/>
          <w:b/>
          <w:bCs/>
          <w:color w:val="2A2A2A"/>
          <w:sz w:val="52"/>
          <w:szCs w:val="52"/>
          <w:shd w:val="clear" w:color="auto" w:fill="FFFFFF"/>
        </w:rPr>
        <w:t>技术服务合同</w:t>
      </w:r>
    </w:p>
    <w:p w14:paraId="3DAB3939">
      <w:pPr>
        <w:jc w:val="center"/>
        <w:rPr>
          <w:rFonts w:hint="eastAsia" w:ascii="仿宋" w:hAnsi="仿宋" w:eastAsia="仿宋" w:cs="Times New Roman + SimSun"/>
          <w:b/>
          <w:sz w:val="52"/>
          <w:szCs w:val="52"/>
        </w:rPr>
      </w:pPr>
    </w:p>
    <w:tbl>
      <w:tblPr>
        <w:tblStyle w:val="20"/>
        <w:tblW w:w="8868" w:type="dxa"/>
        <w:jc w:val="center"/>
        <w:tblLayout w:type="autofit"/>
        <w:tblCellMar>
          <w:top w:w="0" w:type="dxa"/>
          <w:left w:w="108" w:type="dxa"/>
          <w:bottom w:w="0" w:type="dxa"/>
          <w:right w:w="108" w:type="dxa"/>
        </w:tblCellMar>
      </w:tblPr>
      <w:tblGrid>
        <w:gridCol w:w="2022"/>
        <w:gridCol w:w="6846"/>
      </w:tblGrid>
      <w:tr w14:paraId="10A30C3A">
        <w:tblPrEx>
          <w:tblCellMar>
            <w:top w:w="0" w:type="dxa"/>
            <w:left w:w="108" w:type="dxa"/>
            <w:bottom w:w="0" w:type="dxa"/>
            <w:right w:w="108" w:type="dxa"/>
          </w:tblCellMar>
        </w:tblPrEx>
        <w:trPr>
          <w:trHeight w:val="624" w:hRule="atLeast"/>
          <w:jc w:val="center"/>
        </w:trPr>
        <w:tc>
          <w:tcPr>
            <w:tcW w:w="2022" w:type="dxa"/>
            <w:noWrap w:val="0"/>
            <w:vAlign w:val="center"/>
          </w:tcPr>
          <w:p w14:paraId="2EC6B76A">
            <w:pPr>
              <w:keepNext w:val="0"/>
              <w:keepLines w:val="0"/>
              <w:suppressLineNumbers w:val="0"/>
              <w:spacing w:before="0" w:beforeAutospacing="0" w:after="0" w:afterAutospacing="0"/>
              <w:ind w:left="-105" w:leftChars="-50" w:right="-105" w:rightChars="-50"/>
              <w:jc w:val="left"/>
              <w:rPr>
                <w:rFonts w:hint="eastAsia" w:ascii="仿宋" w:hAnsi="仿宋" w:eastAsia="仿宋"/>
                <w:b/>
                <w:bCs/>
                <w:sz w:val="30"/>
                <w:szCs w:val="30"/>
              </w:rPr>
            </w:pPr>
            <w:r>
              <w:rPr>
                <w:rFonts w:hint="eastAsia" w:ascii="仿宋" w:hAnsi="仿宋" w:eastAsia="仿宋"/>
                <w:b/>
                <w:bCs/>
                <w:spacing w:val="50"/>
                <w:kern w:val="0"/>
                <w:sz w:val="30"/>
                <w:szCs w:val="30"/>
                <w:fitText w:val="1505" w:id="233401300"/>
              </w:rPr>
              <w:t>项目名</w:t>
            </w:r>
            <w:r>
              <w:rPr>
                <w:rFonts w:hint="eastAsia" w:ascii="仿宋" w:hAnsi="仿宋" w:eastAsia="仿宋"/>
                <w:b/>
                <w:bCs/>
                <w:spacing w:val="2"/>
                <w:kern w:val="0"/>
                <w:sz w:val="30"/>
                <w:szCs w:val="30"/>
                <w:fitText w:val="1505" w:id="233401300"/>
              </w:rPr>
              <w:t>称</w:t>
            </w:r>
            <w:r>
              <w:rPr>
                <w:rFonts w:hint="eastAsia" w:ascii="仿宋" w:hAnsi="仿宋" w:eastAsia="仿宋"/>
                <w:b/>
                <w:bCs/>
                <w:kern w:val="0"/>
                <w:sz w:val="30"/>
                <w:szCs w:val="30"/>
              </w:rPr>
              <w:t>：</w:t>
            </w:r>
          </w:p>
        </w:tc>
        <w:tc>
          <w:tcPr>
            <w:tcW w:w="6846" w:type="dxa"/>
            <w:tcBorders>
              <w:bottom w:val="single" w:color="auto" w:sz="4" w:space="0"/>
            </w:tcBorders>
            <w:noWrap w:val="0"/>
            <w:vAlign w:val="center"/>
          </w:tcPr>
          <w:p w14:paraId="7BF46096">
            <w:pPr>
              <w:keepNext w:val="0"/>
              <w:keepLines w:val="0"/>
              <w:suppressLineNumbers w:val="0"/>
              <w:spacing w:before="0" w:beforeAutospacing="0" w:after="0" w:afterAutospacing="0"/>
              <w:ind w:left="0" w:right="0"/>
              <w:rPr>
                <w:rFonts w:hint="default" w:ascii="仿宋" w:hAnsi="仿宋" w:eastAsia="仿宋" w:cs="Times New Roman + SimSun"/>
                <w:bCs/>
                <w:sz w:val="30"/>
                <w:szCs w:val="30"/>
                <w:lang w:val="en-US" w:eastAsia="zh-CN"/>
              </w:rPr>
            </w:pPr>
            <w:r>
              <w:rPr>
                <w:rFonts w:hint="eastAsia" w:ascii="仿宋" w:hAnsi="仿宋" w:eastAsia="仿宋" w:cs="Times New Roman + SimSun"/>
                <w:bCs/>
                <w:sz w:val="30"/>
                <w:szCs w:val="30"/>
              </w:rPr>
              <w:t>放射诊疗设备和工作场所防护年度检测</w:t>
            </w:r>
          </w:p>
        </w:tc>
      </w:tr>
      <w:tr w14:paraId="7D28A43E">
        <w:tblPrEx>
          <w:tblCellMar>
            <w:top w:w="0" w:type="dxa"/>
            <w:left w:w="108" w:type="dxa"/>
            <w:bottom w:w="0" w:type="dxa"/>
            <w:right w:w="108" w:type="dxa"/>
          </w:tblCellMar>
        </w:tblPrEx>
        <w:trPr>
          <w:trHeight w:val="624" w:hRule="atLeast"/>
          <w:jc w:val="center"/>
        </w:trPr>
        <w:tc>
          <w:tcPr>
            <w:tcW w:w="2022" w:type="dxa"/>
            <w:noWrap w:val="0"/>
            <w:vAlign w:val="center"/>
          </w:tcPr>
          <w:p w14:paraId="6E706B12">
            <w:pPr>
              <w:keepNext w:val="0"/>
              <w:keepLines w:val="0"/>
              <w:suppressLineNumbers w:val="0"/>
              <w:spacing w:before="0" w:beforeAutospacing="0" w:after="0" w:afterAutospacing="0"/>
              <w:ind w:left="-105" w:leftChars="-50" w:right="-105" w:rightChars="-50"/>
              <w:jc w:val="left"/>
              <w:rPr>
                <w:rFonts w:hint="eastAsia" w:ascii="仿宋" w:hAnsi="仿宋" w:eastAsia="仿宋"/>
                <w:b/>
                <w:bCs/>
                <w:sz w:val="30"/>
                <w:szCs w:val="30"/>
              </w:rPr>
            </w:pPr>
            <w:r>
              <w:rPr>
                <w:rFonts w:hint="eastAsia" w:ascii="仿宋" w:hAnsi="仿宋" w:eastAsia="仿宋"/>
                <w:b/>
                <w:bCs/>
                <w:spacing w:val="50"/>
                <w:kern w:val="0"/>
                <w:sz w:val="30"/>
                <w:szCs w:val="30"/>
                <w:fitText w:val="1505" w:id="1596285390"/>
              </w:rPr>
              <w:t>项目编</w:t>
            </w:r>
            <w:r>
              <w:rPr>
                <w:rFonts w:hint="eastAsia" w:ascii="仿宋" w:hAnsi="仿宋" w:eastAsia="仿宋"/>
                <w:b/>
                <w:bCs/>
                <w:spacing w:val="2"/>
                <w:kern w:val="0"/>
                <w:sz w:val="30"/>
                <w:szCs w:val="30"/>
                <w:fitText w:val="1505" w:id="1596285390"/>
              </w:rPr>
              <w:t>号</w:t>
            </w:r>
            <w:r>
              <w:rPr>
                <w:rFonts w:hint="eastAsia" w:ascii="仿宋" w:hAnsi="仿宋" w:eastAsia="仿宋"/>
                <w:b/>
                <w:bCs/>
                <w:sz w:val="30"/>
                <w:szCs w:val="30"/>
              </w:rPr>
              <w:t>：</w:t>
            </w:r>
          </w:p>
        </w:tc>
        <w:tc>
          <w:tcPr>
            <w:tcW w:w="6846" w:type="dxa"/>
            <w:tcBorders>
              <w:bottom w:val="single" w:color="auto" w:sz="4" w:space="0"/>
            </w:tcBorders>
            <w:noWrap w:val="0"/>
            <w:vAlign w:val="center"/>
          </w:tcPr>
          <w:p w14:paraId="7170F92A">
            <w:pPr>
              <w:keepNext w:val="0"/>
              <w:keepLines w:val="0"/>
              <w:suppressLineNumbers w:val="0"/>
              <w:spacing w:before="0" w:beforeAutospacing="0" w:after="0" w:afterAutospacing="0"/>
              <w:ind w:left="0" w:right="0"/>
              <w:rPr>
                <w:rFonts w:hint="eastAsia" w:ascii="仿宋" w:hAnsi="仿宋" w:eastAsia="仿宋" w:cs="Times New Roman + SimSun"/>
                <w:bCs/>
                <w:sz w:val="30"/>
                <w:szCs w:val="30"/>
              </w:rPr>
            </w:pPr>
          </w:p>
        </w:tc>
      </w:tr>
      <w:tr w14:paraId="65503D86">
        <w:tblPrEx>
          <w:tblCellMar>
            <w:top w:w="0" w:type="dxa"/>
            <w:left w:w="108" w:type="dxa"/>
            <w:bottom w:w="0" w:type="dxa"/>
            <w:right w:w="108" w:type="dxa"/>
          </w:tblCellMar>
        </w:tblPrEx>
        <w:trPr>
          <w:trHeight w:val="624" w:hRule="atLeast"/>
          <w:jc w:val="center"/>
        </w:trPr>
        <w:tc>
          <w:tcPr>
            <w:tcW w:w="2022" w:type="dxa"/>
            <w:noWrap w:val="0"/>
            <w:vAlign w:val="center"/>
          </w:tcPr>
          <w:p w14:paraId="6FD0B312">
            <w:pPr>
              <w:keepNext w:val="0"/>
              <w:keepLines w:val="0"/>
              <w:suppressLineNumbers w:val="0"/>
              <w:spacing w:before="0" w:beforeAutospacing="0" w:after="0" w:afterAutospacing="0"/>
              <w:ind w:left="-105" w:leftChars="-50" w:right="-105" w:rightChars="-50"/>
              <w:jc w:val="left"/>
              <w:rPr>
                <w:rFonts w:hint="eastAsia" w:ascii="仿宋" w:hAnsi="仿宋" w:eastAsia="仿宋"/>
                <w:b/>
                <w:bCs/>
                <w:sz w:val="30"/>
                <w:szCs w:val="30"/>
              </w:rPr>
            </w:pPr>
            <w:r>
              <w:rPr>
                <w:rFonts w:hint="eastAsia" w:ascii="仿宋" w:hAnsi="仿宋" w:eastAsia="仿宋"/>
                <w:b/>
                <w:bCs/>
                <w:spacing w:val="50"/>
                <w:kern w:val="0"/>
                <w:sz w:val="30"/>
                <w:szCs w:val="30"/>
                <w:fitText w:val="1505" w:id="1494238653"/>
              </w:rPr>
              <w:t>项目类</w:t>
            </w:r>
            <w:r>
              <w:rPr>
                <w:rFonts w:hint="eastAsia" w:ascii="仿宋" w:hAnsi="仿宋" w:eastAsia="仿宋"/>
                <w:b/>
                <w:bCs/>
                <w:spacing w:val="2"/>
                <w:kern w:val="0"/>
                <w:sz w:val="30"/>
                <w:szCs w:val="30"/>
                <w:fitText w:val="1505" w:id="1494238653"/>
              </w:rPr>
              <w:t>型</w:t>
            </w:r>
            <w:r>
              <w:rPr>
                <w:rFonts w:hint="eastAsia" w:ascii="仿宋" w:hAnsi="仿宋" w:eastAsia="仿宋"/>
                <w:b/>
                <w:bCs/>
                <w:kern w:val="0"/>
                <w:sz w:val="30"/>
                <w:szCs w:val="30"/>
              </w:rPr>
              <w:t>：</w:t>
            </w:r>
          </w:p>
        </w:tc>
        <w:tc>
          <w:tcPr>
            <w:tcW w:w="6846" w:type="dxa"/>
            <w:tcBorders>
              <w:bottom w:val="single" w:color="auto" w:sz="4" w:space="0"/>
            </w:tcBorders>
            <w:noWrap w:val="0"/>
            <w:vAlign w:val="center"/>
          </w:tcPr>
          <w:p w14:paraId="484166BB">
            <w:pPr>
              <w:keepNext w:val="0"/>
              <w:keepLines w:val="0"/>
              <w:suppressLineNumbers w:val="0"/>
              <w:spacing w:before="0" w:beforeAutospacing="0" w:after="0" w:afterAutospacing="0"/>
              <w:ind w:left="0" w:right="0"/>
              <w:rPr>
                <w:rFonts w:hint="eastAsia" w:ascii="仿宋" w:hAnsi="仿宋" w:eastAsia="仿宋" w:cs="Times New Roman + SimSun"/>
                <w:bCs/>
                <w:sz w:val="30"/>
                <w:szCs w:val="30"/>
              </w:rPr>
            </w:pPr>
          </w:p>
        </w:tc>
      </w:tr>
      <w:tr w14:paraId="309627EB">
        <w:tblPrEx>
          <w:tblCellMar>
            <w:top w:w="0" w:type="dxa"/>
            <w:left w:w="108" w:type="dxa"/>
            <w:bottom w:w="0" w:type="dxa"/>
            <w:right w:w="108" w:type="dxa"/>
          </w:tblCellMar>
        </w:tblPrEx>
        <w:trPr>
          <w:trHeight w:val="624" w:hRule="atLeast"/>
          <w:jc w:val="center"/>
        </w:trPr>
        <w:tc>
          <w:tcPr>
            <w:tcW w:w="2022" w:type="dxa"/>
            <w:noWrap w:val="0"/>
            <w:vAlign w:val="center"/>
          </w:tcPr>
          <w:p w14:paraId="5139B196">
            <w:pPr>
              <w:keepNext w:val="0"/>
              <w:keepLines w:val="0"/>
              <w:suppressLineNumbers w:val="0"/>
              <w:spacing w:before="0" w:beforeAutospacing="0" w:after="0" w:afterAutospacing="0"/>
              <w:ind w:left="-105" w:leftChars="-50" w:right="-105" w:rightChars="-50"/>
              <w:rPr>
                <w:rFonts w:hint="eastAsia" w:ascii="仿宋" w:hAnsi="仿宋" w:eastAsia="仿宋" w:cs="Times New Roman + SimSun"/>
                <w:b/>
                <w:sz w:val="30"/>
                <w:szCs w:val="30"/>
              </w:rPr>
            </w:pPr>
            <w:r>
              <w:rPr>
                <w:rFonts w:hint="eastAsia" w:ascii="仿宋" w:hAnsi="仿宋" w:eastAsia="仿宋"/>
                <w:b/>
                <w:bCs/>
                <w:spacing w:val="50"/>
                <w:kern w:val="0"/>
                <w:sz w:val="30"/>
                <w:szCs w:val="30"/>
                <w:fitText w:val="1505" w:id="2116772081"/>
              </w:rPr>
              <w:t>签订地</w:t>
            </w:r>
            <w:r>
              <w:rPr>
                <w:rFonts w:hint="eastAsia" w:ascii="仿宋" w:hAnsi="仿宋" w:eastAsia="仿宋"/>
                <w:b/>
                <w:bCs/>
                <w:spacing w:val="2"/>
                <w:kern w:val="0"/>
                <w:sz w:val="30"/>
                <w:szCs w:val="30"/>
                <w:fitText w:val="1505" w:id="2116772081"/>
              </w:rPr>
              <w:t>点</w:t>
            </w:r>
            <w:r>
              <w:rPr>
                <w:rFonts w:hint="eastAsia" w:ascii="仿宋" w:hAnsi="仿宋" w:eastAsia="仿宋"/>
                <w:b/>
                <w:bCs/>
                <w:kern w:val="0"/>
                <w:sz w:val="30"/>
                <w:szCs w:val="30"/>
              </w:rPr>
              <w:t>：</w:t>
            </w:r>
          </w:p>
        </w:tc>
        <w:tc>
          <w:tcPr>
            <w:tcW w:w="6846" w:type="dxa"/>
            <w:tcBorders>
              <w:top w:val="single" w:color="auto" w:sz="4" w:space="0"/>
              <w:bottom w:val="single" w:color="auto" w:sz="4" w:space="0"/>
            </w:tcBorders>
            <w:noWrap w:val="0"/>
            <w:vAlign w:val="center"/>
          </w:tcPr>
          <w:p w14:paraId="549C757E">
            <w:pPr>
              <w:keepNext w:val="0"/>
              <w:keepLines w:val="0"/>
              <w:suppressLineNumbers w:val="0"/>
              <w:spacing w:before="0" w:beforeAutospacing="0" w:after="0" w:afterAutospacing="0"/>
              <w:ind w:left="0" w:right="0"/>
              <w:rPr>
                <w:rFonts w:hint="eastAsia" w:ascii="仿宋" w:hAnsi="仿宋" w:eastAsia="仿宋" w:cs="Times New Roman + SimSun"/>
                <w:bCs/>
                <w:sz w:val="30"/>
                <w:szCs w:val="30"/>
              </w:rPr>
            </w:pPr>
            <w:r>
              <w:rPr>
                <w:rFonts w:hint="default" w:ascii="仿宋" w:hAnsi="仿宋" w:eastAsia="仿宋" w:cs="Times New Roman + SimSun"/>
                <w:bCs/>
                <w:sz w:val="30"/>
                <w:szCs w:val="30"/>
              </w:rPr>
              <w:t>广东</w:t>
            </w:r>
            <w:r>
              <w:rPr>
                <w:rFonts w:hint="eastAsia" w:ascii="仿宋" w:hAnsi="仿宋" w:eastAsia="仿宋" w:cs="Times New Roman + SimSun"/>
                <w:bCs/>
                <w:sz w:val="30"/>
                <w:szCs w:val="30"/>
              </w:rPr>
              <w:t>深圳</w:t>
            </w:r>
          </w:p>
        </w:tc>
      </w:tr>
      <w:tr w14:paraId="43C634E2">
        <w:tblPrEx>
          <w:tblCellMar>
            <w:top w:w="0" w:type="dxa"/>
            <w:left w:w="108" w:type="dxa"/>
            <w:bottom w:w="0" w:type="dxa"/>
            <w:right w:w="108" w:type="dxa"/>
          </w:tblCellMar>
        </w:tblPrEx>
        <w:trPr>
          <w:trHeight w:val="624" w:hRule="atLeast"/>
          <w:jc w:val="center"/>
        </w:trPr>
        <w:tc>
          <w:tcPr>
            <w:tcW w:w="2022" w:type="dxa"/>
            <w:noWrap w:val="0"/>
            <w:vAlign w:val="center"/>
          </w:tcPr>
          <w:p w14:paraId="3956B8DA">
            <w:pPr>
              <w:keepNext w:val="0"/>
              <w:keepLines w:val="0"/>
              <w:suppressLineNumbers w:val="0"/>
              <w:spacing w:before="0" w:beforeAutospacing="0" w:after="0" w:afterAutospacing="0"/>
              <w:ind w:left="-105" w:leftChars="-50" w:right="-105" w:rightChars="-50"/>
              <w:rPr>
                <w:rFonts w:hint="eastAsia" w:ascii="仿宋" w:hAnsi="仿宋" w:eastAsia="仿宋" w:cs="Times New Roman + SimSun"/>
                <w:b/>
                <w:sz w:val="30"/>
                <w:szCs w:val="30"/>
              </w:rPr>
            </w:pPr>
            <w:r>
              <w:rPr>
                <w:rFonts w:hint="eastAsia" w:ascii="仿宋" w:hAnsi="仿宋" w:eastAsia="仿宋" w:cs="Times New Roman + SimSun"/>
                <w:b/>
                <w:spacing w:val="0"/>
                <w:w w:val="100"/>
                <w:kern w:val="0"/>
                <w:sz w:val="30"/>
                <w:szCs w:val="30"/>
                <w:fitText w:val="1500" w:id="15816856"/>
              </w:rPr>
              <w:t>合同有效期</w:t>
            </w:r>
            <w:r>
              <w:rPr>
                <w:rFonts w:hint="eastAsia" w:ascii="仿宋" w:hAnsi="仿宋" w:eastAsia="仿宋" w:cs="Times New Roman + SimSun"/>
                <w:b/>
                <w:sz w:val="30"/>
                <w:szCs w:val="30"/>
              </w:rPr>
              <w:t>：</w:t>
            </w:r>
          </w:p>
        </w:tc>
        <w:tc>
          <w:tcPr>
            <w:tcW w:w="6846" w:type="dxa"/>
            <w:tcBorders>
              <w:top w:val="single" w:color="auto" w:sz="4" w:space="0"/>
              <w:bottom w:val="single" w:color="auto" w:sz="4" w:space="0"/>
            </w:tcBorders>
            <w:noWrap w:val="0"/>
            <w:vAlign w:val="center"/>
          </w:tcPr>
          <w:p w14:paraId="10D8DCE9">
            <w:pPr>
              <w:keepNext w:val="0"/>
              <w:keepLines w:val="0"/>
              <w:suppressLineNumbers w:val="0"/>
              <w:spacing w:before="0" w:beforeAutospacing="0" w:after="0" w:afterAutospacing="0"/>
              <w:ind w:left="0" w:right="0"/>
              <w:rPr>
                <w:rFonts w:hint="eastAsia" w:ascii="仿宋" w:hAnsi="仿宋" w:eastAsia="仿宋" w:cs="Times New Roman + SimSun"/>
                <w:bCs/>
                <w:sz w:val="30"/>
                <w:szCs w:val="30"/>
              </w:rPr>
            </w:pPr>
            <w:r>
              <w:rPr>
                <w:rFonts w:hint="eastAsia" w:ascii="仿宋" w:hAnsi="仿宋" w:eastAsia="仿宋" w:cs="Times New Roman + SimSun"/>
                <w:bCs/>
                <w:sz w:val="30"/>
                <w:szCs w:val="30"/>
              </w:rPr>
              <w:t>XX年XX月XX日至XX年XX月XX日</w:t>
            </w:r>
          </w:p>
        </w:tc>
      </w:tr>
    </w:tbl>
    <w:p w14:paraId="6CBDC7E3">
      <w:pPr>
        <w:jc w:val="center"/>
        <w:rPr>
          <w:rFonts w:hint="eastAsia" w:ascii="仿宋" w:hAnsi="仿宋" w:eastAsia="仿宋" w:cs="Times New Roman + SimSun"/>
          <w:b/>
          <w:sz w:val="52"/>
          <w:szCs w:val="52"/>
        </w:rPr>
      </w:pPr>
    </w:p>
    <w:p w14:paraId="4F3EF6FF">
      <w:pPr>
        <w:jc w:val="center"/>
        <w:rPr>
          <w:rFonts w:hint="eastAsia" w:ascii="仿宋" w:hAnsi="仿宋" w:eastAsia="仿宋" w:cs="Times New Roman + SimSun"/>
          <w:b/>
          <w:sz w:val="52"/>
          <w:szCs w:val="52"/>
        </w:rPr>
      </w:pPr>
    </w:p>
    <w:tbl>
      <w:tblPr>
        <w:tblStyle w:val="20"/>
        <w:tblW w:w="8866" w:type="dxa"/>
        <w:jc w:val="center"/>
        <w:tblLayout w:type="fixed"/>
        <w:tblCellMar>
          <w:top w:w="0" w:type="dxa"/>
          <w:left w:w="108" w:type="dxa"/>
          <w:bottom w:w="0" w:type="dxa"/>
          <w:right w:w="108" w:type="dxa"/>
        </w:tblCellMar>
      </w:tblPr>
      <w:tblGrid>
        <w:gridCol w:w="4819"/>
        <w:gridCol w:w="4047"/>
      </w:tblGrid>
      <w:tr w14:paraId="70881FCE">
        <w:tblPrEx>
          <w:tblCellMar>
            <w:top w:w="0" w:type="dxa"/>
            <w:left w:w="108" w:type="dxa"/>
            <w:bottom w:w="0" w:type="dxa"/>
            <w:right w:w="108" w:type="dxa"/>
          </w:tblCellMar>
        </w:tblPrEx>
        <w:trPr>
          <w:trHeight w:val="1200" w:hRule="atLeast"/>
          <w:jc w:val="center"/>
        </w:trPr>
        <w:tc>
          <w:tcPr>
            <w:tcW w:w="4819" w:type="dxa"/>
            <w:noWrap w:val="0"/>
            <w:vAlign w:val="bottom"/>
          </w:tcPr>
          <w:p w14:paraId="722DF354">
            <w:pPr>
              <w:keepNext w:val="0"/>
              <w:keepLines w:val="0"/>
              <w:suppressLineNumbers w:val="0"/>
              <w:spacing w:before="0" w:beforeAutospacing="0" w:after="0" w:afterAutospacing="0" w:line="360" w:lineRule="auto"/>
              <w:ind w:left="0" w:right="0"/>
              <w:rPr>
                <w:rFonts w:hint="eastAsia" w:ascii="仿宋" w:hAnsi="仿宋" w:eastAsia="仿宋" w:cs="Times New Roman + SimSun"/>
                <w:b/>
                <w:bCs/>
                <w:sz w:val="28"/>
                <w:szCs w:val="28"/>
              </w:rPr>
            </w:pPr>
            <w:r>
              <w:rPr>
                <w:rFonts w:hint="eastAsia" w:ascii="仿宋" w:hAnsi="仿宋" w:eastAsia="仿宋" w:cs="Times New Roman + SimSun"/>
                <w:b/>
                <w:bCs/>
                <w:sz w:val="28"/>
                <w:szCs w:val="28"/>
              </w:rPr>
              <w:t>委托方（甲方）：</w:t>
            </w:r>
          </w:p>
          <w:p w14:paraId="68DACA2C">
            <w:pPr>
              <w:keepNext w:val="0"/>
              <w:keepLines w:val="0"/>
              <w:suppressLineNumbers w:val="0"/>
              <w:spacing w:before="0" w:beforeAutospacing="0" w:after="0" w:afterAutospacing="0" w:line="360" w:lineRule="auto"/>
              <w:ind w:left="0" w:right="0"/>
              <w:rPr>
                <w:rFonts w:hint="eastAsia" w:ascii="仿宋" w:hAnsi="仿宋" w:eastAsia="仿宋" w:cs="Times New Roman + SimSun"/>
                <w:szCs w:val="24"/>
                <w:u w:val="single"/>
              </w:rPr>
            </w:pPr>
            <w:r>
              <w:rPr>
                <w:rFonts w:hint="eastAsia" w:ascii="仿宋" w:hAnsi="仿宋" w:eastAsia="仿宋" w:cs="Times New Roman + SimSun"/>
                <w:szCs w:val="24"/>
                <w:u w:val="single"/>
                <w:lang w:val="en-US" w:eastAsia="zh-CN"/>
              </w:rPr>
              <w:t>深圳市龙岗中心医院</w:t>
            </w:r>
          </w:p>
          <w:p w14:paraId="52D49FA3">
            <w:pPr>
              <w:keepNext w:val="0"/>
              <w:keepLines w:val="0"/>
              <w:suppressLineNumbers w:val="0"/>
              <w:tabs>
                <w:tab w:val="left" w:pos="891"/>
              </w:tabs>
              <w:spacing w:before="0" w:beforeAutospacing="0" w:after="0" w:afterAutospacing="0" w:line="360" w:lineRule="auto"/>
              <w:ind w:left="0" w:right="0"/>
              <w:rPr>
                <w:rFonts w:hint="eastAsia" w:ascii="仿宋" w:hAnsi="仿宋" w:eastAsia="仿宋" w:cs="Times New Roman + SimSun"/>
                <w:b/>
                <w:bCs/>
                <w:sz w:val="28"/>
                <w:szCs w:val="28"/>
              </w:rPr>
            </w:pPr>
            <w:r>
              <w:rPr>
                <w:rFonts w:hint="eastAsia" w:ascii="仿宋" w:hAnsi="仿宋" w:eastAsia="仿宋" w:cs="Times New Roman + SimSun"/>
                <w:bCs/>
              </w:rPr>
              <w:t>（公章）</w:t>
            </w:r>
          </w:p>
        </w:tc>
        <w:tc>
          <w:tcPr>
            <w:tcW w:w="4047" w:type="dxa"/>
            <w:noWrap w:val="0"/>
            <w:vAlign w:val="bottom"/>
          </w:tcPr>
          <w:p w14:paraId="137EA4EA">
            <w:pPr>
              <w:keepNext w:val="0"/>
              <w:keepLines w:val="0"/>
              <w:suppressLineNumbers w:val="0"/>
              <w:spacing w:before="0" w:beforeAutospacing="0" w:after="0" w:afterAutospacing="0" w:line="360" w:lineRule="auto"/>
              <w:ind w:left="0" w:right="0"/>
              <w:rPr>
                <w:rFonts w:hint="eastAsia" w:ascii="仿宋" w:hAnsi="仿宋" w:eastAsia="仿宋" w:cs="Times New Roman + SimSun"/>
                <w:b/>
                <w:bCs/>
                <w:sz w:val="28"/>
                <w:szCs w:val="28"/>
              </w:rPr>
            </w:pPr>
            <w:r>
              <w:rPr>
                <w:rFonts w:hint="eastAsia" w:ascii="仿宋" w:hAnsi="仿宋" w:eastAsia="仿宋" w:cs="Times New Roman + SimSun"/>
                <w:b/>
                <w:bCs/>
                <w:sz w:val="28"/>
                <w:szCs w:val="28"/>
              </w:rPr>
              <w:t>受托方（乙方）：</w:t>
            </w:r>
          </w:p>
          <w:p w14:paraId="5EE7875E">
            <w:pPr>
              <w:keepNext w:val="0"/>
              <w:keepLines w:val="0"/>
              <w:suppressLineNumbers w:val="0"/>
              <w:tabs>
                <w:tab w:val="left" w:pos="891"/>
              </w:tabs>
              <w:spacing w:before="0" w:beforeAutospacing="0" w:after="0" w:afterAutospacing="0" w:line="360" w:lineRule="auto"/>
              <w:ind w:left="0" w:right="0"/>
              <w:rPr>
                <w:rFonts w:hint="eastAsia" w:ascii="仿宋" w:hAnsi="仿宋" w:eastAsia="仿宋" w:cs="Times New Roman + SimSun"/>
                <w:bCs/>
                <w:u w:val="single"/>
              </w:rPr>
            </w:pPr>
            <w:r>
              <w:rPr>
                <w:rFonts w:hint="eastAsia" w:ascii="仿宋" w:hAnsi="仿宋" w:eastAsia="仿宋" w:cs="Times New Roman + SimSun"/>
                <w:bCs/>
                <w:u w:val="single"/>
              </w:rPr>
              <w:t>XX</w:t>
            </w:r>
          </w:p>
          <w:p w14:paraId="0981FB19">
            <w:pPr>
              <w:keepNext w:val="0"/>
              <w:keepLines w:val="0"/>
              <w:suppressLineNumbers w:val="0"/>
              <w:spacing w:before="0" w:beforeAutospacing="0" w:after="0" w:afterAutospacing="0" w:line="360" w:lineRule="auto"/>
              <w:ind w:left="0" w:right="0"/>
              <w:rPr>
                <w:rFonts w:hint="eastAsia" w:ascii="仿宋" w:hAnsi="仿宋" w:eastAsia="仿宋" w:cs="Times New Roman + SimSun"/>
                <w:b/>
                <w:bCs/>
                <w:sz w:val="28"/>
                <w:szCs w:val="28"/>
              </w:rPr>
            </w:pPr>
            <w:r>
              <w:rPr>
                <w:rFonts w:hint="eastAsia" w:ascii="仿宋" w:hAnsi="仿宋" w:eastAsia="仿宋" w:cs="Times New Roman + SimSun"/>
                <w:bCs/>
              </w:rPr>
              <w:t>（公章）</w:t>
            </w:r>
          </w:p>
        </w:tc>
      </w:tr>
      <w:tr w14:paraId="4C9BF7D3">
        <w:tblPrEx>
          <w:tblCellMar>
            <w:top w:w="0" w:type="dxa"/>
            <w:left w:w="108" w:type="dxa"/>
            <w:bottom w:w="0" w:type="dxa"/>
            <w:right w:w="108" w:type="dxa"/>
          </w:tblCellMar>
        </w:tblPrEx>
        <w:trPr>
          <w:trHeight w:val="1798" w:hRule="atLeast"/>
          <w:jc w:val="center"/>
        </w:trPr>
        <w:tc>
          <w:tcPr>
            <w:tcW w:w="4819" w:type="dxa"/>
            <w:noWrap w:val="0"/>
            <w:vAlign w:val="center"/>
          </w:tcPr>
          <w:p w14:paraId="2B35816B">
            <w:pPr>
              <w:keepNext w:val="0"/>
              <w:keepLines w:val="0"/>
              <w:suppressLineNumbers w:val="0"/>
              <w:tabs>
                <w:tab w:val="left" w:pos="3840"/>
                <w:tab w:val="left" w:pos="4080"/>
              </w:tabs>
              <w:spacing w:before="0" w:beforeAutospacing="0" w:after="0" w:afterAutospacing="0" w:line="400" w:lineRule="exact"/>
              <w:ind w:left="0" w:right="0"/>
              <w:rPr>
                <w:rFonts w:hint="eastAsia" w:ascii="仿宋" w:hAnsi="仿宋" w:eastAsia="仿宋" w:cs="Times New Roman + SimSun"/>
                <w:bCs/>
                <w:u w:val="single"/>
              </w:rPr>
            </w:pPr>
            <w:r>
              <w:rPr>
                <w:rFonts w:hint="eastAsia" w:ascii="仿宋" w:hAnsi="仿宋" w:eastAsia="仿宋" w:cs="Times New Roman + SimSun"/>
                <w:bCs/>
              </w:rPr>
              <w:t>代表人签字：</w:t>
            </w:r>
          </w:p>
          <w:p w14:paraId="1B79DCA3">
            <w:pPr>
              <w:keepNext w:val="0"/>
              <w:keepLines w:val="0"/>
              <w:suppressLineNumbers w:val="0"/>
              <w:spacing w:before="0" w:beforeAutospacing="0" w:after="0" w:afterAutospacing="0" w:line="400" w:lineRule="exact"/>
              <w:ind w:left="0" w:right="0" w:firstLine="420" w:firstLineChars="200"/>
              <w:rPr>
                <w:rFonts w:hint="eastAsia" w:ascii="仿宋" w:hAnsi="仿宋" w:eastAsia="仿宋" w:cs="Times New Roman + SimSun"/>
                <w:bCs/>
              </w:rPr>
            </w:pPr>
          </w:p>
          <w:p w14:paraId="5816C812">
            <w:pPr>
              <w:keepNext w:val="0"/>
              <w:keepLines w:val="0"/>
              <w:suppressLineNumbers w:val="0"/>
              <w:spacing w:before="0" w:beforeAutospacing="0" w:after="0" w:afterAutospacing="0" w:line="400" w:lineRule="exact"/>
              <w:ind w:left="0" w:right="0"/>
              <w:rPr>
                <w:rFonts w:hint="eastAsia" w:ascii="仿宋" w:hAnsi="仿宋" w:eastAsia="仿宋" w:cs="Times New Roman + SimSun"/>
                <w:sz w:val="30"/>
                <w:szCs w:val="30"/>
              </w:rPr>
            </w:pPr>
            <w:r>
              <w:rPr>
                <w:rFonts w:hint="eastAsia" w:ascii="仿宋" w:hAnsi="仿宋" w:eastAsia="仿宋" w:cs="Times New Roman + SimSun"/>
                <w:bCs/>
              </w:rPr>
              <w:t>日期：</w:t>
            </w:r>
          </w:p>
        </w:tc>
        <w:tc>
          <w:tcPr>
            <w:tcW w:w="4047" w:type="dxa"/>
            <w:noWrap w:val="0"/>
            <w:vAlign w:val="center"/>
          </w:tcPr>
          <w:p w14:paraId="2B6E2001">
            <w:pPr>
              <w:keepNext w:val="0"/>
              <w:keepLines w:val="0"/>
              <w:suppressLineNumbers w:val="0"/>
              <w:tabs>
                <w:tab w:val="left" w:pos="3840"/>
                <w:tab w:val="left" w:pos="4080"/>
              </w:tabs>
              <w:spacing w:before="0" w:beforeAutospacing="0" w:after="0" w:afterAutospacing="0" w:line="400" w:lineRule="exact"/>
              <w:ind w:left="0" w:right="0"/>
              <w:rPr>
                <w:rFonts w:hint="eastAsia" w:ascii="仿宋" w:hAnsi="仿宋" w:eastAsia="仿宋" w:cs="Times New Roman + SimSun"/>
                <w:bCs/>
                <w:u w:val="single"/>
              </w:rPr>
            </w:pPr>
            <w:r>
              <w:rPr>
                <w:rFonts w:hint="eastAsia" w:ascii="仿宋" w:hAnsi="仿宋" w:eastAsia="仿宋" w:cs="Times New Roman + SimSun"/>
                <w:bCs/>
              </w:rPr>
              <w:t>代表人签字：</w:t>
            </w:r>
          </w:p>
          <w:p w14:paraId="25BEFD2C">
            <w:pPr>
              <w:keepNext w:val="0"/>
              <w:keepLines w:val="0"/>
              <w:suppressLineNumbers w:val="0"/>
              <w:spacing w:before="0" w:beforeAutospacing="0" w:after="0" w:afterAutospacing="0" w:line="400" w:lineRule="exact"/>
              <w:ind w:left="0" w:right="0" w:firstLine="420" w:firstLineChars="200"/>
              <w:rPr>
                <w:rFonts w:hint="eastAsia" w:ascii="仿宋" w:hAnsi="仿宋" w:eastAsia="仿宋" w:cs="Times New Roman + SimSun"/>
                <w:bCs/>
              </w:rPr>
            </w:pPr>
          </w:p>
          <w:p w14:paraId="765F2E1D">
            <w:pPr>
              <w:keepNext w:val="0"/>
              <w:keepLines w:val="0"/>
              <w:suppressLineNumbers w:val="0"/>
              <w:spacing w:before="0" w:beforeAutospacing="0" w:after="0" w:afterAutospacing="0" w:line="400" w:lineRule="exact"/>
              <w:ind w:left="0" w:right="0"/>
              <w:rPr>
                <w:rFonts w:hint="eastAsia" w:ascii="仿宋" w:hAnsi="仿宋" w:eastAsia="仿宋" w:cs="Times New Roman + SimSun"/>
                <w:sz w:val="30"/>
                <w:szCs w:val="30"/>
              </w:rPr>
            </w:pPr>
            <w:r>
              <w:rPr>
                <w:rFonts w:hint="eastAsia" w:ascii="仿宋" w:hAnsi="仿宋" w:eastAsia="仿宋" w:cs="Times New Roman + SimSun"/>
                <w:bCs/>
              </w:rPr>
              <w:t>日期：</w:t>
            </w:r>
          </w:p>
        </w:tc>
      </w:tr>
    </w:tbl>
    <w:p w14:paraId="707A0662">
      <w:pPr>
        <w:spacing w:line="400" w:lineRule="exact"/>
        <w:ind w:right="964"/>
        <w:jc w:val="center"/>
        <w:rPr>
          <w:rFonts w:hint="eastAsia" w:ascii="宋体" w:hAnsi="宋体"/>
          <w:b/>
          <w:color w:val="000000"/>
          <w:kern w:val="0"/>
          <w:sz w:val="24"/>
        </w:rPr>
        <w:sectPr>
          <w:footerReference r:id="rId12" w:type="first"/>
          <w:footerReference r:id="rId11" w:type="default"/>
          <w:pgSz w:w="11906" w:h="16838"/>
          <w:pgMar w:top="1134" w:right="1418" w:bottom="1134" w:left="1418" w:header="851" w:footer="992" w:gutter="0"/>
          <w:pgNumType w:fmt="decimal"/>
          <w:cols w:space="720" w:num="1"/>
          <w:titlePg/>
          <w:docGrid w:type="linesAndChars" w:linePitch="312" w:charSpace="0"/>
        </w:sectPr>
      </w:pP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804"/>
      </w:tblGrid>
      <w:tr w14:paraId="7BC2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5" w:type="dxa"/>
            <w:gridSpan w:val="2"/>
            <w:noWrap w:val="0"/>
            <w:vAlign w:val="center"/>
          </w:tcPr>
          <w:p w14:paraId="3AFC3ED3">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Times New Roman + SimSun"/>
                <w:b/>
                <w:bCs/>
                <w:color w:val="000000"/>
                <w:sz w:val="24"/>
                <w:szCs w:val="32"/>
              </w:rPr>
            </w:pPr>
            <w:r>
              <w:rPr>
                <w:rFonts w:hint="eastAsia" w:ascii="仿宋" w:hAnsi="仿宋" w:eastAsia="仿宋" w:cs="Times New Roman + SimSun"/>
                <w:b/>
                <w:bCs/>
                <w:color w:val="000000"/>
                <w:sz w:val="24"/>
                <w:szCs w:val="32"/>
              </w:rPr>
              <w:t>委托</w:t>
            </w:r>
            <w:r>
              <w:rPr>
                <w:rFonts w:hint="default" w:ascii="仿宋" w:hAnsi="仿宋" w:eastAsia="仿宋" w:cs="Times New Roman + SimSun"/>
                <w:b/>
                <w:bCs/>
                <w:color w:val="000000"/>
                <w:sz w:val="24"/>
                <w:szCs w:val="32"/>
              </w:rPr>
              <w:t>方（</w:t>
            </w:r>
            <w:r>
              <w:rPr>
                <w:rFonts w:hint="eastAsia" w:ascii="仿宋" w:hAnsi="仿宋" w:eastAsia="仿宋" w:cs="Times New Roman + SimSun"/>
                <w:b/>
                <w:bCs/>
                <w:color w:val="000000"/>
                <w:sz w:val="24"/>
                <w:szCs w:val="32"/>
              </w:rPr>
              <w:t>甲</w:t>
            </w:r>
            <w:r>
              <w:rPr>
                <w:rFonts w:hint="default" w:ascii="仿宋" w:hAnsi="仿宋" w:eastAsia="仿宋" w:cs="Times New Roman + SimSun"/>
                <w:b/>
                <w:bCs/>
                <w:color w:val="000000"/>
                <w:sz w:val="24"/>
                <w:szCs w:val="32"/>
              </w:rPr>
              <w:t>方）</w:t>
            </w:r>
            <w:r>
              <w:rPr>
                <w:rFonts w:hint="eastAsia" w:ascii="仿宋" w:hAnsi="仿宋" w:eastAsia="仿宋" w:cs="Times New Roman + SimSun"/>
                <w:b/>
                <w:bCs/>
                <w:color w:val="000000"/>
                <w:sz w:val="24"/>
                <w:szCs w:val="32"/>
              </w:rPr>
              <w:t>基本资料</w:t>
            </w:r>
          </w:p>
        </w:tc>
      </w:tr>
      <w:tr w14:paraId="181A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0172A6B8">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eastAsia" w:ascii="仿宋" w:hAnsi="仿宋" w:eastAsia="仿宋" w:cs="Times New Roman + SimSun"/>
                <w:bCs/>
                <w:color w:val="000000"/>
                <w:sz w:val="24"/>
                <w:szCs w:val="36"/>
              </w:rPr>
              <w:t>单位名称</w:t>
            </w:r>
          </w:p>
        </w:tc>
        <w:tc>
          <w:tcPr>
            <w:tcW w:w="6804" w:type="dxa"/>
            <w:noWrap w:val="0"/>
            <w:vAlign w:val="center"/>
          </w:tcPr>
          <w:p w14:paraId="1D6C9645">
            <w:pPr>
              <w:keepNext w:val="0"/>
              <w:keepLines w:val="0"/>
              <w:widowControl w:val="0"/>
              <w:suppressLineNumbers w:val="0"/>
              <w:tabs>
                <w:tab w:val="left" w:pos="891"/>
              </w:tabs>
              <w:spacing w:before="0" w:beforeAutospacing="0" w:after="0" w:afterAutospacing="0" w:line="240" w:lineRule="auto"/>
              <w:ind w:left="0" w:right="0"/>
              <w:jc w:val="both"/>
              <w:rPr>
                <w:rFonts w:hint="eastAsia" w:ascii="仿宋" w:hAnsi="仿宋" w:eastAsia="仿宋" w:cs="Times New Roman + SimSun"/>
                <w:bCs/>
                <w:color w:val="000000"/>
                <w:sz w:val="24"/>
                <w:szCs w:val="36"/>
              </w:rPr>
            </w:pPr>
            <w:r>
              <w:rPr>
                <w:rFonts w:hint="eastAsia" w:ascii="仿宋" w:hAnsi="仿宋" w:eastAsia="仿宋" w:cs="仿宋"/>
                <w:szCs w:val="24"/>
              </w:rPr>
              <w:t>深圳市龙岗中心医院</w:t>
            </w:r>
          </w:p>
        </w:tc>
      </w:tr>
      <w:tr w14:paraId="05FC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5CFD58E8">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eastAsia" w:ascii="仿宋" w:hAnsi="仿宋" w:eastAsia="仿宋" w:cs="Times New Roman + SimSun"/>
                <w:bCs/>
                <w:color w:val="000000"/>
                <w:sz w:val="24"/>
                <w:szCs w:val="36"/>
              </w:rPr>
              <w:t>单位地址</w:t>
            </w:r>
          </w:p>
        </w:tc>
        <w:tc>
          <w:tcPr>
            <w:tcW w:w="6804" w:type="dxa"/>
            <w:noWrap w:val="0"/>
            <w:vAlign w:val="center"/>
          </w:tcPr>
          <w:p w14:paraId="37D4C796">
            <w:pPr>
              <w:keepNext w:val="0"/>
              <w:keepLines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line="240" w:lineRule="auto"/>
              <w:ind w:left="0" w:right="0"/>
              <w:jc w:val="both"/>
              <w:rPr>
                <w:rFonts w:hint="eastAsia" w:ascii="仿宋" w:hAnsi="仿宋" w:eastAsia="仿宋" w:cs="Times New Roman + SimSun"/>
                <w:bCs/>
                <w:color w:val="000000"/>
                <w:sz w:val="24"/>
                <w:szCs w:val="36"/>
              </w:rPr>
            </w:pPr>
            <w:r>
              <w:rPr>
                <w:rFonts w:hint="eastAsia" w:ascii="仿宋" w:hAnsi="仿宋" w:eastAsia="仿宋" w:cs="仿宋"/>
                <w:szCs w:val="24"/>
                <w:shd w:val="clear" w:color="auto" w:fill="FFFFFF"/>
              </w:rPr>
              <w:t>深圳市龙岗区</w:t>
            </w:r>
            <w:r>
              <w:rPr>
                <w:rFonts w:hint="eastAsia" w:ascii="仿宋" w:hAnsi="仿宋" w:eastAsia="仿宋" w:cs="仿宋"/>
                <w:szCs w:val="24"/>
                <w:shd w:val="clear" w:color="auto" w:fill="FFFFFF"/>
                <w:lang w:val="en-US" w:eastAsia="zh-CN"/>
              </w:rPr>
              <w:t>龙岗街道</w:t>
            </w:r>
            <w:r>
              <w:rPr>
                <w:rFonts w:hint="eastAsia" w:ascii="仿宋" w:hAnsi="仿宋" w:eastAsia="仿宋" w:cs="仿宋"/>
                <w:szCs w:val="24"/>
                <w:shd w:val="clear" w:color="auto" w:fill="FFFFFF"/>
              </w:rPr>
              <w:t>龙岗大道（龙岗段）6082号</w:t>
            </w:r>
          </w:p>
        </w:tc>
      </w:tr>
      <w:tr w14:paraId="04A6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308A8839">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default" w:ascii="仿宋" w:hAnsi="仿宋" w:eastAsia="仿宋" w:cs="Times New Roman + SimSun"/>
                <w:bCs/>
                <w:color w:val="000000"/>
                <w:sz w:val="24"/>
                <w:szCs w:val="36"/>
              </w:rPr>
              <w:t>付款单位</w:t>
            </w:r>
          </w:p>
        </w:tc>
        <w:tc>
          <w:tcPr>
            <w:tcW w:w="6804" w:type="dxa"/>
            <w:noWrap w:val="0"/>
            <w:vAlign w:val="center"/>
          </w:tcPr>
          <w:p w14:paraId="7EA00BCF">
            <w:pPr>
              <w:keepNext w:val="0"/>
              <w:keepLines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line="240" w:lineRule="auto"/>
              <w:ind w:left="0" w:right="0"/>
              <w:jc w:val="both"/>
              <w:rPr>
                <w:rFonts w:hint="eastAsia" w:ascii="仿宋" w:hAnsi="仿宋" w:eastAsia="仿宋" w:cs="Times New Roman + SimSun"/>
                <w:bCs/>
                <w:color w:val="000000"/>
                <w:sz w:val="24"/>
                <w:szCs w:val="36"/>
              </w:rPr>
            </w:pPr>
            <w:r>
              <w:rPr>
                <w:rFonts w:hint="eastAsia" w:ascii="仿宋" w:hAnsi="仿宋" w:eastAsia="仿宋" w:cs="仿宋"/>
                <w:szCs w:val="24"/>
              </w:rPr>
              <w:t>深圳市龙岗中心医院</w:t>
            </w:r>
          </w:p>
        </w:tc>
      </w:tr>
      <w:tr w14:paraId="3D9F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0E861806">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eastAsia" w:ascii="仿宋" w:hAnsi="仿宋" w:eastAsia="仿宋" w:cs="Times New Roman + SimSun"/>
                <w:color w:val="000000"/>
                <w:sz w:val="24"/>
                <w:szCs w:val="22"/>
              </w:rPr>
              <w:t>统一社会信用代码</w:t>
            </w:r>
          </w:p>
        </w:tc>
        <w:tc>
          <w:tcPr>
            <w:tcW w:w="6804" w:type="dxa"/>
            <w:noWrap w:val="0"/>
            <w:vAlign w:val="center"/>
          </w:tcPr>
          <w:p w14:paraId="7895567C">
            <w:pPr>
              <w:keepNext w:val="0"/>
              <w:keepLines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line="240" w:lineRule="auto"/>
              <w:ind w:left="0" w:right="0"/>
              <w:jc w:val="both"/>
              <w:rPr>
                <w:rFonts w:hint="eastAsia" w:ascii="仿宋" w:hAnsi="仿宋" w:eastAsia="仿宋" w:cs="Times New Roman + SimSun"/>
                <w:bCs/>
                <w:color w:val="000000"/>
                <w:sz w:val="24"/>
                <w:szCs w:val="36"/>
              </w:rPr>
            </w:pPr>
            <w:r>
              <w:rPr>
                <w:rFonts w:hint="eastAsia" w:ascii="仿宋" w:hAnsi="仿宋" w:eastAsia="仿宋" w:cs="Times New Roman + SimSun"/>
                <w:bCs/>
                <w:color w:val="000000"/>
                <w:szCs w:val="30"/>
              </w:rPr>
              <w:t>124403074558354773</w:t>
            </w:r>
          </w:p>
        </w:tc>
      </w:tr>
      <w:tr w14:paraId="4AF9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65B887A5">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default" w:ascii="仿宋" w:hAnsi="仿宋" w:eastAsia="仿宋" w:cs="Times New Roman + SimSun"/>
                <w:bCs/>
                <w:color w:val="000000"/>
                <w:sz w:val="24"/>
                <w:szCs w:val="36"/>
              </w:rPr>
              <w:t>开户银行名称</w:t>
            </w:r>
          </w:p>
        </w:tc>
        <w:tc>
          <w:tcPr>
            <w:tcW w:w="6804" w:type="dxa"/>
            <w:noWrap w:val="0"/>
            <w:vAlign w:val="center"/>
          </w:tcPr>
          <w:p w14:paraId="3544F406">
            <w:pPr>
              <w:keepNext w:val="0"/>
              <w:keepLines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line="240" w:lineRule="auto"/>
              <w:ind w:left="0" w:right="0"/>
              <w:jc w:val="both"/>
              <w:rPr>
                <w:rFonts w:hint="eastAsia" w:ascii="仿宋" w:hAnsi="仿宋" w:eastAsia="仿宋" w:cs="Times New Roman + SimSun"/>
                <w:bCs/>
                <w:color w:val="000000"/>
                <w:sz w:val="24"/>
                <w:szCs w:val="36"/>
              </w:rPr>
            </w:pPr>
            <w:r>
              <w:rPr>
                <w:rFonts w:hint="eastAsia" w:ascii="仿宋" w:hAnsi="仿宋" w:eastAsia="仿宋" w:cs="Times New Roman + SimSun"/>
                <w:bCs/>
                <w:color w:val="000000"/>
                <w:szCs w:val="30"/>
              </w:rPr>
              <w:t>深圳农村商业银行大和支行</w:t>
            </w:r>
          </w:p>
        </w:tc>
      </w:tr>
      <w:tr w14:paraId="0C91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200A207C">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default" w:ascii="仿宋" w:hAnsi="仿宋" w:eastAsia="仿宋" w:cs="Times New Roman + SimSun"/>
                <w:bCs/>
                <w:color w:val="000000"/>
                <w:sz w:val="24"/>
                <w:szCs w:val="36"/>
              </w:rPr>
              <w:t>开户银行账号</w:t>
            </w:r>
          </w:p>
        </w:tc>
        <w:tc>
          <w:tcPr>
            <w:tcW w:w="6804" w:type="dxa"/>
            <w:noWrap w:val="0"/>
            <w:vAlign w:val="center"/>
          </w:tcPr>
          <w:p w14:paraId="141007DF">
            <w:pPr>
              <w:keepNext w:val="0"/>
              <w:keepLines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line="240" w:lineRule="auto"/>
              <w:ind w:left="0" w:right="0"/>
              <w:jc w:val="both"/>
              <w:rPr>
                <w:rFonts w:hint="eastAsia" w:ascii="仿宋" w:hAnsi="仿宋" w:eastAsia="仿宋" w:cs="Times New Roman + SimSun"/>
                <w:bCs/>
                <w:color w:val="000000"/>
                <w:sz w:val="24"/>
                <w:szCs w:val="36"/>
              </w:rPr>
            </w:pPr>
            <w:r>
              <w:rPr>
                <w:rFonts w:hint="eastAsia" w:ascii="仿宋" w:hAnsi="仿宋" w:eastAsia="仿宋" w:cs="Times New Roman + SimSun"/>
                <w:bCs/>
                <w:color w:val="000000"/>
                <w:szCs w:val="30"/>
              </w:rPr>
              <w:t>000070583741</w:t>
            </w:r>
          </w:p>
        </w:tc>
      </w:tr>
      <w:tr w14:paraId="0D7A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6D5B59BC">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eastAsia" w:ascii="仿宋" w:hAnsi="仿宋" w:eastAsia="仿宋" w:cs="Times New Roman + SimSun"/>
                <w:bCs/>
                <w:color w:val="000000"/>
                <w:sz w:val="24"/>
                <w:szCs w:val="36"/>
              </w:rPr>
              <w:t>联系人</w:t>
            </w:r>
          </w:p>
        </w:tc>
        <w:tc>
          <w:tcPr>
            <w:tcW w:w="6804" w:type="dxa"/>
            <w:noWrap w:val="0"/>
            <w:vAlign w:val="center"/>
          </w:tcPr>
          <w:p w14:paraId="350A1A5C">
            <w:pPr>
              <w:keepNext w:val="0"/>
              <w:keepLines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line="240" w:lineRule="auto"/>
              <w:ind w:left="0" w:right="0"/>
              <w:jc w:val="both"/>
              <w:rPr>
                <w:rFonts w:hint="eastAsia" w:ascii="仿宋" w:hAnsi="仿宋" w:eastAsia="仿宋" w:cs="Times New Roman + SimSun"/>
                <w:bCs/>
                <w:color w:val="000000"/>
                <w:szCs w:val="30"/>
              </w:rPr>
            </w:pPr>
          </w:p>
        </w:tc>
      </w:tr>
      <w:tr w14:paraId="3121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69BB900A">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default" w:ascii="仿宋" w:hAnsi="仿宋" w:eastAsia="仿宋" w:cs="Times New Roman + SimSun"/>
                <w:bCs/>
                <w:color w:val="000000"/>
                <w:sz w:val="24"/>
                <w:szCs w:val="36"/>
              </w:rPr>
              <w:t>电话号码</w:t>
            </w:r>
          </w:p>
        </w:tc>
        <w:tc>
          <w:tcPr>
            <w:tcW w:w="6804" w:type="dxa"/>
            <w:noWrap w:val="0"/>
            <w:vAlign w:val="center"/>
          </w:tcPr>
          <w:p w14:paraId="453A8B1A">
            <w:pPr>
              <w:keepNext w:val="0"/>
              <w:keepLines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line="240" w:lineRule="auto"/>
              <w:ind w:left="0" w:right="0"/>
              <w:jc w:val="both"/>
              <w:rPr>
                <w:rFonts w:hint="eastAsia" w:ascii="仿宋" w:hAnsi="仿宋" w:eastAsia="仿宋" w:cs="Times New Roman + SimSun"/>
                <w:bCs/>
                <w:color w:val="000000"/>
                <w:sz w:val="24"/>
                <w:szCs w:val="36"/>
              </w:rPr>
            </w:pPr>
          </w:p>
        </w:tc>
      </w:tr>
      <w:tr w14:paraId="0AB4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261E2A99">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default" w:ascii="仿宋" w:hAnsi="仿宋" w:eastAsia="仿宋" w:cs="Times New Roman + SimSun"/>
                <w:bCs/>
                <w:color w:val="000000"/>
                <w:sz w:val="24"/>
                <w:szCs w:val="36"/>
              </w:rPr>
              <w:t>邮箱地址</w:t>
            </w:r>
          </w:p>
        </w:tc>
        <w:tc>
          <w:tcPr>
            <w:tcW w:w="6804" w:type="dxa"/>
            <w:noWrap w:val="0"/>
            <w:vAlign w:val="center"/>
          </w:tcPr>
          <w:p w14:paraId="13A11435">
            <w:pPr>
              <w:keepNext w:val="0"/>
              <w:keepLines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line="240" w:lineRule="auto"/>
              <w:ind w:left="0" w:right="0"/>
              <w:jc w:val="both"/>
              <w:rPr>
                <w:rFonts w:hint="eastAsia" w:ascii="仿宋" w:hAnsi="仿宋" w:eastAsia="仿宋" w:cs="Times New Roman + SimSun"/>
                <w:bCs/>
                <w:color w:val="000000"/>
                <w:sz w:val="24"/>
                <w:szCs w:val="24"/>
              </w:rPr>
            </w:pPr>
          </w:p>
        </w:tc>
      </w:tr>
    </w:tbl>
    <w:p w14:paraId="61F9C27E">
      <w:pPr>
        <w:rPr>
          <w:rFonts w:hint="eastAsia" w:ascii="仿宋" w:hAnsi="仿宋" w:eastAsia="仿宋" w:cs="Times New Roman + SimSun"/>
          <w:b/>
          <w:color w:val="000000"/>
          <w:sz w:val="36"/>
          <w:szCs w:val="22"/>
        </w:rPr>
      </w:pP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804"/>
      </w:tblGrid>
      <w:tr w14:paraId="1E2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5" w:type="dxa"/>
            <w:gridSpan w:val="2"/>
            <w:noWrap w:val="0"/>
            <w:vAlign w:val="center"/>
          </w:tcPr>
          <w:p w14:paraId="5623346E">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Times New Roman + SimSun"/>
                <w:b/>
                <w:bCs/>
                <w:color w:val="000000"/>
                <w:sz w:val="24"/>
                <w:szCs w:val="32"/>
              </w:rPr>
            </w:pPr>
            <w:r>
              <w:rPr>
                <w:rFonts w:hint="eastAsia" w:ascii="仿宋" w:hAnsi="仿宋" w:eastAsia="仿宋" w:cs="Times New Roman + SimSun"/>
                <w:b/>
                <w:bCs/>
                <w:color w:val="000000"/>
                <w:sz w:val="24"/>
                <w:szCs w:val="32"/>
              </w:rPr>
              <w:t>受托方</w:t>
            </w:r>
            <w:r>
              <w:rPr>
                <w:rFonts w:hint="default" w:ascii="仿宋" w:hAnsi="仿宋" w:eastAsia="仿宋" w:cs="Times New Roman + SimSun"/>
                <w:b/>
                <w:bCs/>
                <w:color w:val="000000"/>
                <w:sz w:val="24"/>
                <w:szCs w:val="32"/>
              </w:rPr>
              <w:t>（乙方）</w:t>
            </w:r>
            <w:r>
              <w:rPr>
                <w:rFonts w:hint="eastAsia" w:ascii="仿宋" w:hAnsi="仿宋" w:eastAsia="仿宋" w:cs="Times New Roman + SimSun"/>
                <w:b/>
                <w:bCs/>
                <w:color w:val="000000"/>
                <w:sz w:val="24"/>
                <w:szCs w:val="32"/>
              </w:rPr>
              <w:t>基本资料</w:t>
            </w:r>
          </w:p>
        </w:tc>
      </w:tr>
      <w:tr w14:paraId="3A8C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0A97741E">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bookmarkStart w:id="11" w:name="_Hlk318103851"/>
            <w:bookmarkStart w:id="12" w:name="_Hlk318103860"/>
            <w:r>
              <w:rPr>
                <w:rFonts w:hint="eastAsia" w:ascii="仿宋" w:hAnsi="仿宋" w:eastAsia="仿宋" w:cs="Times New Roman + SimSun"/>
                <w:bCs/>
                <w:color w:val="000000"/>
                <w:sz w:val="24"/>
                <w:szCs w:val="36"/>
              </w:rPr>
              <w:t>单位名称</w:t>
            </w:r>
          </w:p>
        </w:tc>
        <w:tc>
          <w:tcPr>
            <w:tcW w:w="6804" w:type="dxa"/>
            <w:noWrap w:val="0"/>
            <w:vAlign w:val="center"/>
          </w:tcPr>
          <w:p w14:paraId="4F4C12BB">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仿宋"/>
                <w:color w:val="000000"/>
                <w:sz w:val="24"/>
                <w:szCs w:val="32"/>
                <w:shd w:val="clear" w:color="auto" w:fill="FFFFFF"/>
              </w:rPr>
            </w:pPr>
          </w:p>
        </w:tc>
      </w:tr>
      <w:tr w14:paraId="715E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63B8FB1B">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eastAsia" w:ascii="仿宋" w:hAnsi="仿宋" w:eastAsia="仿宋" w:cs="Times New Roman + SimSun"/>
                <w:bCs/>
                <w:color w:val="000000"/>
                <w:sz w:val="24"/>
                <w:szCs w:val="36"/>
              </w:rPr>
              <w:t>单位地址</w:t>
            </w:r>
          </w:p>
        </w:tc>
        <w:tc>
          <w:tcPr>
            <w:tcW w:w="6804" w:type="dxa"/>
            <w:noWrap w:val="0"/>
            <w:vAlign w:val="center"/>
          </w:tcPr>
          <w:p w14:paraId="4F217C23">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仿宋"/>
                <w:color w:val="000000"/>
                <w:sz w:val="24"/>
                <w:szCs w:val="32"/>
                <w:shd w:val="clear" w:color="auto" w:fill="FFFFFF"/>
              </w:rPr>
            </w:pPr>
          </w:p>
        </w:tc>
      </w:tr>
      <w:tr w14:paraId="6941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700A2CBE">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eastAsia" w:ascii="仿宋" w:hAnsi="仿宋" w:eastAsia="仿宋" w:cs="Times New Roman + SimSun"/>
                <w:color w:val="000000"/>
                <w:sz w:val="24"/>
                <w:szCs w:val="22"/>
              </w:rPr>
              <w:t>统一社会信用代码</w:t>
            </w:r>
          </w:p>
        </w:tc>
        <w:tc>
          <w:tcPr>
            <w:tcW w:w="6804" w:type="dxa"/>
            <w:noWrap w:val="0"/>
            <w:vAlign w:val="center"/>
          </w:tcPr>
          <w:p w14:paraId="1238BD0C">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仿宋"/>
                <w:color w:val="000000"/>
                <w:sz w:val="24"/>
                <w:szCs w:val="32"/>
                <w:shd w:val="clear" w:color="auto" w:fill="FFFFFF"/>
              </w:rPr>
            </w:pPr>
          </w:p>
        </w:tc>
      </w:tr>
      <w:tr w14:paraId="5F04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1AEE07F6">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default" w:ascii="仿宋" w:hAnsi="仿宋" w:eastAsia="仿宋" w:cs="Times New Roman + SimSun"/>
                <w:bCs/>
                <w:color w:val="000000"/>
                <w:sz w:val="24"/>
                <w:szCs w:val="36"/>
              </w:rPr>
              <w:t>开户银行名称</w:t>
            </w:r>
          </w:p>
        </w:tc>
        <w:tc>
          <w:tcPr>
            <w:tcW w:w="6804" w:type="dxa"/>
            <w:noWrap w:val="0"/>
            <w:vAlign w:val="center"/>
          </w:tcPr>
          <w:p w14:paraId="611F7C1A">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仿宋"/>
                <w:color w:val="000000"/>
                <w:sz w:val="24"/>
                <w:szCs w:val="32"/>
                <w:shd w:val="clear" w:color="auto" w:fill="FFFFFF"/>
              </w:rPr>
            </w:pPr>
          </w:p>
        </w:tc>
      </w:tr>
      <w:tr w14:paraId="7ADF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16F55345">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default" w:ascii="仿宋" w:hAnsi="仿宋" w:eastAsia="仿宋" w:cs="Times New Roman + SimSun"/>
                <w:bCs/>
                <w:color w:val="000000"/>
                <w:sz w:val="24"/>
                <w:szCs w:val="36"/>
              </w:rPr>
              <w:t>开户银行账号</w:t>
            </w:r>
          </w:p>
        </w:tc>
        <w:tc>
          <w:tcPr>
            <w:tcW w:w="6804" w:type="dxa"/>
            <w:noWrap w:val="0"/>
            <w:vAlign w:val="center"/>
          </w:tcPr>
          <w:p w14:paraId="138784A1">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仿宋"/>
                <w:color w:val="000000"/>
                <w:sz w:val="24"/>
                <w:szCs w:val="32"/>
                <w:shd w:val="clear" w:color="auto" w:fill="FFFFFF"/>
              </w:rPr>
            </w:pPr>
          </w:p>
        </w:tc>
      </w:tr>
      <w:bookmarkEnd w:id="11"/>
      <w:bookmarkEnd w:id="12"/>
      <w:tr w14:paraId="27EB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64A6C707">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r>
              <w:rPr>
                <w:rFonts w:hint="eastAsia" w:ascii="仿宋" w:hAnsi="仿宋" w:eastAsia="仿宋" w:cs="Times New Roman + SimSun"/>
                <w:bCs/>
                <w:color w:val="000000"/>
                <w:sz w:val="24"/>
                <w:szCs w:val="36"/>
              </w:rPr>
              <w:t>联系人</w:t>
            </w:r>
          </w:p>
        </w:tc>
        <w:tc>
          <w:tcPr>
            <w:tcW w:w="6804" w:type="dxa"/>
            <w:noWrap w:val="0"/>
            <w:vAlign w:val="center"/>
          </w:tcPr>
          <w:p w14:paraId="4BA5F686">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仿宋"/>
                <w:color w:val="000000"/>
                <w:sz w:val="24"/>
                <w:szCs w:val="32"/>
                <w:shd w:val="clear" w:color="auto" w:fill="FFFFFF"/>
              </w:rPr>
            </w:pPr>
          </w:p>
        </w:tc>
      </w:tr>
      <w:tr w14:paraId="74A6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3BD493FE">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bookmarkStart w:id="13" w:name="_Hlk281981799"/>
            <w:r>
              <w:rPr>
                <w:rFonts w:hint="default" w:ascii="仿宋" w:hAnsi="仿宋" w:eastAsia="仿宋" w:cs="Times New Roman + SimSun"/>
                <w:bCs/>
                <w:color w:val="000000"/>
                <w:sz w:val="24"/>
                <w:szCs w:val="36"/>
              </w:rPr>
              <w:t>电话号码</w:t>
            </w:r>
          </w:p>
        </w:tc>
        <w:tc>
          <w:tcPr>
            <w:tcW w:w="6804" w:type="dxa"/>
            <w:noWrap w:val="0"/>
            <w:vAlign w:val="center"/>
          </w:tcPr>
          <w:p w14:paraId="1EB73D8A">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仿宋"/>
                <w:color w:val="000000"/>
                <w:sz w:val="24"/>
                <w:szCs w:val="32"/>
                <w:shd w:val="clear" w:color="auto" w:fill="FFFFFF"/>
              </w:rPr>
            </w:pPr>
          </w:p>
        </w:tc>
      </w:tr>
      <w:tr w14:paraId="1C20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noWrap w:val="0"/>
            <w:vAlign w:val="center"/>
          </w:tcPr>
          <w:p w14:paraId="209337E7">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jc w:val="center"/>
              <w:rPr>
                <w:rFonts w:hint="eastAsia" w:ascii="仿宋" w:hAnsi="仿宋" w:eastAsia="仿宋" w:cs="Times New Roman + SimSun"/>
                <w:bCs/>
                <w:color w:val="000000"/>
                <w:sz w:val="24"/>
                <w:szCs w:val="36"/>
              </w:rPr>
            </w:pPr>
            <w:bookmarkStart w:id="14" w:name="_Hlk318103869"/>
            <w:r>
              <w:rPr>
                <w:rFonts w:hint="default" w:ascii="仿宋" w:hAnsi="仿宋" w:eastAsia="仿宋" w:cs="Times New Roman + SimSun"/>
                <w:bCs/>
                <w:color w:val="000000"/>
                <w:sz w:val="24"/>
                <w:szCs w:val="36"/>
              </w:rPr>
              <w:t>邮箱地址</w:t>
            </w:r>
          </w:p>
        </w:tc>
        <w:tc>
          <w:tcPr>
            <w:tcW w:w="6804" w:type="dxa"/>
            <w:noWrap w:val="0"/>
            <w:vAlign w:val="center"/>
          </w:tcPr>
          <w:p w14:paraId="288072C4">
            <w:pPr>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5925"/>
              </w:tabs>
              <w:spacing w:before="0" w:beforeAutospacing="0" w:after="0" w:afterAutospacing="0"/>
              <w:ind w:left="0" w:right="0"/>
              <w:rPr>
                <w:rFonts w:hint="eastAsia" w:ascii="仿宋" w:hAnsi="仿宋" w:eastAsia="仿宋" w:cs="仿宋"/>
                <w:color w:val="000000"/>
                <w:sz w:val="24"/>
                <w:szCs w:val="32"/>
                <w:shd w:val="clear" w:color="auto" w:fill="FFFFFF"/>
              </w:rPr>
            </w:pPr>
          </w:p>
        </w:tc>
      </w:tr>
      <w:bookmarkEnd w:id="13"/>
      <w:bookmarkEnd w:id="14"/>
    </w:tbl>
    <w:p w14:paraId="5CEB3293">
      <w:pPr>
        <w:spacing w:line="360" w:lineRule="auto"/>
        <w:ind w:firstLine="570"/>
        <w:rPr>
          <w:rFonts w:hint="eastAsia" w:ascii="仿宋" w:hAnsi="仿宋" w:eastAsia="仿宋"/>
          <w:color w:val="000000"/>
          <w:sz w:val="24"/>
        </w:rPr>
      </w:pPr>
      <w:r>
        <w:rPr>
          <w:rFonts w:hint="eastAsia" w:ascii="仿宋" w:hAnsi="仿宋" w:eastAsia="仿宋"/>
          <w:color w:val="000000"/>
          <w:sz w:val="24"/>
        </w:rPr>
        <w:br w:type="page"/>
      </w:r>
      <w:r>
        <w:rPr>
          <w:rFonts w:hint="eastAsia" w:ascii="仿宋" w:hAnsi="仿宋" w:eastAsia="仿宋"/>
          <w:color w:val="000000"/>
          <w:sz w:val="24"/>
        </w:rPr>
        <w:t>根据《中华人民共和国政府采购法》《</w:t>
      </w:r>
      <w:r>
        <w:rPr>
          <w:rFonts w:hint="eastAsia" w:ascii="仿宋" w:hAnsi="仿宋" w:eastAsia="仿宋"/>
          <w:color w:val="000000"/>
          <w:sz w:val="24"/>
          <w:lang w:eastAsia="zh-CN"/>
        </w:rPr>
        <w:t>中华人民共和国</w:t>
      </w:r>
      <w:r>
        <w:rPr>
          <w:rFonts w:hint="eastAsia" w:ascii="仿宋" w:hAnsi="仿宋" w:eastAsia="仿宋"/>
          <w:color w:val="000000"/>
          <w:sz w:val="24"/>
        </w:rPr>
        <w:t>民法典》《深圳经济特区政府采购条例》《深圳经济特区政府采购条例实</w:t>
      </w:r>
      <w:r>
        <w:rPr>
          <w:rFonts w:hint="eastAsia" w:ascii="仿宋" w:hAnsi="仿宋" w:eastAsia="仿宋"/>
          <w:color w:val="000000"/>
          <w:sz w:val="24"/>
          <w:lang w:val="en-US" w:eastAsia="zh-CN"/>
        </w:rPr>
        <w:t>施细</w:t>
      </w:r>
      <w:r>
        <w:rPr>
          <w:rFonts w:hint="eastAsia" w:ascii="仿宋" w:hAnsi="仿宋" w:eastAsia="仿宋"/>
          <w:color w:val="000000"/>
          <w:sz w:val="24"/>
        </w:rPr>
        <w:t>则》等法律法规的规定，甲乙双方按照XX项目的招标结果并经双方协商签订本合同。</w:t>
      </w:r>
    </w:p>
    <w:p w14:paraId="4FE7CAF9">
      <w:pPr>
        <w:numPr>
          <w:ilvl w:val="0"/>
          <w:numId w:val="6"/>
        </w:numPr>
        <w:spacing w:line="360" w:lineRule="auto"/>
        <w:rPr>
          <w:rFonts w:hint="eastAsia" w:ascii="仿宋" w:hAnsi="仿宋" w:eastAsia="仿宋"/>
          <w:color w:val="000000"/>
          <w:sz w:val="24"/>
        </w:rPr>
      </w:pPr>
      <w:r>
        <w:rPr>
          <w:rFonts w:hint="eastAsia" w:ascii="仿宋" w:hAnsi="仿宋" w:eastAsia="仿宋"/>
          <w:b/>
          <w:color w:val="000000"/>
          <w:sz w:val="24"/>
        </w:rPr>
        <w:t>服务内容</w:t>
      </w:r>
    </w:p>
    <w:p w14:paraId="7A9B02C2">
      <w:pPr>
        <w:spacing w:line="360" w:lineRule="auto"/>
        <w:ind w:firstLine="480" w:firstLineChars="200"/>
        <w:rPr>
          <w:rFonts w:hint="eastAsia" w:ascii="仿宋" w:hAnsi="仿宋" w:eastAsia="仿宋"/>
          <w:color w:val="000000"/>
          <w:kern w:val="0"/>
          <w:sz w:val="24"/>
          <w:u w:val="single"/>
        </w:rPr>
      </w:pPr>
      <w:r>
        <w:rPr>
          <w:rFonts w:hint="eastAsia" w:ascii="仿宋" w:hAnsi="仿宋" w:eastAsia="仿宋"/>
          <w:color w:val="000000"/>
          <w:sz w:val="24"/>
        </w:rPr>
        <w:t>受甲方委托，乙方承接</w:t>
      </w:r>
      <w:r>
        <w:rPr>
          <w:rFonts w:hint="eastAsia" w:ascii="仿宋" w:hAnsi="仿宋" w:eastAsia="仿宋"/>
          <w:color w:val="000000"/>
          <w:kern w:val="0"/>
          <w:sz w:val="24"/>
          <w:u w:val="single"/>
          <w:lang w:val="en-US" w:eastAsia="zh-CN"/>
        </w:rPr>
        <w:t>深圳市龙岗中心医院</w:t>
      </w:r>
      <w:r>
        <w:rPr>
          <w:rFonts w:hint="eastAsia" w:ascii="仿宋" w:hAnsi="仿宋" w:eastAsia="仿宋"/>
          <w:color w:val="000000"/>
          <w:kern w:val="0"/>
          <w:sz w:val="24"/>
          <w:u w:val="single"/>
        </w:rPr>
        <w:t>放射诊疗设备和工作场所防护年度检测项目</w:t>
      </w:r>
      <w:r>
        <w:rPr>
          <w:rFonts w:hint="eastAsia" w:ascii="仿宋" w:hAnsi="仿宋" w:eastAsia="仿宋"/>
          <w:color w:val="000000"/>
          <w:kern w:val="0"/>
          <w:sz w:val="24"/>
        </w:rPr>
        <w:t>，</w:t>
      </w:r>
      <w:r>
        <w:rPr>
          <w:rFonts w:hint="eastAsia" w:ascii="仿宋" w:hAnsi="仿宋" w:eastAsia="仿宋"/>
          <w:color w:val="000000"/>
          <w:sz w:val="24"/>
        </w:rPr>
        <w:t>具体的检测项目收费标准以合同附件1《放射卫生年度检测技术服务费用计算表》为准。</w:t>
      </w:r>
    </w:p>
    <w:p w14:paraId="513A0314">
      <w:pPr>
        <w:spacing w:line="360" w:lineRule="auto"/>
        <w:ind w:firstLine="480" w:firstLineChars="200"/>
        <w:rPr>
          <w:rFonts w:hint="eastAsia" w:ascii="仿宋" w:hAnsi="仿宋" w:eastAsia="仿宋"/>
          <w:color w:val="000000"/>
          <w:sz w:val="24"/>
          <w:u w:val="single"/>
        </w:rPr>
      </w:pPr>
      <w:r>
        <w:rPr>
          <w:rFonts w:hint="eastAsia" w:ascii="仿宋" w:hAnsi="仿宋" w:eastAsia="仿宋"/>
          <w:color w:val="000000"/>
          <w:sz w:val="24"/>
          <w:u w:val="single"/>
        </w:rPr>
        <w:t>1、本项目服务期限为一年。</w:t>
      </w:r>
    </w:p>
    <w:p w14:paraId="26F21FE6">
      <w:pPr>
        <w:spacing w:line="360" w:lineRule="auto"/>
        <w:ind w:firstLine="480" w:firstLineChars="200"/>
        <w:rPr>
          <w:rFonts w:hint="eastAsia" w:ascii="仿宋" w:hAnsi="仿宋" w:eastAsia="仿宋"/>
          <w:color w:val="000000"/>
          <w:kern w:val="0"/>
          <w:sz w:val="24"/>
          <w:u w:val="single"/>
        </w:rPr>
      </w:pPr>
      <w:r>
        <w:rPr>
          <w:rFonts w:hint="eastAsia" w:ascii="仿宋" w:hAnsi="仿宋" w:eastAsia="仿宋"/>
          <w:color w:val="000000"/>
          <w:sz w:val="24"/>
          <w:u w:val="single"/>
        </w:rPr>
        <w:t>2、一年合同期满后，经</w:t>
      </w:r>
      <w:r>
        <w:rPr>
          <w:rFonts w:hint="eastAsia" w:ascii="仿宋" w:hAnsi="仿宋" w:eastAsia="仿宋"/>
          <w:color w:val="000000"/>
          <w:sz w:val="24"/>
          <w:u w:val="single"/>
          <w:lang w:val="en-US" w:eastAsia="zh-CN"/>
        </w:rPr>
        <w:t>甲方</w:t>
      </w:r>
      <w:r>
        <w:rPr>
          <w:rFonts w:hint="eastAsia" w:ascii="仿宋" w:hAnsi="仿宋" w:eastAsia="仿宋"/>
          <w:color w:val="000000"/>
          <w:sz w:val="24"/>
          <w:u w:val="single"/>
        </w:rPr>
        <w:t>履约评价为良好或以上，且经双方协商同意的可续签下一年度合同，每次续签期限为一年，最多可续签两次。</w:t>
      </w:r>
    </w:p>
    <w:p w14:paraId="32BF0EDF">
      <w:pPr>
        <w:numPr>
          <w:ilvl w:val="0"/>
          <w:numId w:val="6"/>
        </w:numPr>
        <w:spacing w:line="360" w:lineRule="auto"/>
        <w:rPr>
          <w:rFonts w:hint="eastAsia" w:ascii="仿宋" w:hAnsi="仿宋" w:eastAsia="仿宋"/>
          <w:color w:val="000000"/>
          <w:sz w:val="24"/>
        </w:rPr>
      </w:pPr>
      <w:r>
        <w:rPr>
          <w:rFonts w:hint="eastAsia" w:ascii="仿宋" w:hAnsi="仿宋" w:eastAsia="仿宋"/>
          <w:b/>
          <w:color w:val="000000"/>
          <w:sz w:val="24"/>
        </w:rPr>
        <w:t>服务要求</w:t>
      </w:r>
    </w:p>
    <w:p w14:paraId="228B670E">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1</w:t>
      </w:r>
      <w:r>
        <w:rPr>
          <w:rFonts w:hint="eastAsia" w:ascii="仿宋" w:hAnsi="仿宋" w:eastAsia="仿宋"/>
          <w:color w:val="000000"/>
          <w:sz w:val="24"/>
          <w:lang w:val="en-US" w:eastAsia="zh-CN"/>
        </w:rPr>
        <w:t>.</w:t>
      </w:r>
      <w:r>
        <w:rPr>
          <w:rFonts w:hint="eastAsia" w:ascii="仿宋" w:hAnsi="仿宋" w:eastAsia="仿宋"/>
          <w:color w:val="000000"/>
          <w:sz w:val="24"/>
        </w:rPr>
        <w:t>根据GBZ 130-2020《放射诊断放射防护要求》和HJ 1157-2021《环境γ辐射剂量率测量技术规范》等法律法规的要求，对所有设备进行质量控制检测及放射防护检测，并出具相应检测报告，报告需符合上级卫生行政部门及环保部门审查要求（注：相关法律法规如有更新，以最新版本要求为准）。</w:t>
      </w:r>
    </w:p>
    <w:p w14:paraId="3639A076">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2</w:t>
      </w:r>
      <w:r>
        <w:rPr>
          <w:rFonts w:hint="eastAsia" w:ascii="仿宋" w:hAnsi="仿宋" w:eastAsia="仿宋"/>
          <w:color w:val="000000"/>
          <w:sz w:val="24"/>
          <w:lang w:val="en-US" w:eastAsia="zh-CN"/>
        </w:rPr>
        <w:t>.甲方</w:t>
      </w:r>
      <w:r>
        <w:rPr>
          <w:rFonts w:hint="eastAsia" w:ascii="仿宋" w:hAnsi="仿宋" w:eastAsia="仿宋"/>
          <w:color w:val="000000"/>
          <w:sz w:val="24"/>
        </w:rPr>
        <w:t>提出检测预约需求后，</w:t>
      </w:r>
      <w:r>
        <w:rPr>
          <w:rFonts w:hint="eastAsia" w:ascii="仿宋" w:hAnsi="仿宋" w:eastAsia="仿宋"/>
          <w:color w:val="000000"/>
          <w:sz w:val="24"/>
          <w:lang w:val="en-US" w:eastAsia="zh-CN"/>
        </w:rPr>
        <w:t>乙方</w:t>
      </w:r>
      <w:r>
        <w:rPr>
          <w:rFonts w:hint="eastAsia" w:ascii="仿宋" w:hAnsi="仿宋" w:eastAsia="仿宋"/>
          <w:color w:val="000000"/>
          <w:sz w:val="24"/>
        </w:rPr>
        <w:t>应在5个工作日内安排进行检测，具体检测时间与</w:t>
      </w:r>
      <w:r>
        <w:rPr>
          <w:rFonts w:hint="eastAsia" w:ascii="仿宋" w:hAnsi="仿宋" w:eastAsia="仿宋"/>
          <w:color w:val="000000"/>
          <w:sz w:val="24"/>
          <w:lang w:val="en-US" w:eastAsia="zh-CN"/>
        </w:rPr>
        <w:t>甲方</w:t>
      </w:r>
      <w:r>
        <w:rPr>
          <w:rFonts w:hint="eastAsia" w:ascii="仿宋" w:hAnsi="仿宋" w:eastAsia="仿宋"/>
          <w:color w:val="000000"/>
          <w:sz w:val="24"/>
        </w:rPr>
        <w:t>提前确认；完成现场检测后，10个工作日内向</w:t>
      </w:r>
      <w:r>
        <w:rPr>
          <w:rFonts w:hint="eastAsia" w:ascii="仿宋" w:hAnsi="仿宋" w:eastAsia="仿宋"/>
          <w:color w:val="000000"/>
          <w:sz w:val="24"/>
          <w:lang w:val="en-US" w:eastAsia="zh-CN"/>
        </w:rPr>
        <w:t>甲方</w:t>
      </w:r>
      <w:r>
        <w:rPr>
          <w:rFonts w:hint="eastAsia" w:ascii="仿宋" w:hAnsi="仿宋" w:eastAsia="仿宋"/>
          <w:color w:val="000000"/>
          <w:sz w:val="24"/>
        </w:rPr>
        <w:t>提交检测报告。</w:t>
      </w:r>
    </w:p>
    <w:p w14:paraId="3D3025B0">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3</w:t>
      </w:r>
      <w:r>
        <w:rPr>
          <w:rFonts w:hint="eastAsia" w:ascii="仿宋" w:hAnsi="仿宋" w:eastAsia="仿宋"/>
          <w:color w:val="000000"/>
          <w:sz w:val="24"/>
          <w:lang w:val="en-US" w:eastAsia="zh-CN"/>
        </w:rPr>
        <w:t>.</w:t>
      </w:r>
      <w:r>
        <w:rPr>
          <w:rFonts w:hint="eastAsia" w:ascii="仿宋" w:hAnsi="仿宋" w:eastAsia="仿宋"/>
          <w:color w:val="000000"/>
          <w:sz w:val="24"/>
        </w:rPr>
        <w:t>检测不合格时，提供整改意见，并提供复测，直至检测合格，相关费用已包含在投标报价及年度服务总价中，</w:t>
      </w:r>
      <w:r>
        <w:rPr>
          <w:rFonts w:hint="eastAsia" w:ascii="仿宋" w:hAnsi="仿宋" w:eastAsia="仿宋"/>
          <w:color w:val="000000"/>
          <w:sz w:val="24"/>
          <w:lang w:val="en-US" w:eastAsia="zh-CN"/>
        </w:rPr>
        <w:t>甲方</w:t>
      </w:r>
      <w:r>
        <w:rPr>
          <w:rFonts w:hint="eastAsia" w:ascii="仿宋" w:hAnsi="仿宋" w:eastAsia="仿宋"/>
          <w:color w:val="000000"/>
          <w:sz w:val="24"/>
        </w:rPr>
        <w:t>不再支付额外费用。复测时间须在年检时间内，保证设备年检不过期。</w:t>
      </w:r>
    </w:p>
    <w:p w14:paraId="4101B376">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4</w:t>
      </w:r>
      <w:r>
        <w:rPr>
          <w:rFonts w:hint="eastAsia" w:ascii="仿宋" w:hAnsi="仿宋" w:eastAsia="仿宋"/>
          <w:color w:val="000000"/>
          <w:sz w:val="24"/>
          <w:lang w:val="en-US" w:eastAsia="zh-CN"/>
        </w:rPr>
        <w:t>.</w:t>
      </w:r>
      <w:r>
        <w:rPr>
          <w:rFonts w:hint="eastAsia" w:ascii="仿宋" w:hAnsi="仿宋" w:eastAsia="仿宋"/>
          <w:color w:val="000000"/>
          <w:sz w:val="24"/>
        </w:rPr>
        <w:t>项目检测时，受检设备的状态应能满足检测的要求，检测条件按国家标准、行业常用条件进行检测，在检测过程中出现设备故障、损坏等情况，</w:t>
      </w:r>
      <w:r>
        <w:rPr>
          <w:rFonts w:hint="eastAsia" w:ascii="仿宋" w:hAnsi="仿宋" w:eastAsia="仿宋"/>
          <w:color w:val="000000"/>
          <w:sz w:val="24"/>
          <w:lang w:val="en-US" w:eastAsia="zh-CN"/>
        </w:rPr>
        <w:t>甲方</w:t>
      </w:r>
      <w:r>
        <w:rPr>
          <w:rFonts w:hint="eastAsia" w:ascii="仿宋" w:hAnsi="仿宋" w:eastAsia="仿宋"/>
          <w:color w:val="000000"/>
          <w:sz w:val="24"/>
        </w:rPr>
        <w:t>不承担任何责任。</w:t>
      </w:r>
    </w:p>
    <w:p w14:paraId="692AA01B">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5</w:t>
      </w:r>
      <w:r>
        <w:rPr>
          <w:rFonts w:hint="eastAsia" w:ascii="仿宋" w:hAnsi="仿宋" w:eastAsia="仿宋"/>
          <w:color w:val="000000"/>
          <w:sz w:val="24"/>
          <w:lang w:val="en-US" w:eastAsia="zh-CN"/>
        </w:rPr>
        <w:t>.</w:t>
      </w:r>
      <w:r>
        <w:rPr>
          <w:rFonts w:hint="eastAsia" w:ascii="仿宋" w:hAnsi="仿宋" w:eastAsia="仿宋"/>
          <w:color w:val="000000"/>
          <w:sz w:val="24"/>
        </w:rPr>
        <w:t>如检测报告出现的遗漏或错误由</w:t>
      </w:r>
      <w:r>
        <w:rPr>
          <w:rFonts w:hint="eastAsia" w:ascii="仿宋" w:hAnsi="仿宋" w:eastAsia="仿宋"/>
          <w:color w:val="000000"/>
          <w:sz w:val="24"/>
          <w:lang w:val="en-US" w:eastAsia="zh-CN"/>
        </w:rPr>
        <w:t>乙方</w:t>
      </w:r>
      <w:r>
        <w:rPr>
          <w:rFonts w:hint="eastAsia" w:ascii="仿宋" w:hAnsi="仿宋" w:eastAsia="仿宋"/>
          <w:color w:val="000000"/>
          <w:sz w:val="24"/>
        </w:rPr>
        <w:t>负责。</w:t>
      </w:r>
    </w:p>
    <w:p w14:paraId="7AD45078">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6</w:t>
      </w:r>
      <w:r>
        <w:rPr>
          <w:rFonts w:hint="eastAsia" w:ascii="仿宋" w:hAnsi="仿宋" w:eastAsia="仿宋"/>
          <w:color w:val="000000"/>
          <w:sz w:val="24"/>
          <w:lang w:val="en-US" w:eastAsia="zh-CN"/>
        </w:rPr>
        <w:t>.</w:t>
      </w:r>
      <w:r>
        <w:rPr>
          <w:rFonts w:hint="eastAsia" w:ascii="仿宋" w:hAnsi="仿宋" w:eastAsia="仿宋"/>
          <w:color w:val="000000"/>
          <w:sz w:val="24"/>
        </w:rPr>
        <w:t>设备检测完毕后</w:t>
      </w:r>
      <w:r>
        <w:rPr>
          <w:rFonts w:hint="eastAsia" w:ascii="仿宋" w:hAnsi="仿宋" w:eastAsia="仿宋"/>
          <w:color w:val="000000"/>
          <w:sz w:val="24"/>
          <w:lang w:val="en-US" w:eastAsia="zh-CN"/>
        </w:rPr>
        <w:t>乙方</w:t>
      </w:r>
      <w:r>
        <w:rPr>
          <w:rFonts w:hint="eastAsia" w:ascii="仿宋" w:hAnsi="仿宋" w:eastAsia="仿宋"/>
          <w:color w:val="000000"/>
          <w:sz w:val="24"/>
        </w:rPr>
        <w:t>交付所需的检测报告及相关资料，资料须符合完整性、正确性及有效性。</w:t>
      </w:r>
    </w:p>
    <w:p w14:paraId="38224208">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7</w:t>
      </w:r>
      <w:r>
        <w:rPr>
          <w:rFonts w:hint="eastAsia" w:ascii="仿宋" w:hAnsi="仿宋" w:eastAsia="仿宋"/>
          <w:color w:val="000000"/>
          <w:sz w:val="24"/>
          <w:lang w:val="en-US" w:eastAsia="zh-CN"/>
        </w:rPr>
        <w:t>.</w:t>
      </w:r>
      <w:r>
        <w:rPr>
          <w:rFonts w:hint="eastAsia" w:ascii="仿宋" w:hAnsi="仿宋" w:eastAsia="仿宋"/>
          <w:color w:val="000000"/>
          <w:sz w:val="24"/>
        </w:rPr>
        <w:t>如</w:t>
      </w:r>
      <w:r>
        <w:rPr>
          <w:rFonts w:hint="eastAsia" w:ascii="仿宋" w:hAnsi="仿宋" w:eastAsia="仿宋"/>
          <w:color w:val="000000"/>
          <w:sz w:val="24"/>
          <w:lang w:val="en-US" w:eastAsia="zh-CN"/>
        </w:rPr>
        <w:t>乙方</w:t>
      </w:r>
      <w:r>
        <w:rPr>
          <w:rFonts w:hint="eastAsia" w:ascii="仿宋" w:hAnsi="仿宋" w:eastAsia="仿宋"/>
          <w:color w:val="000000"/>
          <w:sz w:val="24"/>
        </w:rPr>
        <w:t>不能按期完成设备检测的，造成设备年检过期的，一切费用或造成负面影响的由</w:t>
      </w:r>
      <w:r>
        <w:rPr>
          <w:rFonts w:hint="eastAsia" w:ascii="仿宋" w:hAnsi="仿宋" w:eastAsia="仿宋"/>
          <w:color w:val="000000"/>
          <w:sz w:val="24"/>
          <w:lang w:val="en-US" w:eastAsia="zh-CN"/>
        </w:rPr>
        <w:t>乙方</w:t>
      </w:r>
      <w:r>
        <w:rPr>
          <w:rFonts w:hint="eastAsia" w:ascii="仿宋" w:hAnsi="仿宋" w:eastAsia="仿宋"/>
          <w:color w:val="000000"/>
          <w:sz w:val="24"/>
        </w:rPr>
        <w:t>负责。</w:t>
      </w:r>
    </w:p>
    <w:p w14:paraId="6BCFB680">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8</w:t>
      </w:r>
      <w:r>
        <w:rPr>
          <w:rFonts w:hint="eastAsia" w:ascii="仿宋" w:hAnsi="仿宋" w:eastAsia="仿宋"/>
          <w:color w:val="000000"/>
          <w:sz w:val="24"/>
          <w:lang w:val="en-US" w:eastAsia="zh-CN"/>
        </w:rPr>
        <w:t>.乙方</w:t>
      </w:r>
      <w:r>
        <w:rPr>
          <w:rFonts w:hint="eastAsia" w:ascii="仿宋" w:hAnsi="仿宋" w:eastAsia="仿宋"/>
          <w:color w:val="000000"/>
          <w:sz w:val="24"/>
        </w:rPr>
        <w:t>须为本项目提供应急检测服务。当</w:t>
      </w:r>
      <w:r>
        <w:rPr>
          <w:rFonts w:hint="eastAsia" w:ascii="仿宋" w:hAnsi="仿宋" w:eastAsia="仿宋"/>
          <w:color w:val="000000"/>
          <w:sz w:val="24"/>
          <w:lang w:val="en-US" w:eastAsia="zh-CN"/>
        </w:rPr>
        <w:t>甲方</w:t>
      </w:r>
      <w:r>
        <w:rPr>
          <w:rFonts w:hint="eastAsia" w:ascii="仿宋" w:hAnsi="仿宋" w:eastAsia="仿宋"/>
          <w:color w:val="000000"/>
          <w:sz w:val="24"/>
        </w:rPr>
        <w:t>因设备故障需进行重大维修或更换重要零部件、突发公共卫生事件、监督检查、质量控制异常或其他紧急情况，需要立即开展放射诊疗设备性能与防护检测，</w:t>
      </w:r>
      <w:r>
        <w:rPr>
          <w:rFonts w:hint="eastAsia" w:ascii="仿宋" w:hAnsi="仿宋" w:eastAsia="仿宋"/>
          <w:color w:val="000000"/>
          <w:sz w:val="24"/>
          <w:lang w:val="en-US" w:eastAsia="zh-CN"/>
        </w:rPr>
        <w:t>乙方</w:t>
      </w:r>
      <w:r>
        <w:rPr>
          <w:rFonts w:hint="eastAsia" w:ascii="仿宋" w:hAnsi="仿宋" w:eastAsia="仿宋"/>
          <w:color w:val="000000"/>
          <w:sz w:val="24"/>
        </w:rPr>
        <w:t>应在接到</w:t>
      </w:r>
      <w:r>
        <w:rPr>
          <w:rFonts w:hint="eastAsia" w:ascii="仿宋" w:hAnsi="仿宋" w:eastAsia="仿宋"/>
          <w:color w:val="000000"/>
          <w:sz w:val="24"/>
          <w:lang w:val="en-US" w:eastAsia="zh-CN"/>
        </w:rPr>
        <w:t>甲方</w:t>
      </w:r>
      <w:r>
        <w:rPr>
          <w:rFonts w:hint="eastAsia" w:ascii="仿宋" w:hAnsi="仿宋" w:eastAsia="仿宋"/>
          <w:color w:val="000000"/>
          <w:sz w:val="24"/>
        </w:rPr>
        <w:t>正式通知后，2小时内响应，协商时间到达现场，按国家现行规范、标准完成应急检测工作，及时出具临时检测意见及正式检测报告。应急检测不另行收取任何费用，相关费用已包含在投标报价及年度服务总价中，</w:t>
      </w:r>
      <w:r>
        <w:rPr>
          <w:rFonts w:hint="eastAsia" w:ascii="仿宋" w:hAnsi="仿宋" w:eastAsia="仿宋"/>
          <w:color w:val="000000"/>
          <w:sz w:val="24"/>
          <w:lang w:val="en-US" w:eastAsia="zh-CN"/>
        </w:rPr>
        <w:t>甲方</w:t>
      </w:r>
      <w:r>
        <w:rPr>
          <w:rFonts w:hint="eastAsia" w:ascii="仿宋" w:hAnsi="仿宋" w:eastAsia="仿宋"/>
          <w:color w:val="000000"/>
          <w:sz w:val="24"/>
        </w:rPr>
        <w:t>不再支付额外费用。</w:t>
      </w:r>
    </w:p>
    <w:p w14:paraId="707B1E43">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lang w:eastAsia="zh-CN"/>
        </w:rPr>
        <w:t>9</w:t>
      </w:r>
      <w:r>
        <w:rPr>
          <w:rFonts w:hint="eastAsia" w:ascii="仿宋" w:hAnsi="仿宋" w:eastAsia="仿宋"/>
          <w:color w:val="000000"/>
          <w:sz w:val="24"/>
          <w:lang w:val="en-US" w:eastAsia="zh-CN"/>
        </w:rPr>
        <w:t>.</w:t>
      </w:r>
      <w:r>
        <w:rPr>
          <w:rFonts w:hint="eastAsia" w:ascii="仿宋" w:hAnsi="仿宋" w:eastAsia="仿宋"/>
          <w:color w:val="000000"/>
          <w:sz w:val="24"/>
        </w:rPr>
        <w:t>如</w:t>
      </w:r>
      <w:r>
        <w:rPr>
          <w:rFonts w:hint="eastAsia" w:ascii="仿宋" w:hAnsi="仿宋" w:eastAsia="仿宋"/>
          <w:color w:val="000000"/>
          <w:sz w:val="24"/>
          <w:lang w:val="en-US" w:eastAsia="zh-CN"/>
        </w:rPr>
        <w:t>甲方</w:t>
      </w:r>
      <w:r>
        <w:rPr>
          <w:rFonts w:hint="eastAsia" w:ascii="仿宋" w:hAnsi="仿宋" w:eastAsia="仿宋"/>
          <w:color w:val="000000"/>
          <w:sz w:val="24"/>
        </w:rPr>
        <w:t>在合同期内需要办理《放射诊疗许可证》变更/校验、《辐射安全许可证》变更/校验等工作的，</w:t>
      </w:r>
      <w:r>
        <w:rPr>
          <w:rFonts w:hint="eastAsia" w:ascii="仿宋" w:hAnsi="仿宋" w:eastAsia="仿宋"/>
          <w:color w:val="000000"/>
          <w:sz w:val="24"/>
          <w:lang w:val="en-US" w:eastAsia="zh-CN"/>
        </w:rPr>
        <w:t>乙方</w:t>
      </w:r>
      <w:r>
        <w:rPr>
          <w:rFonts w:hint="eastAsia" w:ascii="仿宋" w:hAnsi="仿宋" w:eastAsia="仿宋"/>
          <w:color w:val="000000"/>
          <w:sz w:val="24"/>
        </w:rPr>
        <w:t>需向</w:t>
      </w:r>
      <w:r>
        <w:rPr>
          <w:rFonts w:hint="eastAsia" w:ascii="仿宋" w:hAnsi="仿宋" w:eastAsia="仿宋"/>
          <w:color w:val="000000"/>
          <w:sz w:val="24"/>
          <w:lang w:val="en-US" w:eastAsia="zh-CN"/>
        </w:rPr>
        <w:t>甲方</w:t>
      </w:r>
      <w:r>
        <w:rPr>
          <w:rFonts w:hint="eastAsia" w:ascii="仿宋" w:hAnsi="仿宋" w:eastAsia="仿宋"/>
          <w:color w:val="000000"/>
          <w:sz w:val="24"/>
        </w:rPr>
        <w:t>提供咨询指导并协助办理。</w:t>
      </w:r>
    </w:p>
    <w:p w14:paraId="79BBA607">
      <w:pPr>
        <w:numPr>
          <w:ilvl w:val="0"/>
          <w:numId w:val="6"/>
        </w:numPr>
        <w:spacing w:line="360" w:lineRule="auto"/>
        <w:rPr>
          <w:rFonts w:hint="eastAsia" w:ascii="仿宋" w:hAnsi="仿宋" w:eastAsia="仿宋"/>
          <w:b/>
          <w:color w:val="000000"/>
          <w:sz w:val="24"/>
        </w:rPr>
      </w:pPr>
      <w:r>
        <w:rPr>
          <w:rFonts w:hint="eastAsia" w:ascii="仿宋" w:hAnsi="仿宋" w:eastAsia="仿宋"/>
          <w:b/>
          <w:color w:val="000000"/>
          <w:sz w:val="24"/>
        </w:rPr>
        <w:t>甲方协作事项</w:t>
      </w:r>
    </w:p>
    <w:p w14:paraId="6281FBF4">
      <w:pPr>
        <w:spacing w:line="360" w:lineRule="auto"/>
        <w:ind w:firstLine="360" w:firstLineChars="150"/>
        <w:rPr>
          <w:rFonts w:hint="eastAsia" w:ascii="仿宋" w:hAnsi="仿宋" w:eastAsia="仿宋"/>
          <w:color w:val="000000"/>
          <w:sz w:val="24"/>
        </w:rPr>
      </w:pPr>
      <w:r>
        <w:rPr>
          <w:rFonts w:ascii="仿宋" w:hAnsi="仿宋" w:eastAsia="仿宋"/>
          <w:color w:val="000000"/>
          <w:sz w:val="24"/>
        </w:rPr>
        <w:t xml:space="preserve"> </w:t>
      </w:r>
      <w:r>
        <w:rPr>
          <w:rFonts w:hint="eastAsia" w:ascii="仿宋" w:hAnsi="仿宋" w:eastAsia="仿宋"/>
          <w:color w:val="000000"/>
          <w:sz w:val="24"/>
        </w:rPr>
        <w:t>1．按乙方要求提供被检测设备、场所的相关技术资料。</w:t>
      </w:r>
    </w:p>
    <w:p w14:paraId="671D787B">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2．甲方指定</w:t>
      </w:r>
      <w:r>
        <w:rPr>
          <w:rFonts w:hint="eastAsia" w:ascii="仿宋" w:hAnsi="仿宋" w:eastAsia="仿宋"/>
          <w:color w:val="000000"/>
          <w:sz w:val="24"/>
          <w:u w:val="single"/>
          <w:lang w:val="en-US" w:eastAsia="zh-CN"/>
        </w:rPr>
        <w:t>防保科放射专管员</w:t>
      </w:r>
      <w:r>
        <w:rPr>
          <w:rFonts w:hint="eastAsia" w:ascii="仿宋" w:hAnsi="仿宋" w:eastAsia="仿宋"/>
          <w:color w:val="000000"/>
          <w:sz w:val="24"/>
        </w:rPr>
        <w:t>，电话</w:t>
      </w:r>
      <w:r>
        <w:rPr>
          <w:rFonts w:hint="eastAsia" w:ascii="仿宋" w:hAnsi="仿宋" w:eastAsia="仿宋"/>
          <w:color w:val="000000"/>
          <w:sz w:val="24"/>
          <w:u w:val="single"/>
          <w:lang w:val="en-US" w:eastAsia="zh-CN"/>
        </w:rPr>
        <w:t>0755-84813000</w:t>
      </w:r>
      <w:r>
        <w:rPr>
          <w:rFonts w:hint="eastAsia" w:ascii="仿宋" w:hAnsi="仿宋" w:eastAsia="仿宋"/>
          <w:color w:val="000000"/>
          <w:sz w:val="24"/>
        </w:rPr>
        <w:t xml:space="preserve">为现场检测联系人并安排专人陪同对接，为乙方在现场开展检测工作提供方便，乙方检测人员在主动征得甲方陪同人同意时可以操作受检设备，但甲方陪同人应主动告知操作的注意事项。 </w:t>
      </w:r>
    </w:p>
    <w:p w14:paraId="4000D9C6">
      <w:pPr>
        <w:spacing w:line="360" w:lineRule="auto"/>
        <w:ind w:firstLine="480" w:firstLineChars="200"/>
        <w:jc w:val="left"/>
        <w:rPr>
          <w:rFonts w:hint="eastAsia" w:ascii="仿宋" w:hAnsi="仿宋" w:eastAsia="仿宋"/>
          <w:color w:val="000000"/>
          <w:sz w:val="24"/>
        </w:rPr>
      </w:pPr>
      <w:r>
        <w:rPr>
          <w:rFonts w:hint="eastAsia" w:ascii="仿宋" w:hAnsi="仿宋" w:eastAsia="仿宋"/>
          <w:color w:val="000000"/>
          <w:sz w:val="24"/>
        </w:rPr>
        <w:t xml:space="preserve">3．甲方操作人员按检测标准要求操作，确保设备运行正常。 </w:t>
      </w:r>
    </w:p>
    <w:p w14:paraId="1A363561">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4．确保乙方在检测现场的工作人员安全并提供必要的防护用品。</w:t>
      </w:r>
    </w:p>
    <w:p w14:paraId="2BA336DB">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5．甲方指定</w:t>
      </w:r>
      <w:r>
        <w:rPr>
          <w:rFonts w:hint="eastAsia" w:ascii="仿宋" w:hAnsi="仿宋" w:eastAsia="仿宋"/>
          <w:color w:val="000000"/>
          <w:sz w:val="24"/>
          <w:u w:val="single"/>
          <w:lang w:val="en-US" w:eastAsia="zh-CN"/>
        </w:rPr>
        <w:t>防保科放射专管员</w:t>
      </w:r>
      <w:r>
        <w:rPr>
          <w:rFonts w:hint="eastAsia" w:ascii="仿宋" w:hAnsi="仿宋" w:eastAsia="仿宋"/>
          <w:color w:val="000000"/>
          <w:sz w:val="24"/>
        </w:rPr>
        <w:t>，电话</w:t>
      </w:r>
      <w:r>
        <w:rPr>
          <w:rFonts w:hint="eastAsia" w:ascii="仿宋" w:hAnsi="仿宋" w:eastAsia="仿宋"/>
          <w:color w:val="000000"/>
          <w:sz w:val="24"/>
          <w:u w:val="single"/>
          <w:lang w:val="en-US" w:eastAsia="zh-CN"/>
        </w:rPr>
        <w:t>0755-84813000</w:t>
      </w:r>
      <w:r>
        <w:rPr>
          <w:rFonts w:hint="eastAsia" w:ascii="仿宋" w:hAnsi="仿宋" w:eastAsia="仿宋"/>
          <w:color w:val="000000"/>
          <w:sz w:val="24"/>
        </w:rPr>
        <w:t>为检测报告收件人，邮寄收件地</w:t>
      </w:r>
      <w:r>
        <w:rPr>
          <w:rFonts w:hint="eastAsia" w:ascii="仿宋" w:hAnsi="仿宋" w:eastAsia="仿宋"/>
          <w:color w:val="000000"/>
          <w:sz w:val="24"/>
          <w:lang w:eastAsia="zh-CN"/>
        </w:rPr>
        <w:t>：</w:t>
      </w:r>
      <w:r>
        <w:rPr>
          <w:rFonts w:hint="eastAsia" w:ascii="仿宋" w:hAnsi="仿宋" w:eastAsia="仿宋" w:cs="Calibri"/>
          <w:color w:val="000000"/>
          <w:sz w:val="24"/>
          <w:szCs w:val="21"/>
          <w:u w:val="single"/>
          <w:shd w:val="clear" w:color="auto" w:fill="auto"/>
        </w:rPr>
        <w:t>深圳市龙岗区</w:t>
      </w:r>
      <w:r>
        <w:rPr>
          <w:rFonts w:hint="eastAsia" w:ascii="仿宋" w:hAnsi="仿宋" w:eastAsia="仿宋" w:cs="Calibri"/>
          <w:color w:val="000000"/>
          <w:sz w:val="24"/>
          <w:szCs w:val="21"/>
          <w:u w:val="single"/>
          <w:shd w:val="clear" w:color="auto" w:fill="auto"/>
          <w:lang w:val="en-US" w:eastAsia="zh-CN"/>
        </w:rPr>
        <w:t>龙岗街道</w:t>
      </w:r>
      <w:r>
        <w:rPr>
          <w:rFonts w:hint="eastAsia" w:ascii="仿宋" w:hAnsi="仿宋" w:eastAsia="仿宋" w:cs="Calibri"/>
          <w:color w:val="000000"/>
          <w:sz w:val="24"/>
          <w:szCs w:val="21"/>
          <w:u w:val="single"/>
          <w:shd w:val="clear" w:color="auto" w:fill="auto"/>
        </w:rPr>
        <w:t>龙岗大道（龙岗段）6082号</w:t>
      </w:r>
      <w:r>
        <w:rPr>
          <w:rFonts w:hint="eastAsia" w:ascii="仿宋" w:hAnsi="仿宋" w:eastAsia="仿宋" w:cs="Calibri"/>
          <w:color w:val="000000"/>
          <w:sz w:val="24"/>
          <w:szCs w:val="21"/>
          <w:u w:val="single"/>
          <w:shd w:val="clear" w:color="auto" w:fill="auto"/>
          <w:lang w:val="en-US" w:eastAsia="zh-CN"/>
        </w:rPr>
        <w:t>行政楼5栋401</w:t>
      </w:r>
      <w:r>
        <w:rPr>
          <w:rFonts w:hint="eastAsia" w:ascii="仿宋" w:hAnsi="仿宋" w:eastAsia="仿宋" w:cs="仿宋"/>
          <w:szCs w:val="24"/>
          <w:shd w:val="clear" w:color="auto" w:fill="FFFFFF"/>
          <w:lang w:val="en-US" w:eastAsia="zh-CN"/>
        </w:rPr>
        <w:t>，</w:t>
      </w:r>
      <w:r>
        <w:rPr>
          <w:rFonts w:hint="eastAsia" w:ascii="仿宋" w:hAnsi="仿宋" w:eastAsia="仿宋"/>
          <w:color w:val="000000"/>
          <w:sz w:val="24"/>
        </w:rPr>
        <w:t>邮编</w:t>
      </w:r>
      <w:r>
        <w:rPr>
          <w:rFonts w:hint="eastAsia" w:ascii="仿宋" w:hAnsi="仿宋" w:eastAsia="仿宋"/>
          <w:color w:val="000000"/>
          <w:sz w:val="24"/>
          <w:u w:val="single"/>
          <w:lang w:val="en-US" w:eastAsia="zh-CN"/>
        </w:rPr>
        <w:t>518116</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14:paraId="7A26610C">
      <w:pPr>
        <w:numPr>
          <w:ilvl w:val="0"/>
          <w:numId w:val="6"/>
        </w:numPr>
        <w:spacing w:line="360" w:lineRule="auto"/>
        <w:rPr>
          <w:rFonts w:hint="eastAsia" w:ascii="仿宋" w:hAnsi="仿宋" w:eastAsia="仿宋"/>
          <w:color w:val="000000"/>
          <w:sz w:val="24"/>
        </w:rPr>
      </w:pPr>
      <w:r>
        <w:rPr>
          <w:rFonts w:hint="eastAsia" w:ascii="仿宋" w:hAnsi="仿宋" w:eastAsia="仿宋"/>
          <w:b/>
          <w:color w:val="000000"/>
          <w:sz w:val="24"/>
        </w:rPr>
        <w:t>技术服务费用及支付方式</w:t>
      </w:r>
    </w:p>
    <w:p w14:paraId="7B3CAA0F">
      <w:pPr>
        <w:spacing w:line="360" w:lineRule="auto"/>
        <w:ind w:firstLine="48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．甲方新增设备或减少被检测的设备数量，实际技术服务费按照附件1《放射卫生年度检测技术服务费用计算表》进行结算，每年度结算金额不得超过招标预算价</w:t>
      </w:r>
      <w:r>
        <w:rPr>
          <w:rFonts w:hint="eastAsia" w:ascii="仿宋" w:hAnsi="仿宋" w:eastAsia="仿宋"/>
          <w:bCs/>
          <w:color w:val="000000"/>
          <w:sz w:val="24"/>
          <w:u w:val="single"/>
        </w:rPr>
        <w:t>XX</w:t>
      </w:r>
      <w:r>
        <w:rPr>
          <w:rFonts w:hint="eastAsia" w:ascii="仿宋" w:hAnsi="仿宋" w:eastAsia="仿宋"/>
          <w:color w:val="000000"/>
          <w:sz w:val="24"/>
          <w:u w:val="single"/>
        </w:rPr>
        <w:t>元</w:t>
      </w:r>
      <w:r>
        <w:rPr>
          <w:rFonts w:hint="eastAsia" w:ascii="仿宋" w:hAnsi="仿宋" w:eastAsia="仿宋"/>
          <w:color w:val="000000"/>
          <w:sz w:val="24"/>
        </w:rPr>
        <w:t>。</w:t>
      </w:r>
    </w:p>
    <w:p w14:paraId="5AB66056">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2．付款方式：本项目不设预付款，在甲方验收后，乙方出具相应发票后通知甲方付款，甲方收到对应金额发票，完成付款审批流程后，向乙方支付发票对应款项。</w:t>
      </w:r>
      <w:r>
        <w:rPr>
          <w:rFonts w:hint="eastAsia" w:ascii="仿宋" w:hAnsi="仿宋" w:eastAsia="仿宋"/>
          <w:color w:val="000000"/>
          <w:sz w:val="24"/>
          <w:u w:val="single"/>
        </w:rPr>
        <w:t>甲方需在</w:t>
      </w:r>
      <w:r>
        <w:rPr>
          <w:rFonts w:hint="eastAsia" w:ascii="仿宋" w:hAnsi="仿宋" w:eastAsia="仿宋"/>
          <w:color w:val="000000"/>
          <w:sz w:val="24"/>
          <w:u w:val="single"/>
          <w:lang w:val="en-US" w:eastAsia="zh-CN"/>
        </w:rPr>
        <w:t>XX</w:t>
      </w:r>
      <w:r>
        <w:rPr>
          <w:rFonts w:hint="eastAsia" w:ascii="仿宋" w:hAnsi="仿宋" w:eastAsia="仿宋"/>
          <w:color w:val="000000"/>
          <w:sz w:val="24"/>
          <w:u w:val="single"/>
        </w:rPr>
        <w:t>日内履行付款义务。</w:t>
      </w:r>
    </w:p>
    <w:p w14:paraId="535C42AE">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3．乙方提供等额增值税普通电子发票或增值税专用发票；甲方若需开增值税专用发票（仅针对增值税一般纳税人），则应提供盖有一般纳税人资格的税务登记证复印件作为开票依据。</w:t>
      </w:r>
    </w:p>
    <w:p w14:paraId="16085A3F">
      <w:pPr>
        <w:numPr>
          <w:ilvl w:val="0"/>
          <w:numId w:val="6"/>
        </w:numPr>
        <w:spacing w:line="360" w:lineRule="auto"/>
        <w:rPr>
          <w:rFonts w:hint="eastAsia" w:ascii="仿宋" w:hAnsi="仿宋" w:eastAsia="仿宋"/>
          <w:b/>
          <w:color w:val="000000"/>
          <w:sz w:val="24"/>
        </w:rPr>
      </w:pPr>
      <w:r>
        <w:rPr>
          <w:rFonts w:hint="eastAsia" w:ascii="仿宋" w:hAnsi="仿宋" w:eastAsia="仿宋"/>
          <w:b/>
          <w:color w:val="000000"/>
          <w:sz w:val="24"/>
        </w:rPr>
        <w:t>检测事项</w:t>
      </w:r>
    </w:p>
    <w:p w14:paraId="1515B708">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乙方</w:t>
      </w:r>
      <w:r>
        <w:rPr>
          <w:rFonts w:hint="eastAsia" w:ascii="仿宋" w:hAnsi="仿宋" w:eastAsia="仿宋"/>
          <w:color w:val="000000"/>
          <w:sz w:val="24"/>
        </w:rPr>
        <w:t>工作人员</w:t>
      </w:r>
      <w:r>
        <w:rPr>
          <w:rFonts w:ascii="仿宋" w:hAnsi="仿宋" w:eastAsia="仿宋"/>
          <w:color w:val="000000"/>
          <w:sz w:val="24"/>
        </w:rPr>
        <w:t>在甲方</w:t>
      </w:r>
      <w:r>
        <w:rPr>
          <w:rFonts w:hint="eastAsia" w:ascii="仿宋" w:hAnsi="仿宋" w:eastAsia="仿宋"/>
          <w:color w:val="000000"/>
          <w:sz w:val="24"/>
        </w:rPr>
        <w:t>工作场所</w:t>
      </w:r>
      <w:r>
        <w:rPr>
          <w:rFonts w:ascii="仿宋" w:hAnsi="仿宋" w:eastAsia="仿宋"/>
          <w:color w:val="000000"/>
          <w:sz w:val="24"/>
        </w:rPr>
        <w:t>，应遵守</w:t>
      </w:r>
      <w:r>
        <w:rPr>
          <w:rFonts w:hint="eastAsia" w:ascii="仿宋" w:hAnsi="仿宋" w:eastAsia="仿宋"/>
          <w:color w:val="000000"/>
          <w:sz w:val="24"/>
        </w:rPr>
        <w:t>甲方</w:t>
      </w:r>
      <w:r>
        <w:rPr>
          <w:rFonts w:ascii="仿宋" w:hAnsi="仿宋" w:eastAsia="仿宋"/>
          <w:color w:val="000000"/>
          <w:sz w:val="24"/>
        </w:rPr>
        <w:t>有关规章制度</w:t>
      </w:r>
      <w:r>
        <w:rPr>
          <w:rFonts w:hint="eastAsia" w:ascii="仿宋" w:hAnsi="仿宋" w:eastAsia="仿宋"/>
          <w:color w:val="000000"/>
          <w:sz w:val="24"/>
        </w:rPr>
        <w:t>和</w:t>
      </w:r>
      <w:r>
        <w:rPr>
          <w:rFonts w:ascii="仿宋" w:hAnsi="仿宋" w:eastAsia="仿宋"/>
          <w:color w:val="000000"/>
          <w:sz w:val="24"/>
        </w:rPr>
        <w:t>安全</w:t>
      </w:r>
      <w:r>
        <w:rPr>
          <w:rFonts w:hint="eastAsia" w:ascii="仿宋" w:hAnsi="仿宋" w:eastAsia="仿宋"/>
          <w:color w:val="000000"/>
          <w:sz w:val="24"/>
        </w:rPr>
        <w:t>操作</w:t>
      </w:r>
      <w:r>
        <w:rPr>
          <w:rFonts w:ascii="仿宋" w:hAnsi="仿宋" w:eastAsia="仿宋"/>
          <w:color w:val="000000"/>
          <w:sz w:val="24"/>
        </w:rPr>
        <w:t>规程。由于乙方自身原因造成的安全责任，由乙方自行承担。</w:t>
      </w:r>
    </w:p>
    <w:p w14:paraId="0D6BD554">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2．乙方工作人员在甲方工作场所进行检测时受到由甲方原因造成的人身或财产损失，由甲方承担相应责任。</w:t>
      </w:r>
    </w:p>
    <w:p w14:paraId="2FE42C42">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3．乙方按国家标准方法对甲方仪器进行检测，在检测过程中出现的被检仪器异常或损坏，乙方不承担任何责任，若因乙方未按国家标准方法检测，或操作错误导致的被检仪器损坏，乙方应承担相应的责任。</w:t>
      </w:r>
    </w:p>
    <w:p w14:paraId="7E57A632">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4．第三条第2款所列情况中，若乙方检测人员未征得甲方陪同人同意时自行操作受检设备，或未按甲方陪同人提出的注意事项要求操作受检设备导致的设备损坏由乙方承担相应责任。若甲方陪同人不能全程操作受检设备，乙方检测人员征得甲方陪同人同意并按注意事项和国家标准要求操作受检设备，此时受检设备损坏，乙方不承担责任。</w:t>
      </w:r>
    </w:p>
    <w:p w14:paraId="244ABF32">
      <w:pPr>
        <w:numPr>
          <w:ilvl w:val="0"/>
          <w:numId w:val="6"/>
        </w:numPr>
        <w:spacing w:line="360" w:lineRule="auto"/>
        <w:rPr>
          <w:rFonts w:hint="eastAsia" w:ascii="仿宋" w:hAnsi="仿宋" w:eastAsia="仿宋"/>
          <w:b/>
          <w:color w:val="000000"/>
          <w:sz w:val="24"/>
        </w:rPr>
      </w:pPr>
      <w:r>
        <w:rPr>
          <w:rFonts w:hint="eastAsia" w:ascii="仿宋" w:hAnsi="仿宋" w:eastAsia="仿宋"/>
          <w:b/>
          <w:color w:val="000000"/>
          <w:sz w:val="24"/>
        </w:rPr>
        <w:t>诚信廉洁约定</w:t>
      </w:r>
    </w:p>
    <w:p w14:paraId="0E1D31E8">
      <w:pPr>
        <w:pStyle w:val="9"/>
        <w:spacing w:line="360" w:lineRule="auto"/>
        <w:ind w:firstLine="480"/>
        <w:rPr>
          <w:rFonts w:hint="eastAsia" w:ascii="仿宋" w:hAnsi="仿宋" w:eastAsia="仿宋"/>
          <w:color w:val="000000"/>
          <w:sz w:val="24"/>
        </w:rPr>
      </w:pPr>
      <w:r>
        <w:rPr>
          <w:rFonts w:ascii="仿宋" w:hAnsi="仿宋" w:eastAsia="仿宋"/>
          <w:color w:val="000000"/>
          <w:sz w:val="24"/>
        </w:rPr>
        <w:t>签约</w:t>
      </w:r>
      <w:r>
        <w:rPr>
          <w:rFonts w:hint="eastAsia" w:ascii="仿宋" w:hAnsi="仿宋" w:eastAsia="仿宋"/>
          <w:color w:val="000000"/>
          <w:sz w:val="24"/>
        </w:rPr>
        <w:t>双</w:t>
      </w:r>
      <w:r>
        <w:rPr>
          <w:rFonts w:ascii="仿宋" w:hAnsi="仿宋" w:eastAsia="仿宋"/>
          <w:color w:val="000000"/>
          <w:sz w:val="24"/>
        </w:rPr>
        <w:t>方和与本合同有关的人员都应廉洁自律、约束自己，遵守</w:t>
      </w:r>
      <w:r>
        <w:rPr>
          <w:rFonts w:hint="eastAsia" w:ascii="仿宋" w:hAnsi="仿宋" w:eastAsia="仿宋"/>
          <w:color w:val="000000"/>
          <w:sz w:val="24"/>
        </w:rPr>
        <w:t>法律</w:t>
      </w:r>
      <w:r>
        <w:rPr>
          <w:rFonts w:ascii="仿宋" w:hAnsi="仿宋" w:eastAsia="仿宋"/>
          <w:color w:val="000000"/>
          <w:sz w:val="24"/>
        </w:rPr>
        <w:t>法规，保证合同的正常履行，不得以非法手段诱骗、欺诈、刁难对方。</w:t>
      </w:r>
      <w:r>
        <w:rPr>
          <w:rFonts w:hint="eastAsia" w:ascii="仿宋" w:hAnsi="仿宋" w:eastAsia="仿宋"/>
          <w:color w:val="000000"/>
          <w:sz w:val="24"/>
        </w:rPr>
        <w:t>双方</w:t>
      </w:r>
      <w:r>
        <w:rPr>
          <w:rFonts w:ascii="仿宋" w:hAnsi="仿宋" w:eastAsia="仿宋"/>
          <w:color w:val="000000"/>
          <w:sz w:val="24"/>
        </w:rPr>
        <w:t>有关人员不得搞宴请、送礼、甚至贿赂</w:t>
      </w:r>
      <w:r>
        <w:rPr>
          <w:rFonts w:hint="eastAsia" w:ascii="仿宋" w:hAnsi="仿宋" w:eastAsia="仿宋"/>
          <w:color w:val="000000"/>
          <w:sz w:val="24"/>
        </w:rPr>
        <w:t>对方</w:t>
      </w:r>
      <w:r>
        <w:rPr>
          <w:rFonts w:ascii="仿宋" w:hAnsi="仿宋" w:eastAsia="仿宋"/>
          <w:color w:val="000000"/>
          <w:sz w:val="24"/>
        </w:rPr>
        <w:t>有关人员。</w:t>
      </w:r>
    </w:p>
    <w:p w14:paraId="0AA31D92">
      <w:pPr>
        <w:numPr>
          <w:ilvl w:val="0"/>
          <w:numId w:val="6"/>
        </w:numPr>
        <w:spacing w:line="360" w:lineRule="auto"/>
        <w:rPr>
          <w:rFonts w:hint="eastAsia" w:ascii="仿宋" w:hAnsi="仿宋" w:eastAsia="仿宋"/>
          <w:b/>
          <w:color w:val="000000"/>
          <w:sz w:val="24"/>
        </w:rPr>
      </w:pPr>
      <w:r>
        <w:rPr>
          <w:rFonts w:hint="eastAsia" w:ascii="仿宋" w:hAnsi="仿宋" w:eastAsia="仿宋"/>
          <w:b/>
          <w:color w:val="000000"/>
          <w:sz w:val="24"/>
        </w:rPr>
        <w:t>保密约定</w:t>
      </w:r>
    </w:p>
    <w:p w14:paraId="3034286E">
      <w:pPr>
        <w:pStyle w:val="9"/>
        <w:spacing w:line="360" w:lineRule="auto"/>
        <w:ind w:firstLine="480"/>
        <w:rPr>
          <w:rFonts w:hint="eastAsia" w:ascii="仿宋" w:hAnsi="仿宋" w:eastAsia="仿宋"/>
          <w:color w:val="000000"/>
          <w:sz w:val="24"/>
        </w:rPr>
      </w:pPr>
      <w:r>
        <w:rPr>
          <w:rFonts w:hint="eastAsia" w:ascii="仿宋" w:hAnsi="仿宋" w:eastAsia="仿宋"/>
          <w:color w:val="000000"/>
          <w:sz w:val="24"/>
        </w:rPr>
        <w:t xml:space="preserve">1．甲方不得向第三方透露乙方检测过程中的技术和经营信息；检测报告仅限向相关行政部门提交和内部归档。       </w:t>
      </w:r>
    </w:p>
    <w:p w14:paraId="53D4BA67">
      <w:pPr>
        <w:pStyle w:val="9"/>
        <w:spacing w:line="360" w:lineRule="auto"/>
        <w:ind w:firstLine="480"/>
        <w:rPr>
          <w:rFonts w:hint="eastAsia" w:ascii="仿宋" w:hAnsi="仿宋" w:eastAsia="仿宋"/>
          <w:color w:val="000000"/>
          <w:sz w:val="24"/>
        </w:rPr>
      </w:pPr>
      <w:r>
        <w:rPr>
          <w:rFonts w:hint="eastAsia" w:ascii="仿宋" w:hAnsi="仿宋" w:eastAsia="仿宋"/>
          <w:color w:val="000000"/>
          <w:sz w:val="24"/>
        </w:rPr>
        <w:t>2．乙方除向相关行政部门提交和内部归档外，不得向第三方透露甲方提供的所有资料和检测报告内容。</w:t>
      </w:r>
    </w:p>
    <w:p w14:paraId="0EF80875">
      <w:pPr>
        <w:numPr>
          <w:ilvl w:val="0"/>
          <w:numId w:val="6"/>
        </w:numPr>
        <w:spacing w:line="360" w:lineRule="auto"/>
        <w:rPr>
          <w:rFonts w:hint="eastAsia" w:ascii="仿宋" w:hAnsi="仿宋" w:eastAsia="仿宋"/>
          <w:b/>
          <w:color w:val="000000"/>
          <w:sz w:val="24"/>
        </w:rPr>
      </w:pPr>
      <w:r>
        <w:rPr>
          <w:rFonts w:hint="eastAsia" w:ascii="仿宋" w:hAnsi="仿宋" w:eastAsia="仿宋"/>
          <w:b/>
          <w:color w:val="000000"/>
          <w:sz w:val="24"/>
        </w:rPr>
        <w:t>违约责任和违约金</w:t>
      </w:r>
    </w:p>
    <w:p w14:paraId="75D78B22">
      <w:pPr>
        <w:pStyle w:val="9"/>
        <w:spacing w:line="360" w:lineRule="auto"/>
        <w:ind w:left="420" w:leftChars="200" w:firstLine="0" w:firstLineChars="0"/>
        <w:jc w:val="left"/>
        <w:rPr>
          <w:rFonts w:hint="eastAsia" w:ascii="仿宋" w:hAnsi="仿宋" w:eastAsia="仿宋" w:cs="Times New Roman + SimSun"/>
          <w:sz w:val="24"/>
        </w:rPr>
      </w:pPr>
      <w:r>
        <w:rPr>
          <w:rFonts w:hint="eastAsia" w:ascii="仿宋" w:hAnsi="仿宋" w:eastAsia="仿宋" w:cs="Times New Roman + SimSun"/>
          <w:sz w:val="24"/>
        </w:rPr>
        <w:t>1．甲乙双方应严格遵守本合同，未按约定</w:t>
      </w:r>
      <w:r>
        <w:rPr>
          <w:rFonts w:ascii="仿宋" w:hAnsi="仿宋" w:eastAsia="仿宋" w:cs="Times New Roman + SimSun"/>
          <w:sz w:val="24"/>
        </w:rPr>
        <w:t>履行</w:t>
      </w:r>
      <w:r>
        <w:rPr>
          <w:rFonts w:hint="eastAsia" w:ascii="仿宋" w:hAnsi="仿宋" w:eastAsia="仿宋" w:cs="Times New Roman + SimSun"/>
          <w:sz w:val="24"/>
        </w:rPr>
        <w:t>本</w:t>
      </w:r>
      <w:r>
        <w:rPr>
          <w:rFonts w:ascii="仿宋" w:hAnsi="仿宋" w:eastAsia="仿宋" w:cs="Times New Roman + SimSun"/>
          <w:sz w:val="24"/>
        </w:rPr>
        <w:t>合同的，应承担违约责任</w:t>
      </w:r>
      <w:r>
        <w:rPr>
          <w:rFonts w:hint="eastAsia" w:ascii="仿宋" w:hAnsi="仿宋" w:eastAsia="仿宋" w:cs="Times New Roman + SimSun"/>
          <w:sz w:val="24"/>
        </w:rPr>
        <w:t>。</w:t>
      </w:r>
    </w:p>
    <w:p w14:paraId="7B1CEBD6">
      <w:pPr>
        <w:pStyle w:val="9"/>
        <w:spacing w:line="360" w:lineRule="auto"/>
        <w:ind w:left="420" w:leftChars="200" w:firstLine="0" w:firstLineChars="0"/>
        <w:jc w:val="left"/>
        <w:rPr>
          <w:rFonts w:hint="eastAsia" w:ascii="仿宋" w:hAnsi="仿宋" w:eastAsia="仿宋" w:cs="Times New Roman + SimSun"/>
          <w:sz w:val="24"/>
        </w:rPr>
      </w:pPr>
      <w:r>
        <w:rPr>
          <w:rFonts w:hint="eastAsia" w:ascii="仿宋" w:hAnsi="仿宋" w:eastAsia="仿宋" w:cs="Times New Roman + SimSun"/>
          <w:sz w:val="24"/>
        </w:rPr>
        <w:t>2．合同期内，甲方无正当理由终止委托，须支付乙方收费总额</w:t>
      </w:r>
      <w:r>
        <w:rPr>
          <w:rFonts w:hint="eastAsia" w:ascii="仿宋" w:hAnsi="仿宋" w:eastAsia="仿宋" w:cs="Times New Roman + SimSun"/>
          <w:sz w:val="24"/>
          <w:lang w:val="en-US" w:eastAsia="zh-CN"/>
        </w:rPr>
        <w:t>2</w:t>
      </w:r>
      <w:r>
        <w:rPr>
          <w:rFonts w:hint="eastAsia" w:ascii="仿宋" w:hAnsi="仿宋" w:eastAsia="仿宋" w:cs="Times New Roman + SimSun"/>
          <w:sz w:val="24"/>
        </w:rPr>
        <w:t>0%的违约金，但乙方存在违约行为的，甲方终止委托无须支付违约金。</w:t>
      </w:r>
    </w:p>
    <w:p w14:paraId="3D8D3164">
      <w:pPr>
        <w:pStyle w:val="9"/>
        <w:spacing w:line="360" w:lineRule="auto"/>
        <w:ind w:left="420" w:leftChars="200" w:firstLine="0" w:firstLineChars="0"/>
        <w:jc w:val="left"/>
        <w:rPr>
          <w:rFonts w:hint="eastAsia" w:ascii="仿宋" w:hAnsi="仿宋" w:eastAsia="仿宋" w:cs="Times New Roman + SimSun"/>
          <w:sz w:val="24"/>
        </w:rPr>
      </w:pPr>
      <w:r>
        <w:rPr>
          <w:rFonts w:hint="eastAsia" w:ascii="仿宋" w:hAnsi="仿宋" w:eastAsia="仿宋" w:cs="Times New Roman + SimSun"/>
          <w:sz w:val="24"/>
        </w:rPr>
        <w:t>3．乙方尽职尽责完成放射卫生检测技术服务，未经甲方书面允许，不得擅自委托第三方代为履行义务，否则甲方有权解除合同，并要求乙方退回全款及支付收费总额</w:t>
      </w:r>
      <w:r>
        <w:rPr>
          <w:rFonts w:hint="eastAsia" w:ascii="仿宋" w:hAnsi="仿宋" w:eastAsia="仿宋" w:cs="Times New Roman + SimSun"/>
          <w:sz w:val="24"/>
          <w:lang w:val="en-US" w:eastAsia="zh-CN"/>
        </w:rPr>
        <w:t>2</w:t>
      </w:r>
      <w:r>
        <w:rPr>
          <w:rFonts w:hint="eastAsia" w:ascii="仿宋" w:hAnsi="仿宋" w:eastAsia="仿宋" w:cs="Times New Roman + SimSun"/>
          <w:sz w:val="24"/>
        </w:rPr>
        <w:t>0%违约金，若因此造成甲方损失的，乙方还需就此承担赔偿责任。</w:t>
      </w:r>
    </w:p>
    <w:p w14:paraId="71157A21">
      <w:pPr>
        <w:pStyle w:val="9"/>
        <w:spacing w:line="360" w:lineRule="auto"/>
        <w:ind w:left="420" w:leftChars="200" w:firstLine="0" w:firstLineChars="0"/>
        <w:jc w:val="left"/>
        <w:rPr>
          <w:rFonts w:hint="eastAsia" w:ascii="仿宋" w:hAnsi="仿宋" w:eastAsia="仿宋" w:cs="Times New Roman + SimSun"/>
          <w:sz w:val="24"/>
        </w:rPr>
      </w:pPr>
      <w:r>
        <w:rPr>
          <w:rFonts w:hint="eastAsia" w:ascii="仿宋" w:hAnsi="仿宋" w:eastAsia="仿宋" w:cs="Times New Roman + SimSun"/>
          <w:sz w:val="24"/>
        </w:rPr>
        <w:t>4．因乙方的设备或服务存在缺陷、违规导致甲方或其他第三方遭受人身或财产损失的，由乙方负责赔偿和解决。</w:t>
      </w:r>
    </w:p>
    <w:p w14:paraId="456872FA">
      <w:pPr>
        <w:pStyle w:val="9"/>
        <w:spacing w:line="360" w:lineRule="auto"/>
        <w:ind w:left="420" w:leftChars="200" w:firstLine="0" w:firstLineChars="0"/>
        <w:jc w:val="left"/>
        <w:rPr>
          <w:rFonts w:hint="eastAsia" w:ascii="仿宋" w:hAnsi="仿宋" w:eastAsia="仿宋" w:cs="Times New Roman + SimSun"/>
          <w:sz w:val="24"/>
        </w:rPr>
      </w:pPr>
      <w:r>
        <w:rPr>
          <w:rFonts w:hint="eastAsia" w:ascii="仿宋" w:hAnsi="仿宋" w:eastAsia="仿宋" w:cs="Times New Roman + SimSun"/>
          <w:sz w:val="24"/>
        </w:rPr>
        <w:t>5.甲方逾期付款的，每逾期1日，甲方应向乙方支付技术服务费用总额万分之三的违约金，超过30日仍未付款的，乙方有权解除本合同。违约金总额最高不超过甲方未付费用的百分之三十。</w:t>
      </w:r>
    </w:p>
    <w:p w14:paraId="69447E72">
      <w:pPr>
        <w:pStyle w:val="9"/>
        <w:spacing w:line="360" w:lineRule="auto"/>
        <w:ind w:left="479" w:leftChars="228" w:firstLine="0" w:firstLineChars="0"/>
        <w:rPr>
          <w:rFonts w:hint="eastAsia" w:ascii="仿宋" w:hAnsi="仿宋" w:eastAsia="仿宋"/>
          <w:color w:val="000000"/>
          <w:sz w:val="24"/>
        </w:rPr>
      </w:pPr>
      <w:r>
        <w:rPr>
          <w:rFonts w:hint="eastAsia" w:ascii="仿宋" w:hAnsi="仿宋" w:eastAsia="仿宋" w:cs="Times New Roman + SimSun"/>
          <w:sz w:val="24"/>
        </w:rPr>
        <w:t>6.乙方逾期完成检测、撰写报告初稿或提交报告的，每逾期1日，乙方应向甲方支付技术服务费用总额万分之三的违约金；逾期超过30日的，甲方有权解除本合同，并要求乙方支付技术服务费用总额百分之三十的违约金。</w:t>
      </w:r>
    </w:p>
    <w:p w14:paraId="5123358F">
      <w:pPr>
        <w:numPr>
          <w:ilvl w:val="0"/>
          <w:numId w:val="6"/>
        </w:numPr>
        <w:spacing w:line="360" w:lineRule="auto"/>
        <w:rPr>
          <w:rFonts w:hint="eastAsia" w:ascii="仿宋" w:hAnsi="仿宋" w:eastAsia="仿宋"/>
          <w:b/>
          <w:color w:val="000000"/>
          <w:sz w:val="24"/>
        </w:rPr>
      </w:pPr>
      <w:r>
        <w:rPr>
          <w:rFonts w:hint="eastAsia" w:ascii="仿宋" w:hAnsi="仿宋" w:eastAsia="仿宋"/>
          <w:b/>
          <w:color w:val="000000"/>
          <w:sz w:val="24"/>
        </w:rPr>
        <w:t>双方约定的其它事项</w:t>
      </w:r>
    </w:p>
    <w:p w14:paraId="64F2E3C3">
      <w:pPr>
        <w:spacing w:line="360" w:lineRule="auto"/>
        <w:ind w:left="440"/>
        <w:rPr>
          <w:rFonts w:hint="eastAsia" w:ascii="仿宋" w:hAnsi="仿宋" w:eastAsia="仿宋"/>
          <w:color w:val="000000"/>
          <w:sz w:val="24"/>
        </w:rPr>
      </w:pPr>
      <w:r>
        <w:rPr>
          <w:rFonts w:hint="eastAsia" w:ascii="仿宋" w:hAnsi="仿宋" w:eastAsia="仿宋"/>
          <w:color w:val="000000"/>
          <w:sz w:val="24"/>
        </w:rPr>
        <w:t>1．本合同如发生争议或纠纷，甲乙双方应协商解决，协商不成的，向甲方所在地人民法院起诉，违约方须承担守约方的诉讼费、律师费、保全保险费、差旅费等费用。</w:t>
      </w:r>
    </w:p>
    <w:p w14:paraId="4CBAA6B5">
      <w:pPr>
        <w:spacing w:line="360" w:lineRule="auto"/>
        <w:ind w:left="440"/>
        <w:rPr>
          <w:rFonts w:hint="eastAsia" w:ascii="仿宋" w:hAnsi="仿宋" w:eastAsia="仿宋"/>
          <w:color w:val="000000"/>
          <w:sz w:val="24"/>
        </w:rPr>
      </w:pPr>
      <w:r>
        <w:rPr>
          <w:rFonts w:hint="eastAsia" w:ascii="仿宋" w:hAnsi="仿宋" w:eastAsia="仿宋"/>
          <w:color w:val="000000"/>
          <w:sz w:val="24"/>
        </w:rPr>
        <w:t>2．在本合同执行过程中，经甲、乙双方确认的其它规定、实施记录及有关备忘录均作为本合同的附件，与本合同具有同等效力。</w:t>
      </w:r>
    </w:p>
    <w:p w14:paraId="38A39D60">
      <w:pPr>
        <w:spacing w:line="360" w:lineRule="auto"/>
        <w:ind w:left="440"/>
        <w:rPr>
          <w:rFonts w:hint="eastAsia" w:ascii="仿宋" w:hAnsi="仿宋" w:eastAsia="仿宋"/>
          <w:color w:val="000000"/>
          <w:sz w:val="24"/>
        </w:rPr>
      </w:pPr>
      <w:r>
        <w:rPr>
          <w:rFonts w:hint="eastAsia" w:ascii="仿宋" w:hAnsi="仿宋" w:eastAsia="仿宋"/>
          <w:color w:val="000000"/>
          <w:sz w:val="24"/>
        </w:rPr>
        <w:t>3．本合同自甲、乙双方签字并加盖公章或合同专用章之日起生效，本合同在乙方向甲方交付检测与评价报告、甲方向乙方全额支付技术服务费用后终止。</w:t>
      </w:r>
    </w:p>
    <w:p w14:paraId="5256AE43">
      <w:pPr>
        <w:spacing w:line="360" w:lineRule="auto"/>
        <w:ind w:left="440"/>
        <w:rPr>
          <w:rFonts w:hint="eastAsia" w:ascii="仿宋" w:hAnsi="仿宋" w:eastAsia="仿宋"/>
          <w:color w:val="000000"/>
          <w:sz w:val="24"/>
        </w:rPr>
      </w:pPr>
      <w:r>
        <w:rPr>
          <w:rFonts w:hint="eastAsia" w:ascii="仿宋" w:hAnsi="仿宋" w:eastAsia="仿宋"/>
          <w:color w:val="000000"/>
          <w:sz w:val="24"/>
        </w:rPr>
        <w:t>4．本合同的变更必须由双方协商一致，并以书面形式确定。一方可以向另一方提出变更合同权利与义务的请求，另一方应当在收到对方书面通知后七日内予以答复；逾期未予答复的，视为同意。</w:t>
      </w:r>
    </w:p>
    <w:p w14:paraId="1AEEFAA7">
      <w:pPr>
        <w:spacing w:line="360" w:lineRule="auto"/>
        <w:ind w:left="440"/>
        <w:rPr>
          <w:rFonts w:hint="eastAsia" w:ascii="仿宋" w:hAnsi="仿宋" w:eastAsia="仿宋"/>
          <w:color w:val="000000"/>
          <w:sz w:val="24"/>
        </w:rPr>
      </w:pPr>
      <w:r>
        <w:rPr>
          <w:rFonts w:hint="eastAsia" w:ascii="仿宋" w:hAnsi="仿宋" w:eastAsia="仿宋"/>
          <w:color w:val="000000"/>
          <w:sz w:val="24"/>
        </w:rPr>
        <w:t>5．双方确定，出现下列情形，致使本合同的履行成为不必要或不可能的，可以解除本合同：</w:t>
      </w:r>
    </w:p>
    <w:p w14:paraId="4B111408">
      <w:pPr>
        <w:spacing w:line="360" w:lineRule="auto"/>
        <w:ind w:left="440"/>
        <w:rPr>
          <w:rFonts w:hint="eastAsia" w:ascii="仿宋" w:hAnsi="仿宋" w:eastAsia="仿宋"/>
          <w:color w:val="000000"/>
          <w:sz w:val="24"/>
        </w:rPr>
      </w:pPr>
      <w:r>
        <w:rPr>
          <w:rFonts w:hint="eastAsia" w:ascii="仿宋" w:hAnsi="仿宋" w:eastAsia="仿宋"/>
          <w:color w:val="000000"/>
          <w:sz w:val="24"/>
        </w:rPr>
        <w:t>（1）发生不可抗力；</w:t>
      </w:r>
    </w:p>
    <w:p w14:paraId="1B796BE3">
      <w:pPr>
        <w:spacing w:line="360" w:lineRule="auto"/>
        <w:ind w:left="440"/>
        <w:rPr>
          <w:rFonts w:hint="eastAsia" w:ascii="仿宋" w:hAnsi="仿宋" w:eastAsia="仿宋"/>
          <w:color w:val="000000"/>
          <w:sz w:val="24"/>
        </w:rPr>
      </w:pPr>
      <w:r>
        <w:rPr>
          <w:rFonts w:hint="eastAsia" w:ascii="仿宋" w:hAnsi="仿宋" w:eastAsia="仿宋"/>
          <w:color w:val="000000"/>
          <w:sz w:val="24"/>
        </w:rPr>
        <w:t>（2）甲乙双方任何一方因行政原因停止与本合同有关的项目的经营。</w:t>
      </w:r>
    </w:p>
    <w:p w14:paraId="14A5CB60">
      <w:pPr>
        <w:spacing w:line="360" w:lineRule="auto"/>
        <w:ind w:left="440"/>
        <w:rPr>
          <w:rFonts w:hint="eastAsia" w:ascii="仿宋" w:hAnsi="仿宋" w:eastAsia="仿宋"/>
          <w:color w:val="000000"/>
        </w:rPr>
      </w:pPr>
      <w:r>
        <w:rPr>
          <w:rFonts w:hint="eastAsia" w:ascii="仿宋" w:hAnsi="仿宋" w:eastAsia="仿宋"/>
          <w:color w:val="000000"/>
          <w:sz w:val="24"/>
        </w:rPr>
        <w:t>6．本合同一式伍份，甲方执肆份，乙方执壹份，具有同等法律效力。</w:t>
      </w:r>
    </w:p>
    <w:p w14:paraId="639B1D88">
      <w:pPr>
        <w:spacing w:line="240" w:lineRule="auto"/>
        <w:rPr>
          <w:rFonts w:hint="eastAsia" w:ascii="Calibri" w:hAnsi="Calibri" w:eastAsia="宋体" w:cs="Calibri"/>
          <w:kern w:val="2"/>
          <w:sz w:val="21"/>
          <w:szCs w:val="21"/>
          <w:lang w:val="en-US" w:eastAsia="zh-CN" w:bidi="ar-SA"/>
        </w:rPr>
      </w:pPr>
    </w:p>
    <w:p w14:paraId="506E2516">
      <w:pPr>
        <w:numPr>
          <w:ilvl w:val="-1"/>
          <w:numId w:val="0"/>
        </w:numPr>
        <w:spacing w:line="360" w:lineRule="auto"/>
        <w:ind w:left="0" w:firstLine="0" w:firstLineChars="0"/>
        <w:jc w:val="both"/>
        <w:rPr>
          <w:rFonts w:hint="eastAsia" w:ascii="仿宋" w:hAnsi="仿宋" w:eastAsia="仿宋"/>
          <w:b/>
          <w:color w:val="000000"/>
          <w:sz w:val="24"/>
        </w:rPr>
      </w:pPr>
      <w:r>
        <w:rPr>
          <w:rFonts w:hint="eastAsia" w:ascii="仿宋" w:hAnsi="仿宋" w:eastAsia="仿宋"/>
          <w:b/>
          <w:color w:val="000000"/>
          <w:sz w:val="24"/>
        </w:rPr>
        <w:t>附件1：放射卫生年度检测技术服务费用计算表</w:t>
      </w:r>
    </w:p>
    <w:p w14:paraId="60D949B0">
      <w:pPr>
        <w:rPr>
          <w:rFonts w:hint="eastAsia"/>
          <w:color w:val="000000"/>
        </w:rPr>
      </w:pPr>
    </w:p>
    <w:p w14:paraId="469091AD">
      <w:pPr>
        <w:rPr>
          <w:rFonts w:hint="eastAsia" w:cs="等线"/>
          <w:b/>
          <w:bCs/>
          <w:color w:val="2A2A2A"/>
          <w:sz w:val="52"/>
          <w:szCs w:val="52"/>
          <w:shd w:val="clear" w:color="auto" w:fill="FFFFFF"/>
          <w:lang w:val="en-US" w:eastAsia="zh-CN"/>
        </w:rPr>
      </w:pPr>
    </w:p>
    <w:p w14:paraId="560A5CBB">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14:paraId="158BCC2F">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八、投标人认为需要加以说明的其他内容的格式</w:t>
      </w:r>
    </w:p>
    <w:p w14:paraId="00A4417E">
      <w:pPr>
        <w:widowControl/>
        <w:jc w:val="left"/>
        <w:rPr>
          <w:rFonts w:hint="eastAsia" w:ascii="仿宋" w:hAnsi="仿宋" w:eastAsia="仿宋" w:cs="仿宋"/>
          <w:b/>
          <w:bCs/>
          <w:sz w:val="24"/>
          <w:szCs w:val="20"/>
          <w:highlight w:val="none"/>
        </w:rPr>
      </w:pPr>
    </w:p>
    <w:p w14:paraId="38135F54">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60736DB7">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132E21BE">
      <w:pPr>
        <w:widowControl w:val="0"/>
        <w:ind w:firstLine="482" w:firstLineChars="200"/>
        <w:jc w:val="center"/>
        <w:rPr>
          <w:rFonts w:hint="eastAsia" w:ascii="仿宋" w:hAnsi="仿宋" w:eastAsia="仿宋" w:cs="仿宋"/>
          <w:b/>
          <w:bCs/>
          <w:kern w:val="2"/>
          <w:sz w:val="24"/>
          <w:szCs w:val="24"/>
          <w:highlight w:val="none"/>
          <w:lang w:val="en-US" w:eastAsia="zh-CN"/>
        </w:rPr>
      </w:pPr>
    </w:p>
    <w:p w14:paraId="35A95281">
      <w:pPr>
        <w:widowControl w:val="0"/>
        <w:ind w:firstLine="482" w:firstLineChars="200"/>
        <w:jc w:val="center"/>
        <w:rPr>
          <w:rFonts w:hint="eastAsia" w:ascii="仿宋" w:hAnsi="仿宋" w:eastAsia="仿宋" w:cs="仿宋"/>
          <w:b/>
          <w:bCs/>
          <w:kern w:val="2"/>
          <w:sz w:val="24"/>
          <w:szCs w:val="24"/>
          <w:highlight w:val="none"/>
          <w:lang w:val="en-US" w:eastAsia="zh-CN"/>
        </w:rPr>
      </w:pPr>
    </w:p>
    <w:p w14:paraId="018060B5">
      <w:pPr>
        <w:pStyle w:val="6"/>
        <w:rPr>
          <w:rFonts w:hint="eastAsia" w:ascii="仿宋" w:hAnsi="仿宋" w:eastAsia="仿宋" w:cs="仿宋"/>
          <w:b/>
          <w:bCs/>
          <w:kern w:val="2"/>
          <w:sz w:val="24"/>
          <w:szCs w:val="24"/>
          <w:highlight w:val="none"/>
          <w:lang w:val="en-US" w:eastAsia="zh-CN"/>
        </w:rPr>
      </w:pPr>
    </w:p>
    <w:p w14:paraId="12575AE3">
      <w:pPr>
        <w:rPr>
          <w:rFonts w:hint="eastAsia" w:ascii="仿宋" w:hAnsi="仿宋" w:eastAsia="仿宋" w:cs="仿宋"/>
          <w:b/>
          <w:bCs/>
          <w:kern w:val="2"/>
          <w:sz w:val="24"/>
          <w:szCs w:val="24"/>
          <w:highlight w:val="none"/>
          <w:lang w:val="en-US" w:eastAsia="zh-CN"/>
        </w:rPr>
      </w:pPr>
    </w:p>
    <w:p w14:paraId="7A5E2BE8">
      <w:pPr>
        <w:pStyle w:val="6"/>
        <w:rPr>
          <w:rFonts w:hint="eastAsia" w:ascii="仿宋" w:hAnsi="仿宋" w:eastAsia="仿宋" w:cs="仿宋"/>
          <w:b/>
          <w:bCs/>
          <w:kern w:val="2"/>
          <w:sz w:val="24"/>
          <w:szCs w:val="24"/>
          <w:highlight w:val="none"/>
          <w:lang w:val="en-US" w:eastAsia="zh-CN"/>
        </w:rPr>
      </w:pPr>
    </w:p>
    <w:p w14:paraId="37181E62">
      <w:pPr>
        <w:rPr>
          <w:rFonts w:hint="eastAsia" w:ascii="仿宋" w:hAnsi="仿宋" w:eastAsia="仿宋" w:cs="仿宋"/>
          <w:b/>
          <w:bCs/>
          <w:kern w:val="2"/>
          <w:sz w:val="24"/>
          <w:szCs w:val="24"/>
          <w:highlight w:val="none"/>
          <w:lang w:val="en-US" w:eastAsia="zh-CN"/>
        </w:rPr>
      </w:pPr>
    </w:p>
    <w:p w14:paraId="13CCD29D">
      <w:pPr>
        <w:pStyle w:val="6"/>
        <w:rPr>
          <w:rFonts w:hint="eastAsia" w:ascii="仿宋" w:hAnsi="仿宋" w:eastAsia="仿宋" w:cs="仿宋"/>
          <w:b/>
          <w:bCs/>
          <w:kern w:val="2"/>
          <w:sz w:val="24"/>
          <w:szCs w:val="24"/>
          <w:highlight w:val="none"/>
          <w:lang w:val="en-US" w:eastAsia="zh-CN"/>
        </w:rPr>
      </w:pPr>
    </w:p>
    <w:p w14:paraId="6C64E753">
      <w:pPr>
        <w:rPr>
          <w:rFonts w:hint="eastAsia" w:ascii="仿宋" w:hAnsi="仿宋" w:eastAsia="仿宋" w:cs="仿宋"/>
          <w:b/>
          <w:bCs/>
          <w:kern w:val="2"/>
          <w:sz w:val="24"/>
          <w:szCs w:val="24"/>
          <w:highlight w:val="none"/>
          <w:lang w:val="en-US" w:eastAsia="zh-CN"/>
        </w:rPr>
      </w:pPr>
    </w:p>
    <w:p w14:paraId="5CA201AD">
      <w:pPr>
        <w:pStyle w:val="6"/>
        <w:rPr>
          <w:rFonts w:hint="eastAsia" w:ascii="仿宋" w:hAnsi="仿宋" w:eastAsia="仿宋" w:cs="仿宋"/>
          <w:b/>
          <w:bCs/>
          <w:kern w:val="2"/>
          <w:sz w:val="24"/>
          <w:szCs w:val="24"/>
          <w:highlight w:val="none"/>
          <w:lang w:val="en-US" w:eastAsia="zh-CN"/>
        </w:rPr>
      </w:pPr>
    </w:p>
    <w:p w14:paraId="609B4B00">
      <w:pPr>
        <w:pStyle w:val="27"/>
        <w:rPr>
          <w:rFonts w:hint="eastAsia" w:ascii="仿宋" w:hAnsi="仿宋" w:eastAsia="仿宋" w:cs="仿宋"/>
          <w:b/>
          <w:bCs/>
          <w:kern w:val="2"/>
          <w:sz w:val="24"/>
          <w:szCs w:val="24"/>
          <w:highlight w:val="none"/>
          <w:lang w:val="en-US" w:eastAsia="zh-CN"/>
        </w:rPr>
      </w:pPr>
    </w:p>
    <w:p w14:paraId="3CD4AF06">
      <w:pPr>
        <w:rPr>
          <w:rFonts w:hint="eastAsia" w:ascii="仿宋" w:hAnsi="仿宋" w:eastAsia="仿宋" w:cs="仿宋"/>
          <w:b/>
          <w:bCs/>
          <w:kern w:val="2"/>
          <w:sz w:val="24"/>
          <w:szCs w:val="24"/>
          <w:highlight w:val="none"/>
          <w:lang w:val="en-US" w:eastAsia="zh-CN"/>
        </w:rPr>
      </w:pPr>
    </w:p>
    <w:p w14:paraId="12E2881F">
      <w:pPr>
        <w:pStyle w:val="6"/>
        <w:rPr>
          <w:rFonts w:hint="eastAsia" w:ascii="仿宋" w:hAnsi="仿宋" w:eastAsia="仿宋" w:cs="仿宋"/>
          <w:b/>
          <w:bCs/>
          <w:kern w:val="2"/>
          <w:sz w:val="24"/>
          <w:szCs w:val="24"/>
          <w:highlight w:val="none"/>
          <w:lang w:val="en-US" w:eastAsia="zh-CN"/>
        </w:rPr>
      </w:pPr>
    </w:p>
    <w:p w14:paraId="2B1191ED">
      <w:pPr>
        <w:pStyle w:val="27"/>
        <w:rPr>
          <w:rFonts w:hint="eastAsia" w:ascii="仿宋" w:hAnsi="仿宋" w:eastAsia="仿宋" w:cs="仿宋"/>
          <w:b/>
          <w:bCs/>
          <w:kern w:val="2"/>
          <w:sz w:val="24"/>
          <w:szCs w:val="24"/>
          <w:highlight w:val="none"/>
          <w:lang w:val="en-US" w:eastAsia="zh-CN"/>
        </w:rPr>
      </w:pPr>
    </w:p>
    <w:p w14:paraId="0A6544E7">
      <w:pPr>
        <w:rPr>
          <w:rFonts w:hint="eastAsia" w:ascii="仿宋" w:hAnsi="仿宋" w:eastAsia="仿宋" w:cs="仿宋"/>
          <w:b/>
          <w:bCs/>
          <w:kern w:val="2"/>
          <w:sz w:val="24"/>
          <w:szCs w:val="24"/>
          <w:highlight w:val="none"/>
          <w:lang w:val="en-US" w:eastAsia="zh-CN"/>
        </w:rPr>
      </w:pPr>
    </w:p>
    <w:p w14:paraId="4DC8A313">
      <w:pPr>
        <w:pStyle w:val="6"/>
        <w:rPr>
          <w:rFonts w:hint="eastAsia" w:ascii="仿宋" w:hAnsi="仿宋" w:eastAsia="仿宋" w:cs="仿宋"/>
          <w:b/>
          <w:bCs/>
          <w:kern w:val="2"/>
          <w:sz w:val="24"/>
          <w:szCs w:val="24"/>
          <w:highlight w:val="none"/>
          <w:lang w:val="en-US" w:eastAsia="zh-CN"/>
        </w:rPr>
      </w:pPr>
    </w:p>
    <w:p w14:paraId="691A7DF5">
      <w:pPr>
        <w:pStyle w:val="27"/>
        <w:rPr>
          <w:rFonts w:hint="eastAsia" w:ascii="仿宋" w:hAnsi="仿宋" w:eastAsia="仿宋" w:cs="仿宋"/>
          <w:b/>
          <w:bCs/>
          <w:kern w:val="2"/>
          <w:sz w:val="24"/>
          <w:szCs w:val="24"/>
          <w:highlight w:val="none"/>
          <w:lang w:val="en-US" w:eastAsia="zh-CN"/>
        </w:rPr>
      </w:pPr>
    </w:p>
    <w:p w14:paraId="5E4C8470">
      <w:pPr>
        <w:rPr>
          <w:rFonts w:hint="eastAsia" w:ascii="仿宋" w:hAnsi="仿宋" w:eastAsia="仿宋" w:cs="仿宋"/>
          <w:b/>
          <w:bCs/>
          <w:kern w:val="2"/>
          <w:sz w:val="24"/>
          <w:szCs w:val="24"/>
          <w:highlight w:val="none"/>
          <w:lang w:val="en-US" w:eastAsia="zh-CN"/>
        </w:rPr>
      </w:pPr>
    </w:p>
    <w:p w14:paraId="0A47E710">
      <w:pPr>
        <w:pStyle w:val="6"/>
        <w:rPr>
          <w:rFonts w:hint="eastAsia" w:ascii="仿宋" w:hAnsi="仿宋" w:eastAsia="仿宋" w:cs="仿宋"/>
          <w:b/>
          <w:bCs/>
          <w:kern w:val="2"/>
          <w:sz w:val="24"/>
          <w:szCs w:val="24"/>
          <w:highlight w:val="none"/>
          <w:lang w:val="en-US" w:eastAsia="zh-CN"/>
        </w:rPr>
      </w:pPr>
    </w:p>
    <w:p w14:paraId="1C2324C5">
      <w:pPr>
        <w:pStyle w:val="27"/>
        <w:rPr>
          <w:rFonts w:hint="eastAsia" w:ascii="仿宋" w:hAnsi="仿宋" w:eastAsia="仿宋" w:cs="仿宋"/>
          <w:b/>
          <w:bCs/>
          <w:kern w:val="2"/>
          <w:sz w:val="24"/>
          <w:szCs w:val="24"/>
          <w:highlight w:val="none"/>
          <w:lang w:val="en-US" w:eastAsia="zh-CN"/>
        </w:rPr>
      </w:pPr>
    </w:p>
    <w:p w14:paraId="1F653636">
      <w:pPr>
        <w:rPr>
          <w:rFonts w:hint="eastAsia" w:ascii="仿宋" w:hAnsi="仿宋" w:eastAsia="仿宋" w:cs="仿宋"/>
          <w:b/>
          <w:bCs/>
          <w:kern w:val="2"/>
          <w:sz w:val="24"/>
          <w:szCs w:val="24"/>
          <w:highlight w:val="none"/>
          <w:lang w:val="en-US" w:eastAsia="zh-CN"/>
        </w:rPr>
      </w:pPr>
    </w:p>
    <w:p w14:paraId="4A05A107">
      <w:pPr>
        <w:pStyle w:val="6"/>
        <w:rPr>
          <w:rFonts w:hint="eastAsia" w:ascii="仿宋" w:hAnsi="仿宋" w:eastAsia="仿宋" w:cs="仿宋"/>
          <w:b/>
          <w:bCs/>
          <w:kern w:val="2"/>
          <w:sz w:val="24"/>
          <w:szCs w:val="24"/>
          <w:highlight w:val="none"/>
          <w:lang w:val="en-US" w:eastAsia="zh-CN"/>
        </w:rPr>
      </w:pPr>
    </w:p>
    <w:p w14:paraId="098DBF67">
      <w:pPr>
        <w:pStyle w:val="27"/>
        <w:rPr>
          <w:rFonts w:hint="eastAsia" w:ascii="仿宋" w:hAnsi="仿宋" w:eastAsia="仿宋" w:cs="仿宋"/>
          <w:b/>
          <w:bCs/>
          <w:kern w:val="2"/>
          <w:sz w:val="24"/>
          <w:szCs w:val="24"/>
          <w:highlight w:val="none"/>
          <w:lang w:val="en-US" w:eastAsia="zh-CN"/>
        </w:rPr>
      </w:pPr>
    </w:p>
    <w:p w14:paraId="22FBE5D3">
      <w:pPr>
        <w:rPr>
          <w:rFonts w:hint="eastAsia" w:ascii="仿宋" w:hAnsi="仿宋" w:eastAsia="仿宋" w:cs="仿宋"/>
          <w:b/>
          <w:bCs/>
          <w:kern w:val="2"/>
          <w:sz w:val="24"/>
          <w:szCs w:val="24"/>
          <w:highlight w:val="none"/>
          <w:lang w:val="en-US" w:eastAsia="zh-CN"/>
        </w:rPr>
      </w:pPr>
    </w:p>
    <w:p w14:paraId="4E63AD2F">
      <w:pPr>
        <w:pStyle w:val="6"/>
        <w:rPr>
          <w:rFonts w:hint="eastAsia" w:ascii="仿宋" w:hAnsi="仿宋" w:eastAsia="仿宋" w:cs="仿宋"/>
          <w:b/>
          <w:bCs/>
          <w:kern w:val="2"/>
          <w:sz w:val="24"/>
          <w:szCs w:val="24"/>
          <w:highlight w:val="none"/>
          <w:lang w:val="en-US" w:eastAsia="zh-CN"/>
        </w:rPr>
      </w:pPr>
    </w:p>
    <w:p w14:paraId="4FF4DDE6">
      <w:pPr>
        <w:pStyle w:val="27"/>
        <w:rPr>
          <w:rFonts w:hint="eastAsia" w:ascii="仿宋" w:hAnsi="仿宋" w:eastAsia="仿宋" w:cs="仿宋"/>
          <w:b/>
          <w:bCs/>
          <w:kern w:val="2"/>
          <w:sz w:val="24"/>
          <w:szCs w:val="24"/>
          <w:highlight w:val="none"/>
          <w:lang w:val="en-US" w:eastAsia="zh-CN"/>
        </w:rPr>
      </w:pPr>
    </w:p>
    <w:p w14:paraId="7826ED54">
      <w:pPr>
        <w:rPr>
          <w:rFonts w:hint="eastAsia" w:ascii="仿宋" w:hAnsi="仿宋" w:eastAsia="仿宋" w:cs="仿宋"/>
          <w:b/>
          <w:bCs/>
          <w:kern w:val="2"/>
          <w:sz w:val="24"/>
          <w:szCs w:val="24"/>
          <w:highlight w:val="none"/>
          <w:lang w:val="en-US" w:eastAsia="zh-CN"/>
        </w:rPr>
      </w:pPr>
    </w:p>
    <w:p w14:paraId="406753E6">
      <w:pPr>
        <w:pStyle w:val="6"/>
        <w:rPr>
          <w:rFonts w:hint="eastAsia" w:ascii="仿宋" w:hAnsi="仿宋" w:eastAsia="仿宋" w:cs="仿宋"/>
          <w:b/>
          <w:bCs/>
          <w:kern w:val="2"/>
          <w:sz w:val="24"/>
          <w:szCs w:val="24"/>
          <w:highlight w:val="none"/>
          <w:lang w:val="en-US" w:eastAsia="zh-CN"/>
        </w:rPr>
      </w:pPr>
    </w:p>
    <w:p w14:paraId="70F6B6F7">
      <w:pPr>
        <w:pStyle w:val="27"/>
        <w:rPr>
          <w:rFonts w:hint="eastAsia" w:ascii="仿宋" w:hAnsi="仿宋" w:eastAsia="仿宋" w:cs="仿宋"/>
          <w:b/>
          <w:bCs/>
          <w:kern w:val="2"/>
          <w:sz w:val="24"/>
          <w:szCs w:val="24"/>
          <w:highlight w:val="none"/>
          <w:lang w:val="en-US" w:eastAsia="zh-CN"/>
        </w:rPr>
      </w:pPr>
    </w:p>
    <w:p w14:paraId="24F39A05">
      <w:pPr>
        <w:rPr>
          <w:rFonts w:hint="eastAsia" w:ascii="仿宋" w:hAnsi="仿宋" w:eastAsia="仿宋" w:cs="仿宋"/>
          <w:b/>
          <w:bCs/>
          <w:kern w:val="2"/>
          <w:sz w:val="24"/>
          <w:szCs w:val="24"/>
          <w:highlight w:val="none"/>
          <w:lang w:val="en-US" w:eastAsia="zh-CN"/>
        </w:rPr>
      </w:pPr>
    </w:p>
    <w:p w14:paraId="1BE05774">
      <w:pPr>
        <w:pStyle w:val="6"/>
        <w:rPr>
          <w:rFonts w:hint="eastAsia" w:ascii="仿宋" w:hAnsi="仿宋" w:eastAsia="仿宋" w:cs="仿宋"/>
          <w:b/>
          <w:bCs/>
          <w:kern w:val="2"/>
          <w:sz w:val="24"/>
          <w:szCs w:val="24"/>
          <w:highlight w:val="none"/>
          <w:lang w:val="en-US" w:eastAsia="zh-CN"/>
        </w:rPr>
      </w:pPr>
    </w:p>
    <w:p w14:paraId="01FE4480">
      <w:pPr>
        <w:pStyle w:val="27"/>
        <w:rPr>
          <w:rFonts w:hint="eastAsia" w:ascii="仿宋" w:hAnsi="仿宋" w:eastAsia="仿宋" w:cs="仿宋"/>
          <w:b/>
          <w:bCs/>
          <w:kern w:val="2"/>
          <w:sz w:val="24"/>
          <w:szCs w:val="24"/>
          <w:highlight w:val="none"/>
          <w:lang w:val="en-US" w:eastAsia="zh-CN"/>
        </w:rPr>
      </w:pPr>
    </w:p>
    <w:p w14:paraId="7B54B8B3">
      <w:pPr>
        <w:rPr>
          <w:rFonts w:hint="eastAsia" w:ascii="仿宋" w:hAnsi="仿宋" w:eastAsia="仿宋" w:cs="仿宋"/>
          <w:b/>
          <w:bCs/>
          <w:kern w:val="2"/>
          <w:sz w:val="24"/>
          <w:szCs w:val="24"/>
          <w:highlight w:val="none"/>
          <w:lang w:val="en-US" w:eastAsia="zh-CN"/>
        </w:rPr>
      </w:pPr>
    </w:p>
    <w:p w14:paraId="62AFBFB6">
      <w:pPr>
        <w:pStyle w:val="6"/>
        <w:rPr>
          <w:rFonts w:hint="eastAsia" w:ascii="仿宋" w:hAnsi="仿宋" w:eastAsia="仿宋" w:cs="仿宋"/>
          <w:b/>
          <w:bCs/>
          <w:kern w:val="2"/>
          <w:sz w:val="24"/>
          <w:szCs w:val="24"/>
          <w:highlight w:val="none"/>
          <w:lang w:val="en-US" w:eastAsia="zh-CN"/>
        </w:rPr>
      </w:pPr>
    </w:p>
    <w:p w14:paraId="34068CD9">
      <w:pPr>
        <w:pStyle w:val="27"/>
        <w:rPr>
          <w:rFonts w:hint="eastAsia" w:ascii="仿宋" w:hAnsi="仿宋" w:eastAsia="仿宋" w:cs="仿宋"/>
          <w:b/>
          <w:bCs/>
          <w:kern w:val="2"/>
          <w:sz w:val="24"/>
          <w:szCs w:val="24"/>
          <w:highlight w:val="none"/>
          <w:lang w:val="en-US" w:eastAsia="zh-CN"/>
        </w:rPr>
      </w:pPr>
    </w:p>
    <w:p w14:paraId="26170B7A">
      <w:pPr>
        <w:rPr>
          <w:rFonts w:hint="eastAsia" w:ascii="仿宋" w:hAnsi="仿宋" w:eastAsia="仿宋" w:cs="仿宋"/>
          <w:b/>
          <w:bCs/>
          <w:kern w:val="2"/>
          <w:sz w:val="24"/>
          <w:szCs w:val="24"/>
          <w:highlight w:val="none"/>
          <w:lang w:val="en-US" w:eastAsia="zh-CN"/>
        </w:rPr>
      </w:pPr>
    </w:p>
    <w:p w14:paraId="14D818B0">
      <w:pPr>
        <w:pStyle w:val="6"/>
        <w:rPr>
          <w:rFonts w:hint="eastAsia" w:ascii="仿宋" w:hAnsi="仿宋" w:eastAsia="仿宋" w:cs="仿宋"/>
          <w:b/>
          <w:bCs/>
          <w:kern w:val="2"/>
          <w:sz w:val="24"/>
          <w:szCs w:val="24"/>
          <w:highlight w:val="none"/>
          <w:lang w:val="en-US" w:eastAsia="zh-CN"/>
        </w:rPr>
      </w:pPr>
    </w:p>
    <w:p w14:paraId="2400EB4D">
      <w:pPr>
        <w:pStyle w:val="27"/>
        <w:rPr>
          <w:rFonts w:hint="eastAsia" w:ascii="仿宋" w:hAnsi="仿宋" w:eastAsia="仿宋" w:cs="仿宋"/>
          <w:b/>
          <w:bCs/>
          <w:kern w:val="2"/>
          <w:sz w:val="24"/>
          <w:szCs w:val="24"/>
          <w:highlight w:val="none"/>
          <w:lang w:val="en-US" w:eastAsia="zh-CN"/>
        </w:rPr>
      </w:pPr>
    </w:p>
    <w:p w14:paraId="126B179B">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 New Roman + SimSun">
    <w:altName w:val="宋体"/>
    <w:panose1 w:val="02020603050405020304"/>
    <w:charset w:val="86"/>
    <w:family w:val="roman"/>
    <w:pitch w:val="default"/>
    <w:sig w:usb0="00000000" w:usb1="00000000" w:usb2="0000003F" w:usb3="00000000" w:csb0="0004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1BE0">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F0C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DEF0C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5F52">
    <w:pPr>
      <w:pStyle w:val="13"/>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367BD">
                          <w:pPr>
                            <w:pStyle w:val="13"/>
                            <w:jc w:val="center"/>
                          </w:pPr>
                          <w:r>
                            <w:rPr>
                              <w:rFonts w:hint="eastAsia"/>
                            </w:rPr>
                            <w:t>第</w:t>
                          </w:r>
                          <w:r>
                            <w:fldChar w:fldCharType="begin"/>
                          </w:r>
                          <w:r>
                            <w:rPr>
                              <w:rStyle w:val="24"/>
                            </w:rPr>
                            <w:instrText xml:space="preserve"> PAGE </w:instrText>
                          </w:r>
                          <w:r>
                            <w:fldChar w:fldCharType="separate"/>
                          </w:r>
                          <w:r>
                            <w:rPr>
                              <w:rStyle w:val="24"/>
                            </w:rPr>
                            <w:t>5</w:t>
                          </w:r>
                          <w:r>
                            <w:fldChar w:fldCharType="end"/>
                          </w:r>
                          <w:r>
                            <w:rPr>
                              <w:rStyle w:val="24"/>
                              <w:rFonts w:hint="eastAsia"/>
                            </w:rPr>
                            <w:t>页 共</w:t>
                          </w:r>
                          <w:r>
                            <w:rPr>
                              <w:rFonts w:hint="eastAsia"/>
                            </w:rPr>
                            <w:t>4</w:t>
                          </w:r>
                          <w:r>
                            <w:rPr>
                              <w:rStyle w:val="24"/>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6367BD">
                    <w:pPr>
                      <w:pStyle w:val="13"/>
                      <w:jc w:val="center"/>
                    </w:pPr>
                    <w:r>
                      <w:rPr>
                        <w:rFonts w:hint="eastAsia"/>
                      </w:rPr>
                      <w:t>第</w:t>
                    </w:r>
                    <w:r>
                      <w:fldChar w:fldCharType="begin"/>
                    </w:r>
                    <w:r>
                      <w:rPr>
                        <w:rStyle w:val="24"/>
                      </w:rPr>
                      <w:instrText xml:space="preserve"> PAGE </w:instrText>
                    </w:r>
                    <w:r>
                      <w:fldChar w:fldCharType="separate"/>
                    </w:r>
                    <w:r>
                      <w:rPr>
                        <w:rStyle w:val="24"/>
                      </w:rPr>
                      <w:t>5</w:t>
                    </w:r>
                    <w:r>
                      <w:fldChar w:fldCharType="end"/>
                    </w:r>
                    <w:r>
                      <w:rPr>
                        <w:rStyle w:val="24"/>
                        <w:rFonts w:hint="eastAsia"/>
                      </w:rPr>
                      <w:t>页 共</w:t>
                    </w:r>
                    <w:r>
                      <w:rPr>
                        <w:rFonts w:hint="eastAsia"/>
                      </w:rPr>
                      <w:t>4</w:t>
                    </w:r>
                    <w:r>
                      <w:rPr>
                        <w:rStyle w:val="24"/>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F590">
    <w:pPr>
      <w:pStyle w:val="13"/>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38CA832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2CA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DDA8B">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DDDA8B">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E5C0">
    <w:pPr>
      <w:pStyle w:val="13"/>
      <w:jc w:val="left"/>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657F8">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2657F8">
                    <w:pPr>
                      <w:pStyle w:val="13"/>
                    </w:pPr>
                    <w:r>
                      <w:fldChar w:fldCharType="begin"/>
                    </w:r>
                    <w:r>
                      <w:instrText xml:space="preserve"> PAGE  \* MERGEFORMAT </w:instrText>
                    </w:r>
                    <w:r>
                      <w:fldChar w:fldCharType="separate"/>
                    </w:r>
                    <w:r>
                      <w:t>10</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BDF80">
                          <w:pPr>
                            <w:pStyle w:val="13"/>
                            <w:jc w:val="left"/>
                          </w:pPr>
                        </w:p>
                        <w:p w14:paraId="317FF3B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8BDF80">
                    <w:pPr>
                      <w:pStyle w:val="13"/>
                      <w:jc w:val="left"/>
                    </w:pPr>
                  </w:p>
                  <w:p w14:paraId="317FF3B7"/>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52E0">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E6ED6">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6EE6ED6">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3437">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399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B5A8">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FD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B37B4641"/>
    <w:multiLevelType w:val="singleLevel"/>
    <w:tmpl w:val="B37B4641"/>
    <w:lvl w:ilvl="0" w:tentative="0">
      <w:start w:val="2"/>
      <w:numFmt w:val="decimal"/>
      <w:lvlText w:val="%1."/>
      <w:lvlJc w:val="left"/>
      <w:pPr>
        <w:tabs>
          <w:tab w:val="left" w:pos="312"/>
        </w:tabs>
      </w:p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162944C8"/>
    <w:multiLevelType w:val="multilevel"/>
    <w:tmpl w:val="162944C8"/>
    <w:lvl w:ilvl="0" w:tentative="0">
      <w:start w:val="1"/>
      <w:numFmt w:val="chineseCountingThousand"/>
      <w:lvlText w:val="第%1条"/>
      <w:lvlJc w:val="left"/>
      <w:pPr>
        <w:ind w:left="440" w:hanging="440"/>
      </w:pPr>
      <w:rPr>
        <w:rFonts w:hint="eastAsia"/>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96F2EC0"/>
    <w:multiLevelType w:val="singleLevel"/>
    <w:tmpl w:val="296F2EC0"/>
    <w:lvl w:ilvl="0" w:tentative="0">
      <w:start w:val="2"/>
      <w:numFmt w:val="chineseCounting"/>
      <w:suff w:val="nothing"/>
      <w:lvlText w:val="%1、"/>
      <w:lvlJc w:val="left"/>
      <w:rPr>
        <w:rFonts w:hint="eastAsi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0E7B1F"/>
    <w:rsid w:val="00110A4D"/>
    <w:rsid w:val="001113B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C4449"/>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257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2A0E"/>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0EE"/>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16BE5"/>
    <w:rsid w:val="00A4331F"/>
    <w:rsid w:val="00A46C4C"/>
    <w:rsid w:val="00A70EF6"/>
    <w:rsid w:val="00A72CDE"/>
    <w:rsid w:val="00A77293"/>
    <w:rsid w:val="00A83AD0"/>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1E1FE4"/>
    <w:rsid w:val="01311EF4"/>
    <w:rsid w:val="01545A05"/>
    <w:rsid w:val="015772A4"/>
    <w:rsid w:val="016025FC"/>
    <w:rsid w:val="01B110AA"/>
    <w:rsid w:val="01CA5CC8"/>
    <w:rsid w:val="01E943A0"/>
    <w:rsid w:val="01FB2325"/>
    <w:rsid w:val="02070CCA"/>
    <w:rsid w:val="02510197"/>
    <w:rsid w:val="029A1B3E"/>
    <w:rsid w:val="029D3A65"/>
    <w:rsid w:val="029E28CC"/>
    <w:rsid w:val="02BA21E0"/>
    <w:rsid w:val="02C50FF7"/>
    <w:rsid w:val="02DF39F5"/>
    <w:rsid w:val="02FD73D9"/>
    <w:rsid w:val="032A4C70"/>
    <w:rsid w:val="034A3564"/>
    <w:rsid w:val="03685798"/>
    <w:rsid w:val="038325D2"/>
    <w:rsid w:val="038970AE"/>
    <w:rsid w:val="03A35208"/>
    <w:rsid w:val="03AD764F"/>
    <w:rsid w:val="03F34A98"/>
    <w:rsid w:val="03F37758"/>
    <w:rsid w:val="040C0819"/>
    <w:rsid w:val="040D7160"/>
    <w:rsid w:val="04180F6C"/>
    <w:rsid w:val="048B7990"/>
    <w:rsid w:val="04926F71"/>
    <w:rsid w:val="049A7A55"/>
    <w:rsid w:val="04A163D8"/>
    <w:rsid w:val="04A22F2C"/>
    <w:rsid w:val="04BF588C"/>
    <w:rsid w:val="04F24EFB"/>
    <w:rsid w:val="04F31768"/>
    <w:rsid w:val="05087233"/>
    <w:rsid w:val="0523406D"/>
    <w:rsid w:val="053C512E"/>
    <w:rsid w:val="05720B50"/>
    <w:rsid w:val="05FD666C"/>
    <w:rsid w:val="05FE0636"/>
    <w:rsid w:val="06020126"/>
    <w:rsid w:val="06050740"/>
    <w:rsid w:val="06071298"/>
    <w:rsid w:val="063B7194"/>
    <w:rsid w:val="064F49ED"/>
    <w:rsid w:val="066227F4"/>
    <w:rsid w:val="06693D01"/>
    <w:rsid w:val="06783F44"/>
    <w:rsid w:val="067A7CBC"/>
    <w:rsid w:val="067B3A34"/>
    <w:rsid w:val="068A3C77"/>
    <w:rsid w:val="07100225"/>
    <w:rsid w:val="07702E6D"/>
    <w:rsid w:val="07785FC5"/>
    <w:rsid w:val="078132CC"/>
    <w:rsid w:val="07A07BF6"/>
    <w:rsid w:val="07D94EB6"/>
    <w:rsid w:val="07F949EC"/>
    <w:rsid w:val="07FC1113"/>
    <w:rsid w:val="081128A2"/>
    <w:rsid w:val="081B3D75"/>
    <w:rsid w:val="081B54CF"/>
    <w:rsid w:val="0822685D"/>
    <w:rsid w:val="08297BEC"/>
    <w:rsid w:val="0834033F"/>
    <w:rsid w:val="0842480A"/>
    <w:rsid w:val="08646E76"/>
    <w:rsid w:val="087D3A94"/>
    <w:rsid w:val="08AF3684"/>
    <w:rsid w:val="08D00067"/>
    <w:rsid w:val="08D7672D"/>
    <w:rsid w:val="08E65ADD"/>
    <w:rsid w:val="09061CDB"/>
    <w:rsid w:val="091C14FF"/>
    <w:rsid w:val="093C394F"/>
    <w:rsid w:val="09722ECD"/>
    <w:rsid w:val="09862E1C"/>
    <w:rsid w:val="09A137B2"/>
    <w:rsid w:val="09DB3168"/>
    <w:rsid w:val="09EA6E37"/>
    <w:rsid w:val="0A0106F5"/>
    <w:rsid w:val="0A0807A0"/>
    <w:rsid w:val="0A222B45"/>
    <w:rsid w:val="0A310FDA"/>
    <w:rsid w:val="0A426DC6"/>
    <w:rsid w:val="0A7F7F97"/>
    <w:rsid w:val="0AAE262A"/>
    <w:rsid w:val="0AB87005"/>
    <w:rsid w:val="0AC70AC2"/>
    <w:rsid w:val="0AF65D7F"/>
    <w:rsid w:val="0B073AE9"/>
    <w:rsid w:val="0B0C55A3"/>
    <w:rsid w:val="0B1701D0"/>
    <w:rsid w:val="0B5F1B77"/>
    <w:rsid w:val="0B9A670B"/>
    <w:rsid w:val="0B9C06D5"/>
    <w:rsid w:val="0B9C2483"/>
    <w:rsid w:val="0BC11EE9"/>
    <w:rsid w:val="0BCA2E30"/>
    <w:rsid w:val="0BD22349"/>
    <w:rsid w:val="0BF24799"/>
    <w:rsid w:val="0C032502"/>
    <w:rsid w:val="0C141EDE"/>
    <w:rsid w:val="0C193AD3"/>
    <w:rsid w:val="0C662A91"/>
    <w:rsid w:val="0CAC2BC9"/>
    <w:rsid w:val="0CD8573D"/>
    <w:rsid w:val="0CEA5470"/>
    <w:rsid w:val="0CF06F2A"/>
    <w:rsid w:val="0D501777"/>
    <w:rsid w:val="0DB708FE"/>
    <w:rsid w:val="0DE95727"/>
    <w:rsid w:val="0DED346A"/>
    <w:rsid w:val="0DFF46DE"/>
    <w:rsid w:val="0E045213"/>
    <w:rsid w:val="0E0D4AF2"/>
    <w:rsid w:val="0E172295"/>
    <w:rsid w:val="0E1A3B33"/>
    <w:rsid w:val="0E1C78AB"/>
    <w:rsid w:val="0E400B9F"/>
    <w:rsid w:val="0E4A7621"/>
    <w:rsid w:val="0E611762"/>
    <w:rsid w:val="0E6B10E9"/>
    <w:rsid w:val="0E8D69FB"/>
    <w:rsid w:val="0EA16002"/>
    <w:rsid w:val="0EB86FCD"/>
    <w:rsid w:val="0EBE3E7B"/>
    <w:rsid w:val="0EEE56EB"/>
    <w:rsid w:val="0EF40828"/>
    <w:rsid w:val="0EF83E74"/>
    <w:rsid w:val="0F19203C"/>
    <w:rsid w:val="0F264E85"/>
    <w:rsid w:val="0F2F360E"/>
    <w:rsid w:val="0F4C2412"/>
    <w:rsid w:val="0F64150A"/>
    <w:rsid w:val="0F8B2F3A"/>
    <w:rsid w:val="0F9D4A1B"/>
    <w:rsid w:val="0F9F2542"/>
    <w:rsid w:val="0FC24482"/>
    <w:rsid w:val="10066A65"/>
    <w:rsid w:val="104D6442"/>
    <w:rsid w:val="10A73DA4"/>
    <w:rsid w:val="10C852A7"/>
    <w:rsid w:val="10CD1330"/>
    <w:rsid w:val="10E05780"/>
    <w:rsid w:val="11074842"/>
    <w:rsid w:val="1122167C"/>
    <w:rsid w:val="11482EF1"/>
    <w:rsid w:val="115832F0"/>
    <w:rsid w:val="118063A3"/>
    <w:rsid w:val="11AC7198"/>
    <w:rsid w:val="11EB5F12"/>
    <w:rsid w:val="11F6653F"/>
    <w:rsid w:val="11F701D1"/>
    <w:rsid w:val="11FA7F03"/>
    <w:rsid w:val="12176D07"/>
    <w:rsid w:val="12192A7F"/>
    <w:rsid w:val="121C256F"/>
    <w:rsid w:val="1235718D"/>
    <w:rsid w:val="1246139A"/>
    <w:rsid w:val="12471BB6"/>
    <w:rsid w:val="124D2729"/>
    <w:rsid w:val="126D70B5"/>
    <w:rsid w:val="127C300E"/>
    <w:rsid w:val="12905D43"/>
    <w:rsid w:val="12940358"/>
    <w:rsid w:val="12C10A21"/>
    <w:rsid w:val="12CB18A0"/>
    <w:rsid w:val="12CF313E"/>
    <w:rsid w:val="12E76E7A"/>
    <w:rsid w:val="12F2507E"/>
    <w:rsid w:val="1300779B"/>
    <w:rsid w:val="130E2754"/>
    <w:rsid w:val="13166FBF"/>
    <w:rsid w:val="134D0507"/>
    <w:rsid w:val="13655850"/>
    <w:rsid w:val="139F6FB4"/>
    <w:rsid w:val="13A7230D"/>
    <w:rsid w:val="13DA4490"/>
    <w:rsid w:val="13FA243C"/>
    <w:rsid w:val="14103A0E"/>
    <w:rsid w:val="14355008"/>
    <w:rsid w:val="14382F65"/>
    <w:rsid w:val="14453C61"/>
    <w:rsid w:val="145E012F"/>
    <w:rsid w:val="147E0AD7"/>
    <w:rsid w:val="15007F26"/>
    <w:rsid w:val="150317C5"/>
    <w:rsid w:val="156102B8"/>
    <w:rsid w:val="157E709D"/>
    <w:rsid w:val="15903C4E"/>
    <w:rsid w:val="15B42ABF"/>
    <w:rsid w:val="15BF56EC"/>
    <w:rsid w:val="15C745A0"/>
    <w:rsid w:val="15DE6225"/>
    <w:rsid w:val="160A26DF"/>
    <w:rsid w:val="162B2D81"/>
    <w:rsid w:val="16687697"/>
    <w:rsid w:val="16C15493"/>
    <w:rsid w:val="16D74CB7"/>
    <w:rsid w:val="16E53AFA"/>
    <w:rsid w:val="1740460A"/>
    <w:rsid w:val="1752433D"/>
    <w:rsid w:val="175D205E"/>
    <w:rsid w:val="175E0F34"/>
    <w:rsid w:val="17684DD0"/>
    <w:rsid w:val="17775829"/>
    <w:rsid w:val="178C784F"/>
    <w:rsid w:val="17935082"/>
    <w:rsid w:val="17A0779F"/>
    <w:rsid w:val="17C91873"/>
    <w:rsid w:val="17EF7DDE"/>
    <w:rsid w:val="17FE49B9"/>
    <w:rsid w:val="18057602"/>
    <w:rsid w:val="18143A6B"/>
    <w:rsid w:val="184C3483"/>
    <w:rsid w:val="185C1918"/>
    <w:rsid w:val="186D1B4E"/>
    <w:rsid w:val="18A04601"/>
    <w:rsid w:val="18AC5CCF"/>
    <w:rsid w:val="18AF5EEB"/>
    <w:rsid w:val="18F51424"/>
    <w:rsid w:val="19091C4A"/>
    <w:rsid w:val="190A3122"/>
    <w:rsid w:val="19314B52"/>
    <w:rsid w:val="198947A1"/>
    <w:rsid w:val="19AF1F1B"/>
    <w:rsid w:val="19AF7825"/>
    <w:rsid w:val="19C568A1"/>
    <w:rsid w:val="19D44C1D"/>
    <w:rsid w:val="19E31EED"/>
    <w:rsid w:val="19E73463"/>
    <w:rsid w:val="1A3F504D"/>
    <w:rsid w:val="1A512FD2"/>
    <w:rsid w:val="1AA66E7A"/>
    <w:rsid w:val="1ADD03C2"/>
    <w:rsid w:val="1ADD6614"/>
    <w:rsid w:val="1AEC6857"/>
    <w:rsid w:val="1B0B13D3"/>
    <w:rsid w:val="1B0E2C71"/>
    <w:rsid w:val="1B7E3953"/>
    <w:rsid w:val="1B827729"/>
    <w:rsid w:val="1BB07BC9"/>
    <w:rsid w:val="1BC23B09"/>
    <w:rsid w:val="1BCD6688"/>
    <w:rsid w:val="1BD67990"/>
    <w:rsid w:val="1C0320AA"/>
    <w:rsid w:val="1C116575"/>
    <w:rsid w:val="1C7A05BE"/>
    <w:rsid w:val="1C7D15FF"/>
    <w:rsid w:val="1C8C6544"/>
    <w:rsid w:val="1CAB4C1C"/>
    <w:rsid w:val="1CB03FE0"/>
    <w:rsid w:val="1CDA105D"/>
    <w:rsid w:val="1D271CD1"/>
    <w:rsid w:val="1D274CCD"/>
    <w:rsid w:val="1D383FD6"/>
    <w:rsid w:val="1D550FDE"/>
    <w:rsid w:val="1D5C581B"/>
    <w:rsid w:val="1D5D57EA"/>
    <w:rsid w:val="1D6E4E35"/>
    <w:rsid w:val="1D980EE5"/>
    <w:rsid w:val="1DA43419"/>
    <w:rsid w:val="1DFC3255"/>
    <w:rsid w:val="1E2307E2"/>
    <w:rsid w:val="1E393459"/>
    <w:rsid w:val="1E48649A"/>
    <w:rsid w:val="1E6E5F01"/>
    <w:rsid w:val="1E7B23CC"/>
    <w:rsid w:val="1E8A260F"/>
    <w:rsid w:val="1EE2244B"/>
    <w:rsid w:val="1F607DF9"/>
    <w:rsid w:val="1F6115C2"/>
    <w:rsid w:val="1F6D61B8"/>
    <w:rsid w:val="1F6E3CDF"/>
    <w:rsid w:val="1F78421A"/>
    <w:rsid w:val="1FE21636"/>
    <w:rsid w:val="1FE81167"/>
    <w:rsid w:val="200F54C2"/>
    <w:rsid w:val="201436E3"/>
    <w:rsid w:val="20612D7F"/>
    <w:rsid w:val="20765736"/>
    <w:rsid w:val="20D44015"/>
    <w:rsid w:val="20DD55C0"/>
    <w:rsid w:val="210A2DBD"/>
    <w:rsid w:val="211A607A"/>
    <w:rsid w:val="21303941"/>
    <w:rsid w:val="21374CD0"/>
    <w:rsid w:val="217C6B87"/>
    <w:rsid w:val="21BF6637"/>
    <w:rsid w:val="21C910B4"/>
    <w:rsid w:val="21D70261"/>
    <w:rsid w:val="21D818E3"/>
    <w:rsid w:val="2231143C"/>
    <w:rsid w:val="2245341D"/>
    <w:rsid w:val="22574EFE"/>
    <w:rsid w:val="225C2514"/>
    <w:rsid w:val="22715FC0"/>
    <w:rsid w:val="22882FEA"/>
    <w:rsid w:val="22A00653"/>
    <w:rsid w:val="22AC349C"/>
    <w:rsid w:val="22EB3FC4"/>
    <w:rsid w:val="231535D9"/>
    <w:rsid w:val="23193E1E"/>
    <w:rsid w:val="23476D20"/>
    <w:rsid w:val="235D65F1"/>
    <w:rsid w:val="23614286"/>
    <w:rsid w:val="236379CA"/>
    <w:rsid w:val="237B69CA"/>
    <w:rsid w:val="23A10B26"/>
    <w:rsid w:val="23CD2828"/>
    <w:rsid w:val="23CD3AA8"/>
    <w:rsid w:val="23D507D0"/>
    <w:rsid w:val="23F05265"/>
    <w:rsid w:val="23FC3FAF"/>
    <w:rsid w:val="24030E99"/>
    <w:rsid w:val="244553D1"/>
    <w:rsid w:val="24853FA4"/>
    <w:rsid w:val="248A3369"/>
    <w:rsid w:val="24912949"/>
    <w:rsid w:val="24AA7567"/>
    <w:rsid w:val="24C820E3"/>
    <w:rsid w:val="24E0742D"/>
    <w:rsid w:val="251175E6"/>
    <w:rsid w:val="252A5F1D"/>
    <w:rsid w:val="253D487F"/>
    <w:rsid w:val="25407ECB"/>
    <w:rsid w:val="254C061E"/>
    <w:rsid w:val="2556149D"/>
    <w:rsid w:val="25787665"/>
    <w:rsid w:val="25861D82"/>
    <w:rsid w:val="25B87519"/>
    <w:rsid w:val="25BB0CC3"/>
    <w:rsid w:val="25C94365"/>
    <w:rsid w:val="25CB59E7"/>
    <w:rsid w:val="25D0124F"/>
    <w:rsid w:val="25EA2F9C"/>
    <w:rsid w:val="25FA451E"/>
    <w:rsid w:val="26226C5D"/>
    <w:rsid w:val="262B46D7"/>
    <w:rsid w:val="262D66A1"/>
    <w:rsid w:val="265170F2"/>
    <w:rsid w:val="265956E8"/>
    <w:rsid w:val="2663431E"/>
    <w:rsid w:val="267918E7"/>
    <w:rsid w:val="26E054C2"/>
    <w:rsid w:val="26FA72C2"/>
    <w:rsid w:val="270A69E3"/>
    <w:rsid w:val="270E64D3"/>
    <w:rsid w:val="273C0EE5"/>
    <w:rsid w:val="274E4B21"/>
    <w:rsid w:val="275F6D2E"/>
    <w:rsid w:val="278542BB"/>
    <w:rsid w:val="279462AC"/>
    <w:rsid w:val="27D019DA"/>
    <w:rsid w:val="28255250"/>
    <w:rsid w:val="283C72B8"/>
    <w:rsid w:val="28480D9A"/>
    <w:rsid w:val="28553C8E"/>
    <w:rsid w:val="28771E56"/>
    <w:rsid w:val="28790EF5"/>
    <w:rsid w:val="288F719F"/>
    <w:rsid w:val="289742A6"/>
    <w:rsid w:val="289D7142"/>
    <w:rsid w:val="289E3886"/>
    <w:rsid w:val="28C92CBB"/>
    <w:rsid w:val="28E868B0"/>
    <w:rsid w:val="290C4C94"/>
    <w:rsid w:val="291853E7"/>
    <w:rsid w:val="293146FB"/>
    <w:rsid w:val="294C6E3F"/>
    <w:rsid w:val="29502FD4"/>
    <w:rsid w:val="295D54F0"/>
    <w:rsid w:val="29752839"/>
    <w:rsid w:val="29915199"/>
    <w:rsid w:val="299B2F17"/>
    <w:rsid w:val="29A30A29"/>
    <w:rsid w:val="29B3081E"/>
    <w:rsid w:val="29CE1F49"/>
    <w:rsid w:val="29FE21D6"/>
    <w:rsid w:val="2A1B0F3E"/>
    <w:rsid w:val="2A522B7B"/>
    <w:rsid w:val="2A9E23A4"/>
    <w:rsid w:val="2ABB5D9C"/>
    <w:rsid w:val="2B035C23"/>
    <w:rsid w:val="2B2A7653"/>
    <w:rsid w:val="2B4A3852"/>
    <w:rsid w:val="2B990335"/>
    <w:rsid w:val="2BA54F2C"/>
    <w:rsid w:val="2BB1567F"/>
    <w:rsid w:val="2BDF043E"/>
    <w:rsid w:val="2BE07D12"/>
    <w:rsid w:val="2BF612E4"/>
    <w:rsid w:val="2C0A4D8F"/>
    <w:rsid w:val="2C30354D"/>
    <w:rsid w:val="2C385076"/>
    <w:rsid w:val="2C701096"/>
    <w:rsid w:val="2C9A4365"/>
    <w:rsid w:val="2C9A7A52"/>
    <w:rsid w:val="2CB84F08"/>
    <w:rsid w:val="2CBB4661"/>
    <w:rsid w:val="2D05216B"/>
    <w:rsid w:val="2D0F4D53"/>
    <w:rsid w:val="2D410C84"/>
    <w:rsid w:val="2D4A7B39"/>
    <w:rsid w:val="2D5B3AF4"/>
    <w:rsid w:val="2D614E83"/>
    <w:rsid w:val="2D8F7C42"/>
    <w:rsid w:val="2DE112C4"/>
    <w:rsid w:val="2DEC299E"/>
    <w:rsid w:val="2E057F04"/>
    <w:rsid w:val="2E100D83"/>
    <w:rsid w:val="2E183793"/>
    <w:rsid w:val="2E1E4B22"/>
    <w:rsid w:val="2E4A5917"/>
    <w:rsid w:val="2E6E5AA9"/>
    <w:rsid w:val="2E8452CD"/>
    <w:rsid w:val="2EAD348A"/>
    <w:rsid w:val="2EBE0EDE"/>
    <w:rsid w:val="2ED10AFD"/>
    <w:rsid w:val="2EDC0C65"/>
    <w:rsid w:val="2F1A0176"/>
    <w:rsid w:val="2F1C5505"/>
    <w:rsid w:val="2F370591"/>
    <w:rsid w:val="2F6075A5"/>
    <w:rsid w:val="2F725125"/>
    <w:rsid w:val="2F803CE6"/>
    <w:rsid w:val="2F884949"/>
    <w:rsid w:val="2F884982"/>
    <w:rsid w:val="30063D65"/>
    <w:rsid w:val="301B57BD"/>
    <w:rsid w:val="304412AC"/>
    <w:rsid w:val="304A60A2"/>
    <w:rsid w:val="309D2676"/>
    <w:rsid w:val="30AD0B0B"/>
    <w:rsid w:val="30DD6F16"/>
    <w:rsid w:val="30E402A4"/>
    <w:rsid w:val="30E43E01"/>
    <w:rsid w:val="30E67B79"/>
    <w:rsid w:val="316769E0"/>
    <w:rsid w:val="318D26EA"/>
    <w:rsid w:val="31BD7D7C"/>
    <w:rsid w:val="31D16A7B"/>
    <w:rsid w:val="31F6028F"/>
    <w:rsid w:val="32317519"/>
    <w:rsid w:val="32560D2E"/>
    <w:rsid w:val="32672904"/>
    <w:rsid w:val="3309293E"/>
    <w:rsid w:val="33266952"/>
    <w:rsid w:val="335A2AA0"/>
    <w:rsid w:val="33843679"/>
    <w:rsid w:val="338B0EAB"/>
    <w:rsid w:val="33922D7B"/>
    <w:rsid w:val="33C148CD"/>
    <w:rsid w:val="33CA19D4"/>
    <w:rsid w:val="33D740F0"/>
    <w:rsid w:val="340C5B48"/>
    <w:rsid w:val="342509B8"/>
    <w:rsid w:val="34637732"/>
    <w:rsid w:val="349A13A6"/>
    <w:rsid w:val="34B85CD0"/>
    <w:rsid w:val="34DB4028"/>
    <w:rsid w:val="34DF14AF"/>
    <w:rsid w:val="352073D1"/>
    <w:rsid w:val="3542559A"/>
    <w:rsid w:val="356B157C"/>
    <w:rsid w:val="35774A21"/>
    <w:rsid w:val="35A707EA"/>
    <w:rsid w:val="35B069A7"/>
    <w:rsid w:val="35B2271F"/>
    <w:rsid w:val="365C2A91"/>
    <w:rsid w:val="368C11C2"/>
    <w:rsid w:val="369D6F2B"/>
    <w:rsid w:val="36B10C29"/>
    <w:rsid w:val="36F32FEF"/>
    <w:rsid w:val="372413FB"/>
    <w:rsid w:val="373B14E6"/>
    <w:rsid w:val="37C82C94"/>
    <w:rsid w:val="37EB6F48"/>
    <w:rsid w:val="38635F18"/>
    <w:rsid w:val="386E4861"/>
    <w:rsid w:val="38C718C7"/>
    <w:rsid w:val="38E057F5"/>
    <w:rsid w:val="394538AA"/>
    <w:rsid w:val="394D1368"/>
    <w:rsid w:val="39691347"/>
    <w:rsid w:val="39856649"/>
    <w:rsid w:val="39A44A75"/>
    <w:rsid w:val="39A56EBD"/>
    <w:rsid w:val="39C40C73"/>
    <w:rsid w:val="3A26548A"/>
    <w:rsid w:val="3A4818A4"/>
    <w:rsid w:val="3A541FF7"/>
    <w:rsid w:val="3A59760D"/>
    <w:rsid w:val="3A744536"/>
    <w:rsid w:val="3A920D71"/>
    <w:rsid w:val="3AA36ADA"/>
    <w:rsid w:val="3AB1338A"/>
    <w:rsid w:val="3AE302B4"/>
    <w:rsid w:val="3B0532F1"/>
    <w:rsid w:val="3B141786"/>
    <w:rsid w:val="3B2F036E"/>
    <w:rsid w:val="3B385475"/>
    <w:rsid w:val="3B411C6E"/>
    <w:rsid w:val="3B744E3E"/>
    <w:rsid w:val="3BF07AFD"/>
    <w:rsid w:val="3BF515B8"/>
    <w:rsid w:val="3BFA6B84"/>
    <w:rsid w:val="3C0B0DDB"/>
    <w:rsid w:val="3C1108C0"/>
    <w:rsid w:val="3C1A101E"/>
    <w:rsid w:val="3C1C6B44"/>
    <w:rsid w:val="3C3C2D43"/>
    <w:rsid w:val="3C6504EB"/>
    <w:rsid w:val="3C6B3628"/>
    <w:rsid w:val="3C6C2C0E"/>
    <w:rsid w:val="3C74072E"/>
    <w:rsid w:val="3CA1704A"/>
    <w:rsid w:val="3CC147F6"/>
    <w:rsid w:val="3CE97620"/>
    <w:rsid w:val="3D367D36"/>
    <w:rsid w:val="3D3D3216"/>
    <w:rsid w:val="3D4506B3"/>
    <w:rsid w:val="3D9803AD"/>
    <w:rsid w:val="3D9F4862"/>
    <w:rsid w:val="3DB64D77"/>
    <w:rsid w:val="3DD75110"/>
    <w:rsid w:val="3DDB63EB"/>
    <w:rsid w:val="3E5D51F2"/>
    <w:rsid w:val="3EAA55A5"/>
    <w:rsid w:val="3EDB2CE7"/>
    <w:rsid w:val="3F2521B4"/>
    <w:rsid w:val="3F4A7E6C"/>
    <w:rsid w:val="3F5E7474"/>
    <w:rsid w:val="3F623810"/>
    <w:rsid w:val="3F624917"/>
    <w:rsid w:val="3F676329"/>
    <w:rsid w:val="3F9115F7"/>
    <w:rsid w:val="3FA255B3"/>
    <w:rsid w:val="3FB86B84"/>
    <w:rsid w:val="3FCC262F"/>
    <w:rsid w:val="3FDD38DB"/>
    <w:rsid w:val="3FF35E0E"/>
    <w:rsid w:val="400F4B9B"/>
    <w:rsid w:val="4010076E"/>
    <w:rsid w:val="40374D7D"/>
    <w:rsid w:val="406749C8"/>
    <w:rsid w:val="40774FC4"/>
    <w:rsid w:val="407C22A8"/>
    <w:rsid w:val="40923879"/>
    <w:rsid w:val="409C64A6"/>
    <w:rsid w:val="40E63BC5"/>
    <w:rsid w:val="412F1132"/>
    <w:rsid w:val="41670862"/>
    <w:rsid w:val="41847666"/>
    <w:rsid w:val="41AB4D3E"/>
    <w:rsid w:val="41AD023F"/>
    <w:rsid w:val="41B82E6B"/>
    <w:rsid w:val="41C061C4"/>
    <w:rsid w:val="41E74672"/>
    <w:rsid w:val="42066D19"/>
    <w:rsid w:val="421A58D4"/>
    <w:rsid w:val="421F113C"/>
    <w:rsid w:val="42B45D29"/>
    <w:rsid w:val="42E303BC"/>
    <w:rsid w:val="42FB3958"/>
    <w:rsid w:val="431C1B20"/>
    <w:rsid w:val="431D791B"/>
    <w:rsid w:val="43212C92"/>
    <w:rsid w:val="433F136A"/>
    <w:rsid w:val="435A3A27"/>
    <w:rsid w:val="437234EE"/>
    <w:rsid w:val="438E0F66"/>
    <w:rsid w:val="439711A6"/>
    <w:rsid w:val="439E2535"/>
    <w:rsid w:val="43E21F24"/>
    <w:rsid w:val="43F809F6"/>
    <w:rsid w:val="43F87E97"/>
    <w:rsid w:val="4439400C"/>
    <w:rsid w:val="4475773A"/>
    <w:rsid w:val="44775260"/>
    <w:rsid w:val="44906321"/>
    <w:rsid w:val="44CE29A6"/>
    <w:rsid w:val="44D77AAC"/>
    <w:rsid w:val="44DE52DF"/>
    <w:rsid w:val="44EE727B"/>
    <w:rsid w:val="44F543D6"/>
    <w:rsid w:val="45037CD1"/>
    <w:rsid w:val="45230F44"/>
    <w:rsid w:val="453A628D"/>
    <w:rsid w:val="453F5652"/>
    <w:rsid w:val="45433394"/>
    <w:rsid w:val="456450B8"/>
    <w:rsid w:val="45BE3CD9"/>
    <w:rsid w:val="45CB1F02"/>
    <w:rsid w:val="45E435E2"/>
    <w:rsid w:val="45F60406"/>
    <w:rsid w:val="46124A8F"/>
    <w:rsid w:val="46396545"/>
    <w:rsid w:val="464A0752"/>
    <w:rsid w:val="46754294"/>
    <w:rsid w:val="467557CF"/>
    <w:rsid w:val="467A5994"/>
    <w:rsid w:val="46916381"/>
    <w:rsid w:val="46AB745C"/>
    <w:rsid w:val="46B779F0"/>
    <w:rsid w:val="46E62229"/>
    <w:rsid w:val="47255E82"/>
    <w:rsid w:val="4762530A"/>
    <w:rsid w:val="4766336A"/>
    <w:rsid w:val="476A2E5A"/>
    <w:rsid w:val="47717F92"/>
    <w:rsid w:val="4797200E"/>
    <w:rsid w:val="47AF4D11"/>
    <w:rsid w:val="47FE17F4"/>
    <w:rsid w:val="48343468"/>
    <w:rsid w:val="4847319B"/>
    <w:rsid w:val="48621D83"/>
    <w:rsid w:val="487B2E45"/>
    <w:rsid w:val="48C93BB0"/>
    <w:rsid w:val="49261002"/>
    <w:rsid w:val="492B03C7"/>
    <w:rsid w:val="493354CD"/>
    <w:rsid w:val="497F0713"/>
    <w:rsid w:val="49D30BCF"/>
    <w:rsid w:val="49E21C9A"/>
    <w:rsid w:val="49E36EF3"/>
    <w:rsid w:val="49ED2CCD"/>
    <w:rsid w:val="4A0A26D2"/>
    <w:rsid w:val="4A1238E7"/>
    <w:rsid w:val="4A155AE7"/>
    <w:rsid w:val="4A203CA4"/>
    <w:rsid w:val="4A4F27DB"/>
    <w:rsid w:val="4A50432E"/>
    <w:rsid w:val="4A655B5A"/>
    <w:rsid w:val="4A6C513B"/>
    <w:rsid w:val="4A6F2535"/>
    <w:rsid w:val="4A842484"/>
    <w:rsid w:val="4AC90DC8"/>
    <w:rsid w:val="4AE747C1"/>
    <w:rsid w:val="4B2B0B52"/>
    <w:rsid w:val="4B3B50B5"/>
    <w:rsid w:val="4B475260"/>
    <w:rsid w:val="4B5856BF"/>
    <w:rsid w:val="4B722AA9"/>
    <w:rsid w:val="4B8B7843"/>
    <w:rsid w:val="4B9506C1"/>
    <w:rsid w:val="4BA34B8C"/>
    <w:rsid w:val="4BFC429C"/>
    <w:rsid w:val="4C237A7B"/>
    <w:rsid w:val="4C7B6174"/>
    <w:rsid w:val="4C8229F4"/>
    <w:rsid w:val="4CA010CC"/>
    <w:rsid w:val="4CB40DAF"/>
    <w:rsid w:val="4CEB2BD6"/>
    <w:rsid w:val="4D422183"/>
    <w:rsid w:val="4D8532A6"/>
    <w:rsid w:val="4D897999"/>
    <w:rsid w:val="4D8B3B2A"/>
    <w:rsid w:val="4DE3648E"/>
    <w:rsid w:val="4E2850FC"/>
    <w:rsid w:val="4E3B72FE"/>
    <w:rsid w:val="4E5E123E"/>
    <w:rsid w:val="4E600B13"/>
    <w:rsid w:val="4E6C1FEA"/>
    <w:rsid w:val="4E850579"/>
    <w:rsid w:val="4E910D5D"/>
    <w:rsid w:val="4E9734E3"/>
    <w:rsid w:val="4E9B5FEF"/>
    <w:rsid w:val="4EE259CC"/>
    <w:rsid w:val="4EFC1A95"/>
    <w:rsid w:val="4F4E4E0F"/>
    <w:rsid w:val="4F602D94"/>
    <w:rsid w:val="4F6665FD"/>
    <w:rsid w:val="4F6A776F"/>
    <w:rsid w:val="4F732AC8"/>
    <w:rsid w:val="4FBD3D43"/>
    <w:rsid w:val="4FFFEDC3"/>
    <w:rsid w:val="501E6790"/>
    <w:rsid w:val="50212524"/>
    <w:rsid w:val="502D7210"/>
    <w:rsid w:val="503874F1"/>
    <w:rsid w:val="5079410E"/>
    <w:rsid w:val="50A53155"/>
    <w:rsid w:val="50AD3DB7"/>
    <w:rsid w:val="50C431DE"/>
    <w:rsid w:val="50CA4969"/>
    <w:rsid w:val="50F00B86"/>
    <w:rsid w:val="51087240"/>
    <w:rsid w:val="511531C6"/>
    <w:rsid w:val="512E314A"/>
    <w:rsid w:val="515D3A2F"/>
    <w:rsid w:val="51A159FE"/>
    <w:rsid w:val="51B15B29"/>
    <w:rsid w:val="51DD691E"/>
    <w:rsid w:val="52287B99"/>
    <w:rsid w:val="52320A18"/>
    <w:rsid w:val="52333AA7"/>
    <w:rsid w:val="52350508"/>
    <w:rsid w:val="52383B54"/>
    <w:rsid w:val="52410C5B"/>
    <w:rsid w:val="5257047F"/>
    <w:rsid w:val="5269450D"/>
    <w:rsid w:val="526E3F03"/>
    <w:rsid w:val="529671F9"/>
    <w:rsid w:val="52992845"/>
    <w:rsid w:val="52A03BD4"/>
    <w:rsid w:val="52E53CDC"/>
    <w:rsid w:val="52E55A8A"/>
    <w:rsid w:val="52EC574B"/>
    <w:rsid w:val="53193986"/>
    <w:rsid w:val="533864BD"/>
    <w:rsid w:val="535844AE"/>
    <w:rsid w:val="536A41E2"/>
    <w:rsid w:val="53C25DCC"/>
    <w:rsid w:val="53C733E2"/>
    <w:rsid w:val="53E144A4"/>
    <w:rsid w:val="54300F87"/>
    <w:rsid w:val="5474189A"/>
    <w:rsid w:val="547D1CF3"/>
    <w:rsid w:val="548D0188"/>
    <w:rsid w:val="54973DD2"/>
    <w:rsid w:val="54975D21"/>
    <w:rsid w:val="54B0031A"/>
    <w:rsid w:val="54BF4E56"/>
    <w:rsid w:val="54CD4A28"/>
    <w:rsid w:val="54D534D4"/>
    <w:rsid w:val="54ED50CA"/>
    <w:rsid w:val="5503044A"/>
    <w:rsid w:val="554F368F"/>
    <w:rsid w:val="558E065B"/>
    <w:rsid w:val="55F34962"/>
    <w:rsid w:val="56080135"/>
    <w:rsid w:val="562C577E"/>
    <w:rsid w:val="564E1B99"/>
    <w:rsid w:val="567809C3"/>
    <w:rsid w:val="56CD51B3"/>
    <w:rsid w:val="57330423"/>
    <w:rsid w:val="573A3ECB"/>
    <w:rsid w:val="575B02ED"/>
    <w:rsid w:val="57614FE6"/>
    <w:rsid w:val="576C0A78"/>
    <w:rsid w:val="577C4928"/>
    <w:rsid w:val="579637F7"/>
    <w:rsid w:val="57A2219C"/>
    <w:rsid w:val="57E75E01"/>
    <w:rsid w:val="57EE5AE8"/>
    <w:rsid w:val="58240E03"/>
    <w:rsid w:val="5866703A"/>
    <w:rsid w:val="58816255"/>
    <w:rsid w:val="588C4D06"/>
    <w:rsid w:val="58A261CC"/>
    <w:rsid w:val="58D8399B"/>
    <w:rsid w:val="58D93C33"/>
    <w:rsid w:val="592E180D"/>
    <w:rsid w:val="593C03CE"/>
    <w:rsid w:val="595465EE"/>
    <w:rsid w:val="598002BB"/>
    <w:rsid w:val="598F04FE"/>
    <w:rsid w:val="59C208D3"/>
    <w:rsid w:val="59E7658C"/>
    <w:rsid w:val="5A0C1B4F"/>
    <w:rsid w:val="5A715E56"/>
    <w:rsid w:val="5A837DC1"/>
    <w:rsid w:val="5ABF12B7"/>
    <w:rsid w:val="5AE44879"/>
    <w:rsid w:val="5AF54CD9"/>
    <w:rsid w:val="5B174C4F"/>
    <w:rsid w:val="5B3F505C"/>
    <w:rsid w:val="5B40223A"/>
    <w:rsid w:val="5B4E6197"/>
    <w:rsid w:val="5B500161"/>
    <w:rsid w:val="5B525C87"/>
    <w:rsid w:val="5B533066"/>
    <w:rsid w:val="5B5F03A4"/>
    <w:rsid w:val="5B6D2AC1"/>
    <w:rsid w:val="5B841BB9"/>
    <w:rsid w:val="5BE57E36"/>
    <w:rsid w:val="5C4665E9"/>
    <w:rsid w:val="5C514191"/>
    <w:rsid w:val="5C7D4F86"/>
    <w:rsid w:val="5C882305"/>
    <w:rsid w:val="5CB5471F"/>
    <w:rsid w:val="5CC6692D"/>
    <w:rsid w:val="5CFF599B"/>
    <w:rsid w:val="5D203D40"/>
    <w:rsid w:val="5D6B1282"/>
    <w:rsid w:val="5D705536"/>
    <w:rsid w:val="5D7212B5"/>
    <w:rsid w:val="5DAA1DAA"/>
    <w:rsid w:val="5DB22A0D"/>
    <w:rsid w:val="5E011052"/>
    <w:rsid w:val="5E0A2849"/>
    <w:rsid w:val="5E0C65C1"/>
    <w:rsid w:val="5E0D40E7"/>
    <w:rsid w:val="5E38439B"/>
    <w:rsid w:val="5E395BA4"/>
    <w:rsid w:val="5E3C3181"/>
    <w:rsid w:val="5E3E6CDB"/>
    <w:rsid w:val="5E4C4C10"/>
    <w:rsid w:val="5E6A32E8"/>
    <w:rsid w:val="5E8048B9"/>
    <w:rsid w:val="5E8430C0"/>
    <w:rsid w:val="5E940365"/>
    <w:rsid w:val="5E95226E"/>
    <w:rsid w:val="5EA66A16"/>
    <w:rsid w:val="5ED54C05"/>
    <w:rsid w:val="5ED74E21"/>
    <w:rsid w:val="5EDB5F93"/>
    <w:rsid w:val="5EE017FC"/>
    <w:rsid w:val="5EE65064"/>
    <w:rsid w:val="5EEB1BC7"/>
    <w:rsid w:val="5F381638"/>
    <w:rsid w:val="5F8F2016"/>
    <w:rsid w:val="5F9A7BFD"/>
    <w:rsid w:val="60031CB2"/>
    <w:rsid w:val="60272E26"/>
    <w:rsid w:val="60275934"/>
    <w:rsid w:val="605B738C"/>
    <w:rsid w:val="607D37A6"/>
    <w:rsid w:val="608368E3"/>
    <w:rsid w:val="60C413D5"/>
    <w:rsid w:val="60EC092C"/>
    <w:rsid w:val="6111668E"/>
    <w:rsid w:val="615B6F6B"/>
    <w:rsid w:val="617821BF"/>
    <w:rsid w:val="61BA27D8"/>
    <w:rsid w:val="621912AD"/>
    <w:rsid w:val="621B5E82"/>
    <w:rsid w:val="623E27EF"/>
    <w:rsid w:val="626C5880"/>
    <w:rsid w:val="628B1D32"/>
    <w:rsid w:val="62B248B2"/>
    <w:rsid w:val="62D578C9"/>
    <w:rsid w:val="62F53AC8"/>
    <w:rsid w:val="632C5010"/>
    <w:rsid w:val="63343EC4"/>
    <w:rsid w:val="63422A85"/>
    <w:rsid w:val="635A1B7D"/>
    <w:rsid w:val="63736D0F"/>
    <w:rsid w:val="639C3F43"/>
    <w:rsid w:val="63C27722"/>
    <w:rsid w:val="63D731CD"/>
    <w:rsid w:val="63EC046F"/>
    <w:rsid w:val="64041E8E"/>
    <w:rsid w:val="6417181C"/>
    <w:rsid w:val="642E137A"/>
    <w:rsid w:val="6454481E"/>
    <w:rsid w:val="646A4041"/>
    <w:rsid w:val="6470717E"/>
    <w:rsid w:val="649D4417"/>
    <w:rsid w:val="64C10E6B"/>
    <w:rsid w:val="64D140C0"/>
    <w:rsid w:val="64F658D5"/>
    <w:rsid w:val="65393A14"/>
    <w:rsid w:val="654C1999"/>
    <w:rsid w:val="655D6C47"/>
    <w:rsid w:val="658C1799"/>
    <w:rsid w:val="658E3D60"/>
    <w:rsid w:val="658F2B3B"/>
    <w:rsid w:val="65BD63F3"/>
    <w:rsid w:val="65EB7404"/>
    <w:rsid w:val="65F22540"/>
    <w:rsid w:val="66012ED5"/>
    <w:rsid w:val="661F2C0A"/>
    <w:rsid w:val="662D5327"/>
    <w:rsid w:val="66361BAE"/>
    <w:rsid w:val="663F505A"/>
    <w:rsid w:val="66434B4A"/>
    <w:rsid w:val="665054B9"/>
    <w:rsid w:val="66521231"/>
    <w:rsid w:val="666F1DE3"/>
    <w:rsid w:val="66AA05FC"/>
    <w:rsid w:val="66FE6C82"/>
    <w:rsid w:val="672A7AB8"/>
    <w:rsid w:val="674A63AC"/>
    <w:rsid w:val="675B2BE0"/>
    <w:rsid w:val="678C42CF"/>
    <w:rsid w:val="681744E0"/>
    <w:rsid w:val="682664D1"/>
    <w:rsid w:val="68297D70"/>
    <w:rsid w:val="685665D7"/>
    <w:rsid w:val="68C652EE"/>
    <w:rsid w:val="68ED6FEF"/>
    <w:rsid w:val="69006D22"/>
    <w:rsid w:val="69056046"/>
    <w:rsid w:val="690C1B6B"/>
    <w:rsid w:val="69111763"/>
    <w:rsid w:val="69470DF5"/>
    <w:rsid w:val="696D0F78"/>
    <w:rsid w:val="697D65C5"/>
    <w:rsid w:val="69823BDB"/>
    <w:rsid w:val="69D63F27"/>
    <w:rsid w:val="6A1579E2"/>
    <w:rsid w:val="6A2829D5"/>
    <w:rsid w:val="6A2C3B47"/>
    <w:rsid w:val="6A7B52B3"/>
    <w:rsid w:val="6A837C0B"/>
    <w:rsid w:val="6AA95198"/>
    <w:rsid w:val="6AC36259"/>
    <w:rsid w:val="6AD14246"/>
    <w:rsid w:val="6AF26B3F"/>
    <w:rsid w:val="6B2A277C"/>
    <w:rsid w:val="6B3C7509"/>
    <w:rsid w:val="6B67752D"/>
    <w:rsid w:val="6B685053"/>
    <w:rsid w:val="6B6A4927"/>
    <w:rsid w:val="6B6F1F3D"/>
    <w:rsid w:val="6B7645C5"/>
    <w:rsid w:val="6B8579B3"/>
    <w:rsid w:val="6C150D37"/>
    <w:rsid w:val="6C24541E"/>
    <w:rsid w:val="6C353187"/>
    <w:rsid w:val="6C430180"/>
    <w:rsid w:val="6C691A23"/>
    <w:rsid w:val="6C8D2FC3"/>
    <w:rsid w:val="6CA87DFD"/>
    <w:rsid w:val="6CCA5E07"/>
    <w:rsid w:val="6CDC1854"/>
    <w:rsid w:val="6D4573FA"/>
    <w:rsid w:val="6D505D9E"/>
    <w:rsid w:val="6D617FAC"/>
    <w:rsid w:val="6D6D6950"/>
    <w:rsid w:val="6D943EDD"/>
    <w:rsid w:val="6E080427"/>
    <w:rsid w:val="6E16620A"/>
    <w:rsid w:val="6E1E6C74"/>
    <w:rsid w:val="6E4B4D8A"/>
    <w:rsid w:val="6E5978B6"/>
    <w:rsid w:val="6E7361E8"/>
    <w:rsid w:val="6E9E14B7"/>
    <w:rsid w:val="6EC1605C"/>
    <w:rsid w:val="6EC95E08"/>
    <w:rsid w:val="6F06541D"/>
    <w:rsid w:val="6F143527"/>
    <w:rsid w:val="6F184A7E"/>
    <w:rsid w:val="6F372D76"/>
    <w:rsid w:val="6F767D3E"/>
    <w:rsid w:val="6FB10D76"/>
    <w:rsid w:val="6FD03FAE"/>
    <w:rsid w:val="70001CFE"/>
    <w:rsid w:val="7007308C"/>
    <w:rsid w:val="70495453"/>
    <w:rsid w:val="705876E0"/>
    <w:rsid w:val="70657DB3"/>
    <w:rsid w:val="708A7108"/>
    <w:rsid w:val="70DE7195"/>
    <w:rsid w:val="70FA04FB"/>
    <w:rsid w:val="710475CC"/>
    <w:rsid w:val="71184E25"/>
    <w:rsid w:val="71232991"/>
    <w:rsid w:val="712612F0"/>
    <w:rsid w:val="71312E46"/>
    <w:rsid w:val="71327C95"/>
    <w:rsid w:val="713954C7"/>
    <w:rsid w:val="71493231"/>
    <w:rsid w:val="714F18F6"/>
    <w:rsid w:val="715776FB"/>
    <w:rsid w:val="717B5AE0"/>
    <w:rsid w:val="71A87F57"/>
    <w:rsid w:val="71F210A6"/>
    <w:rsid w:val="71F80EDE"/>
    <w:rsid w:val="721C41A5"/>
    <w:rsid w:val="72207836"/>
    <w:rsid w:val="722717C4"/>
    <w:rsid w:val="72361A07"/>
    <w:rsid w:val="72465074"/>
    <w:rsid w:val="72520681"/>
    <w:rsid w:val="727442DD"/>
    <w:rsid w:val="72987FCC"/>
    <w:rsid w:val="72A2709C"/>
    <w:rsid w:val="72B8241C"/>
    <w:rsid w:val="72CC0A62"/>
    <w:rsid w:val="72DF209E"/>
    <w:rsid w:val="73221F8B"/>
    <w:rsid w:val="734819F2"/>
    <w:rsid w:val="7350022B"/>
    <w:rsid w:val="73AF381F"/>
    <w:rsid w:val="73C60B68"/>
    <w:rsid w:val="73D43285"/>
    <w:rsid w:val="73D70FC8"/>
    <w:rsid w:val="73FC27DC"/>
    <w:rsid w:val="74024296"/>
    <w:rsid w:val="74081090"/>
    <w:rsid w:val="74092A02"/>
    <w:rsid w:val="74123DAE"/>
    <w:rsid w:val="742F2BB2"/>
    <w:rsid w:val="74387CB8"/>
    <w:rsid w:val="74980F2B"/>
    <w:rsid w:val="74DA4670"/>
    <w:rsid w:val="7513602F"/>
    <w:rsid w:val="751D6EAE"/>
    <w:rsid w:val="7537556F"/>
    <w:rsid w:val="753A7A60"/>
    <w:rsid w:val="75F052ED"/>
    <w:rsid w:val="75F66805"/>
    <w:rsid w:val="76037E52"/>
    <w:rsid w:val="761B33ED"/>
    <w:rsid w:val="76215DE7"/>
    <w:rsid w:val="762D4ECF"/>
    <w:rsid w:val="765951BA"/>
    <w:rsid w:val="766A1C7F"/>
    <w:rsid w:val="768371E5"/>
    <w:rsid w:val="76F37EC6"/>
    <w:rsid w:val="77236647"/>
    <w:rsid w:val="773724A9"/>
    <w:rsid w:val="77C16C09"/>
    <w:rsid w:val="77C27899"/>
    <w:rsid w:val="77D25D2E"/>
    <w:rsid w:val="7808174F"/>
    <w:rsid w:val="78096FFD"/>
    <w:rsid w:val="780D13B5"/>
    <w:rsid w:val="78197E01"/>
    <w:rsid w:val="789C3DC3"/>
    <w:rsid w:val="78D37FAF"/>
    <w:rsid w:val="78F10436"/>
    <w:rsid w:val="78F16688"/>
    <w:rsid w:val="795310F0"/>
    <w:rsid w:val="795A422D"/>
    <w:rsid w:val="797572B9"/>
    <w:rsid w:val="798968C0"/>
    <w:rsid w:val="798E0367"/>
    <w:rsid w:val="799D05BD"/>
    <w:rsid w:val="79A90D10"/>
    <w:rsid w:val="79B10C2A"/>
    <w:rsid w:val="79B77692"/>
    <w:rsid w:val="79BC128C"/>
    <w:rsid w:val="79C142AC"/>
    <w:rsid w:val="79E32474"/>
    <w:rsid w:val="7A2806AC"/>
    <w:rsid w:val="7A566D58"/>
    <w:rsid w:val="7A6A04A0"/>
    <w:rsid w:val="7A6B4218"/>
    <w:rsid w:val="7AB4796D"/>
    <w:rsid w:val="7AB931D5"/>
    <w:rsid w:val="7AC566E4"/>
    <w:rsid w:val="7AFD1314"/>
    <w:rsid w:val="7B09415C"/>
    <w:rsid w:val="7B0E17E2"/>
    <w:rsid w:val="7B851309"/>
    <w:rsid w:val="7B8B5094"/>
    <w:rsid w:val="7B9C0D55"/>
    <w:rsid w:val="7BA619AB"/>
    <w:rsid w:val="7BCF6656"/>
    <w:rsid w:val="7BE14791"/>
    <w:rsid w:val="7C1A5EF5"/>
    <w:rsid w:val="7C8415C1"/>
    <w:rsid w:val="7C885555"/>
    <w:rsid w:val="7CB974BC"/>
    <w:rsid w:val="7CC25084"/>
    <w:rsid w:val="7CE02C9B"/>
    <w:rsid w:val="7D0970E6"/>
    <w:rsid w:val="7D1110A6"/>
    <w:rsid w:val="7D126505"/>
    <w:rsid w:val="7D176902"/>
    <w:rsid w:val="7D273B57"/>
    <w:rsid w:val="7D43322A"/>
    <w:rsid w:val="7D4C0330"/>
    <w:rsid w:val="7D4E7230"/>
    <w:rsid w:val="7DA95783"/>
    <w:rsid w:val="7DCE2E07"/>
    <w:rsid w:val="7DD10836"/>
    <w:rsid w:val="7DFA1626"/>
    <w:rsid w:val="7E062BD5"/>
    <w:rsid w:val="7E221091"/>
    <w:rsid w:val="7E2E2619"/>
    <w:rsid w:val="7E447259"/>
    <w:rsid w:val="7E461224"/>
    <w:rsid w:val="7E802F66"/>
    <w:rsid w:val="7E88183C"/>
    <w:rsid w:val="7EF0118F"/>
    <w:rsid w:val="7EF26CB5"/>
    <w:rsid w:val="7EFF7750"/>
    <w:rsid w:val="7F0330F0"/>
    <w:rsid w:val="7F0F1615"/>
    <w:rsid w:val="7F2D5F40"/>
    <w:rsid w:val="7F361298"/>
    <w:rsid w:val="7F565496"/>
    <w:rsid w:val="7F985AAF"/>
    <w:rsid w:val="7F997369"/>
    <w:rsid w:val="7FB34697"/>
    <w:rsid w:val="7FC44AF6"/>
    <w:rsid w:val="7FCE7723"/>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3"/>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5"/>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6"/>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link w:val="34"/>
    <w:qFormat/>
    <w:uiPriority w:val="0"/>
    <w:pPr>
      <w:ind w:firstLine="420"/>
    </w:pPr>
    <w:rPr>
      <w:rFonts w:hAnsi="Verdana" w:cs="Times New Roman"/>
      <w:bCs/>
      <w:szCs w:val="24"/>
    </w:rPr>
  </w:style>
  <w:style w:type="paragraph" w:styleId="6">
    <w:name w:val="Body Text"/>
    <w:basedOn w:val="1"/>
    <w:next w:val="1"/>
    <w:unhideWhenUsed/>
    <w:qFormat/>
    <w:uiPriority w:val="99"/>
    <w:rPr>
      <w:rFonts w:asciiTheme="minorHAnsi" w:hAnsiTheme="minorHAnsi" w:cstheme="minorBidi"/>
      <w:szCs w:val="22"/>
    </w:rPr>
  </w:style>
  <w:style w:type="paragraph" w:styleId="7">
    <w:name w:val="Document Map"/>
    <w:basedOn w:val="1"/>
    <w:link w:val="40"/>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Indent"/>
    <w:basedOn w:val="1"/>
    <w:qFormat/>
    <w:uiPriority w:val="0"/>
    <w:pPr>
      <w:spacing w:line="360" w:lineRule="auto"/>
      <w:ind w:firstLine="420" w:firstLineChars="200"/>
    </w:p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link w:val="44"/>
    <w:semiHidden/>
    <w:unhideWhenUsed/>
    <w:qFormat/>
    <w:uiPriority w:val="99"/>
    <w:rPr>
      <w:rFonts w:ascii="宋体" w:hAnsi="Courier New" w:cs="Times New Roman"/>
      <w:szCs w:val="20"/>
    </w:rPr>
  </w:style>
  <w:style w:type="paragraph" w:styleId="12">
    <w:name w:val="Balloon Text"/>
    <w:basedOn w:val="1"/>
    <w:link w:val="38"/>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Body Text 2"/>
    <w:basedOn w:val="1"/>
    <w:qFormat/>
    <w:uiPriority w:val="0"/>
    <w:pPr>
      <w:spacing w:line="360" w:lineRule="auto"/>
    </w:pPr>
    <w:rPr>
      <w:sz w:val="24"/>
    </w:rPr>
  </w:style>
  <w:style w:type="paragraph" w:styleId="17">
    <w:name w:val="Normal (Web)"/>
    <w:basedOn w:val="1"/>
    <w:link w:val="43"/>
    <w:qFormat/>
    <w:uiPriority w:val="99"/>
    <w:pPr>
      <w:widowControl/>
      <w:spacing w:line="300" w:lineRule="atLeast"/>
      <w:jc w:val="left"/>
    </w:pPr>
    <w:rPr>
      <w:rFonts w:ascii="宋体" w:hAnsi="宋体" w:cs="宋体"/>
      <w:kern w:val="0"/>
      <w:sz w:val="24"/>
      <w:szCs w:val="24"/>
    </w:rPr>
  </w:style>
  <w:style w:type="paragraph" w:styleId="1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9">
    <w:name w:val="Body Text First Indent 2"/>
    <w:basedOn w:val="9"/>
    <w:semiHidden/>
    <w:unhideWhenUsed/>
    <w:qFormat/>
    <w:uiPriority w:val="99"/>
    <w:pPr>
      <w:spacing w:afterLines="25"/>
    </w:pPr>
  </w:style>
  <w:style w:type="table" w:styleId="21">
    <w:name w:val="Table Grid"/>
    <w:basedOn w:val="20"/>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page number"/>
    <w:qFormat/>
    <w:uiPriority w:val="0"/>
  </w:style>
  <w:style w:type="character" w:styleId="25">
    <w:name w:val="Hyperlink"/>
    <w:qFormat/>
    <w:uiPriority w:val="0"/>
    <w:rPr>
      <w:rFonts w:eastAsia="宋体"/>
      <w:color w:val="0000FF"/>
      <w:kern w:val="2"/>
      <w:sz w:val="24"/>
      <w:szCs w:val="24"/>
      <w:u w:val="single"/>
      <w:lang w:val="en-US" w:eastAsia="zh-CN" w:bidi="ar-SA"/>
    </w:rPr>
  </w:style>
  <w:style w:type="character" w:styleId="26">
    <w:name w:val="annotation reference"/>
    <w:basedOn w:val="22"/>
    <w:qFormat/>
    <w:uiPriority w:val="99"/>
    <w:rPr>
      <w:sz w:val="21"/>
      <w:szCs w:val="21"/>
    </w:rPr>
  </w:style>
  <w:style w:type="paragraph" w:styleId="27">
    <w:name w:val="Quote"/>
    <w:basedOn w:val="1"/>
    <w:next w:val="1"/>
    <w:qFormat/>
    <w:uiPriority w:val="99"/>
    <w:rPr>
      <w:rFonts w:ascii="Calibri" w:hAnsi="Calibri" w:cs="Calibri"/>
      <w:i/>
      <w:iCs/>
      <w:color w:val="000000"/>
      <w:sz w:val="22"/>
      <w:szCs w:val="22"/>
    </w:rPr>
  </w:style>
  <w:style w:type="paragraph" w:customStyle="1" w:styleId="28">
    <w:name w:val="表格文字"/>
    <w:basedOn w:val="1"/>
    <w:qFormat/>
    <w:uiPriority w:val="99"/>
    <w:pPr>
      <w:spacing w:before="25" w:after="25"/>
    </w:pPr>
    <w:rPr>
      <w:spacing w:val="10"/>
      <w:sz w:val="24"/>
    </w:rPr>
  </w:style>
  <w:style w:type="paragraph" w:customStyle="1" w:styleId="29">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0">
    <w:name w:val="默认段落字体 Para Char Char Char Char"/>
    <w:basedOn w:val="1"/>
    <w:qFormat/>
    <w:uiPriority w:val="99"/>
    <w:rPr>
      <w:rFonts w:ascii="Times New Roman" w:hAnsi="Times New Roman" w:cs="Times New Roman"/>
    </w:rPr>
  </w:style>
  <w:style w:type="character" w:customStyle="1" w:styleId="31">
    <w:name w:val="页眉 Char"/>
    <w:basedOn w:val="22"/>
    <w:link w:val="14"/>
    <w:qFormat/>
    <w:uiPriority w:val="99"/>
    <w:rPr>
      <w:rFonts w:cs="Calibri"/>
      <w:sz w:val="18"/>
      <w:szCs w:val="18"/>
    </w:rPr>
  </w:style>
  <w:style w:type="character" w:customStyle="1" w:styleId="32">
    <w:name w:val="页脚 Char"/>
    <w:basedOn w:val="22"/>
    <w:link w:val="13"/>
    <w:qFormat/>
    <w:uiPriority w:val="99"/>
    <w:rPr>
      <w:rFonts w:cs="Calibri"/>
      <w:sz w:val="18"/>
      <w:szCs w:val="18"/>
    </w:rPr>
  </w:style>
  <w:style w:type="character" w:customStyle="1" w:styleId="33">
    <w:name w:val="标题 2 Char"/>
    <w:basedOn w:val="22"/>
    <w:link w:val="2"/>
    <w:qFormat/>
    <w:uiPriority w:val="0"/>
    <w:rPr>
      <w:rFonts w:ascii="宋体" w:hAnsi="宋体"/>
      <w:b/>
      <w:sz w:val="24"/>
    </w:rPr>
  </w:style>
  <w:style w:type="character" w:customStyle="1" w:styleId="34">
    <w:name w:val="正文缩进 Char"/>
    <w:basedOn w:val="22"/>
    <w:link w:val="5"/>
    <w:qFormat/>
    <w:uiPriority w:val="0"/>
    <w:rPr>
      <w:rFonts w:hAnsi="Verdana"/>
      <w:bCs/>
      <w:kern w:val="2"/>
      <w:sz w:val="21"/>
      <w:szCs w:val="24"/>
    </w:rPr>
  </w:style>
  <w:style w:type="character" w:customStyle="1" w:styleId="35">
    <w:name w:val="标题 3 Char"/>
    <w:basedOn w:val="22"/>
    <w:link w:val="3"/>
    <w:semiHidden/>
    <w:qFormat/>
    <w:uiPriority w:val="0"/>
    <w:rPr>
      <w:rFonts w:cs="Calibri"/>
      <w:b/>
      <w:bCs/>
      <w:kern w:val="2"/>
      <w:sz w:val="32"/>
      <w:szCs w:val="32"/>
    </w:rPr>
  </w:style>
  <w:style w:type="character" w:customStyle="1" w:styleId="36">
    <w:name w:val="标题 4 Char"/>
    <w:basedOn w:val="22"/>
    <w:link w:val="4"/>
    <w:semiHidden/>
    <w:qFormat/>
    <w:uiPriority w:val="0"/>
    <w:rPr>
      <w:rFonts w:ascii="Cambria" w:hAnsi="Cambria" w:eastAsia="宋体" w:cs="Times New Roman"/>
      <w:b/>
      <w:bCs/>
      <w:kern w:val="2"/>
      <w:sz w:val="28"/>
      <w:szCs w:val="28"/>
    </w:rPr>
  </w:style>
  <w:style w:type="paragraph" w:customStyle="1" w:styleId="3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8">
    <w:name w:val="批注框文本 Char"/>
    <w:basedOn w:val="22"/>
    <w:link w:val="12"/>
    <w:semiHidden/>
    <w:qFormat/>
    <w:uiPriority w:val="99"/>
    <w:rPr>
      <w:rFonts w:cs="Calibri"/>
      <w:kern w:val="2"/>
      <w:sz w:val="18"/>
      <w:szCs w:val="18"/>
    </w:rPr>
  </w:style>
  <w:style w:type="paragraph" w:styleId="39">
    <w:name w:val="List Paragraph"/>
    <w:basedOn w:val="1"/>
    <w:qFormat/>
    <w:uiPriority w:val="34"/>
    <w:pPr>
      <w:ind w:firstLine="420" w:firstLineChars="200"/>
    </w:pPr>
  </w:style>
  <w:style w:type="character" w:customStyle="1" w:styleId="40">
    <w:name w:val="文档结构图 Char"/>
    <w:basedOn w:val="22"/>
    <w:link w:val="7"/>
    <w:semiHidden/>
    <w:qFormat/>
    <w:uiPriority w:val="99"/>
    <w:rPr>
      <w:rFonts w:ascii="宋体" w:cs="Calibri"/>
      <w:kern w:val="2"/>
      <w:sz w:val="18"/>
      <w:szCs w:val="18"/>
    </w:rPr>
  </w:style>
  <w:style w:type="paragraph" w:customStyle="1" w:styleId="41">
    <w:name w:val="_Style 1"/>
    <w:basedOn w:val="1"/>
    <w:qFormat/>
    <w:uiPriority w:val="0"/>
  </w:style>
  <w:style w:type="paragraph" w:customStyle="1" w:styleId="42">
    <w:name w:val="_Style 2"/>
    <w:basedOn w:val="1"/>
    <w:qFormat/>
    <w:uiPriority w:val="0"/>
  </w:style>
  <w:style w:type="character" w:customStyle="1" w:styleId="43">
    <w:name w:val="普通(网站) Char"/>
    <w:link w:val="17"/>
    <w:qFormat/>
    <w:uiPriority w:val="99"/>
    <w:rPr>
      <w:rFonts w:ascii="宋体" w:hAnsi="宋体" w:cs="宋体"/>
      <w:sz w:val="24"/>
      <w:szCs w:val="24"/>
    </w:rPr>
  </w:style>
  <w:style w:type="character" w:customStyle="1" w:styleId="44">
    <w:name w:val="纯文本 Char"/>
    <w:basedOn w:val="22"/>
    <w:link w:val="11"/>
    <w:semiHidden/>
    <w:qFormat/>
    <w:uiPriority w:val="99"/>
    <w:rPr>
      <w:rFonts w:ascii="宋体" w:hAnsi="Courier New"/>
      <w:kern w:val="2"/>
      <w:sz w:val="21"/>
    </w:rPr>
  </w:style>
  <w:style w:type="paragraph" w:customStyle="1" w:styleId="45">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6">
    <w:name w:val="列出段落1"/>
    <w:basedOn w:val="1"/>
    <w:qFormat/>
    <w:uiPriority w:val="0"/>
    <w:pPr>
      <w:ind w:firstLine="420" w:firstLineChars="200"/>
    </w:pPr>
    <w:rPr>
      <w:szCs w:val="24"/>
    </w:rPr>
  </w:style>
  <w:style w:type="character" w:customStyle="1" w:styleId="47">
    <w:name w:val="NormalCharacter"/>
    <w:qFormat/>
    <w:uiPriority w:val="0"/>
    <w:rPr>
      <w:kern w:val="2"/>
      <w:sz w:val="21"/>
      <w:szCs w:val="24"/>
      <w:lang w:val="en-US" w:eastAsia="zh-CN" w:bidi="ar-SA"/>
    </w:rPr>
  </w:style>
  <w:style w:type="paragraph" w:customStyle="1" w:styleId="48">
    <w:name w:val="Table Paragraph"/>
    <w:basedOn w:val="1"/>
    <w:qFormat/>
    <w:uiPriority w:val="1"/>
    <w:rPr>
      <w:rFonts w:ascii="宋体" w:hAnsi="宋体" w:cs="宋体"/>
      <w:lang w:val="zh-CN" w:bidi="zh-CN"/>
    </w:rPr>
  </w:style>
  <w:style w:type="paragraph" w:customStyle="1" w:styleId="4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table" w:customStyle="1" w:styleId="51">
    <w:name w:val="网格型1"/>
    <w:basedOn w:val="2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55</Pages>
  <Words>3997</Words>
  <Characters>4005</Characters>
  <Lines>1</Lines>
  <Paragraphs>1</Paragraphs>
  <TotalTime>15</TotalTime>
  <ScaleCrop>false</ScaleCrop>
  <LinksUpToDate>false</LinksUpToDate>
  <CharactersWithSpaces>4869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2026-03-19T06:43:32Z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810FC7702CBB4C46B621C5FDC1A56452_13</vt:lpwstr>
  </property>
  <property fmtid="{D5CDD505-2E9C-101B-9397-08002B2CF9AE}" pid="4" name="KSOTemplateDocerSaveRecord">
    <vt:lpwstr>eyJoZGlkIjoiN2Y4ZDA5ZTk2YzY4YjcyNDA3Y2NhOGY3MmQ2Nzg3NjMiLCJ1c2VySWQiOiI0NDA0ODE5ODgifQ==</vt:lpwstr>
  </property>
</Properties>
</file>