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F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宝龙智造园物业管理用房装修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项目</w:t>
      </w:r>
    </w:p>
    <w:p w14:paraId="0CFC7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施工单位遴选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评定细则</w:t>
      </w:r>
    </w:p>
    <w:p w14:paraId="32028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 w:cs="仿宋"/>
          <w:b/>
          <w:sz w:val="30"/>
          <w:szCs w:val="30"/>
        </w:rPr>
      </w:pPr>
    </w:p>
    <w:p w14:paraId="22C74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本项目遴选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方式及</w:t>
      </w:r>
      <w:r>
        <w:rPr>
          <w:rFonts w:hint="eastAsia" w:ascii="仿宋_GB2312" w:hAnsi="仿宋_GB2312" w:eastAsia="仿宋_GB2312" w:cs="仿宋_GB2312"/>
          <w:sz w:val="32"/>
          <w:szCs w:val="32"/>
        </w:rPr>
        <w:t>评定细则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 w14:paraId="1D7C9648">
      <w:pPr>
        <w:numPr>
          <w:ilvl w:val="0"/>
          <w:numId w:val="1"/>
        </w:num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遴选方式</w:t>
      </w:r>
    </w:p>
    <w:p w14:paraId="22B825AD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本项目采用综合评审（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择优票决法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）方式确定施工单位，在龙岗区产服集团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官网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发布遴选公告，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截标后由项目小组组织关联部门组成评审和监督小组，召开开标评审会，对响应单位的资质、业绩、报价等情况进行综合对比后，采用直接票决法选择成交候选单位，经中选公示、合同审批后，选定合同单位。</w:t>
      </w:r>
    </w:p>
    <w:p w14:paraId="4525913F">
      <w:pPr>
        <w:adjustRightInd/>
        <w:snapToGrid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二、评定细则</w:t>
      </w:r>
    </w:p>
    <w:p w14:paraId="19D3C589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A.2023年起至今近有3项同类工程业绩的为优；</w:t>
      </w:r>
    </w:p>
    <w:p w14:paraId="55C57A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B.具备建筑装修装饰工程专业承包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二级及以上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的为优；</w:t>
      </w:r>
    </w:p>
    <w:p w14:paraId="494F7EAE"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统计所有进入综合评审环节的投标供应商的报价下浮率，计算得出平均下浮率，横向对比其中最接近平均下浮率的为优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7489804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D.三年内（本项目投标截止日止倒算）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在经营活动中没有重大违法记录；供应商未被列入失信被执行人、重大税收违法案件当事人名单、企业经营异常名录、联合惩戒清单或严重违法失信企业名单（提供“信用中国”的查询结果）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  <w:bookmarkStart w:id="0" w:name="_GoBack"/>
      <w:bookmarkEnd w:id="0"/>
    </w:p>
    <w:p w14:paraId="589FC20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E.评审小组根据响应服务方案，横向对比后，选取一名响应单位评优。重点考察包括对本项目及工作内容的理解、拟派遣团队及业绩、响应速度、工作安排及相关服务承诺等。</w:t>
      </w:r>
    </w:p>
    <w:p w14:paraId="0B31AE0C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评审小组根据上述择优项按为“优”项数多少选取第一名响应单位作为成交候选承包商。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如得优数量一致，则根据评审人对本项目的理解，投票确定候选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单位。</w:t>
      </w:r>
    </w:p>
    <w:p w14:paraId="63756EB8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D6EBF60">
      <w:pPr>
        <w:rPr>
          <w:rFonts w:hint="eastAsia"/>
        </w:rPr>
      </w:pPr>
    </w:p>
    <w:p w14:paraId="03B2B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附件：1.投标文件一览表</w:t>
      </w:r>
    </w:p>
    <w:p w14:paraId="2EE9370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2.承诺函</w:t>
      </w:r>
    </w:p>
    <w:p w14:paraId="715DC83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3.龙岗区进一步规范政商交往行为告知书</w:t>
      </w:r>
    </w:p>
    <w:p w14:paraId="52361559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6452607A">
      <w:pPr>
        <w:pStyle w:val="3"/>
        <w:rPr>
          <w:rFonts w:hint="eastAsia"/>
          <w:sz w:val="32"/>
          <w:szCs w:val="32"/>
        </w:rPr>
      </w:pPr>
    </w:p>
    <w:p w14:paraId="497267F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深圳市湾东物业服务有限公司</w:t>
      </w:r>
    </w:p>
    <w:p w14:paraId="1F1C581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2026年3月13日</w:t>
      </w:r>
    </w:p>
    <w:p w14:paraId="046866BD"/>
    <w:p w14:paraId="06FB94AA">
      <w:pPr>
        <w:pStyle w:val="2"/>
      </w:pPr>
    </w:p>
    <w:p w14:paraId="73A787F6">
      <w:r>
        <w:br w:type="page"/>
      </w:r>
    </w:p>
    <w:p w14:paraId="514E6013">
      <w:pPr>
        <w:pStyle w:val="12"/>
        <w:widowControl/>
        <w:spacing w:line="560" w:lineRule="exact"/>
        <w:jc w:val="left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</w:p>
    <w:p w14:paraId="0DE389C0">
      <w:pPr>
        <w:pStyle w:val="12"/>
        <w:widowControl/>
        <w:spacing w:line="560" w:lineRule="exact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投标文件一览表</w:t>
      </w:r>
    </w:p>
    <w:p w14:paraId="09C8771C">
      <w:pPr>
        <w:pStyle w:val="2"/>
      </w:pPr>
    </w:p>
    <w:p w14:paraId="18CB0719"/>
    <w:tbl>
      <w:tblPr>
        <w:tblStyle w:val="9"/>
        <w:tblpPr w:leftFromText="180" w:rightFromText="180" w:vertAnchor="page" w:horzAnchor="page" w:tblpX="1777" w:tblpY="2651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655"/>
        <w:gridCol w:w="5154"/>
      </w:tblGrid>
      <w:tr w14:paraId="0CC4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 w14:paraId="0FA4134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55" w:type="dxa"/>
            <w:vAlign w:val="center"/>
          </w:tcPr>
          <w:p w14:paraId="71E7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5154" w:type="dxa"/>
            <w:vAlign w:val="center"/>
          </w:tcPr>
          <w:p w14:paraId="598511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要求说明</w:t>
            </w:r>
          </w:p>
        </w:tc>
      </w:tr>
      <w:tr w14:paraId="2636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 w14:paraId="2D3A8AF3"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vAlign w:val="center"/>
          </w:tcPr>
          <w:p w14:paraId="726179E8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基本情况资料</w:t>
            </w:r>
          </w:p>
        </w:tc>
        <w:tc>
          <w:tcPr>
            <w:tcW w:w="5154" w:type="dxa"/>
            <w:vAlign w:val="center"/>
          </w:tcPr>
          <w:p w14:paraId="671B2794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提供营业执照复印件、资质证书复印件、法定代表人证明书及身份证复印件、法定代表人授权委托书及身份证复印件。</w:t>
            </w:r>
          </w:p>
        </w:tc>
      </w:tr>
      <w:tr w14:paraId="042B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 w14:paraId="13C5D082"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  <w:vAlign w:val="center"/>
          </w:tcPr>
          <w:p w14:paraId="4A69BDCF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承诺函</w:t>
            </w:r>
          </w:p>
        </w:tc>
        <w:tc>
          <w:tcPr>
            <w:tcW w:w="5154" w:type="dxa"/>
            <w:vAlign w:val="center"/>
          </w:tcPr>
          <w:p w14:paraId="7F148CD2">
            <w:pPr>
              <w:pStyle w:val="13"/>
              <w:spacing w:line="36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格式后附。</w:t>
            </w:r>
          </w:p>
        </w:tc>
      </w:tr>
      <w:tr w14:paraId="127B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 w14:paraId="081A5E18"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55" w:type="dxa"/>
            <w:vAlign w:val="center"/>
          </w:tcPr>
          <w:p w14:paraId="2C18EF57"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龙岗区进一步规范政商交往行为告知书</w:t>
            </w:r>
          </w:p>
        </w:tc>
        <w:tc>
          <w:tcPr>
            <w:tcW w:w="5154" w:type="dxa"/>
            <w:vAlign w:val="center"/>
          </w:tcPr>
          <w:p w14:paraId="1580DC7D">
            <w:pPr>
              <w:pStyle w:val="13"/>
              <w:spacing w:line="36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格式后附。提供法定代表人或者法定代表人授权人签字版。</w:t>
            </w:r>
          </w:p>
        </w:tc>
      </w:tr>
      <w:tr w14:paraId="7FE1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 w14:paraId="1A3A198F"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55" w:type="dxa"/>
            <w:vAlign w:val="center"/>
          </w:tcPr>
          <w:p w14:paraId="66D8E624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投标单位业绩</w:t>
            </w:r>
          </w:p>
        </w:tc>
        <w:tc>
          <w:tcPr>
            <w:tcW w:w="5154" w:type="dxa"/>
            <w:vAlign w:val="center"/>
          </w:tcPr>
          <w:p w14:paraId="00ECE840">
            <w:pPr>
              <w:pStyle w:val="13"/>
              <w:spacing w:line="36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起至今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有3项业绩（不超过3项，若超过3项，招标人仅对前3项业绩进行复核及统计）提供合同关键扫描页，以合同签订时间为准，未体现合同签订时间的为无效业绩。</w:t>
            </w:r>
          </w:p>
        </w:tc>
      </w:tr>
      <w:tr w14:paraId="324C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 w14:paraId="7321004C"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55" w:type="dxa"/>
            <w:vAlign w:val="center"/>
          </w:tcPr>
          <w:p w14:paraId="705BA6EB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服务方案</w:t>
            </w:r>
          </w:p>
        </w:tc>
        <w:tc>
          <w:tcPr>
            <w:tcW w:w="5154" w:type="dxa"/>
            <w:vAlign w:val="center"/>
          </w:tcPr>
          <w:p w14:paraId="441EDADA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重点考察包括对本项目及工作内容的理解、拟派遣团队及业绩、响应速度、工作安排及相关服务承诺等</w:t>
            </w:r>
          </w:p>
        </w:tc>
      </w:tr>
      <w:tr w14:paraId="2957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 w14:paraId="762D57E8"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55" w:type="dxa"/>
            <w:vAlign w:val="center"/>
          </w:tcPr>
          <w:p w14:paraId="1ABA68E5"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“信用中国”查询报告</w:t>
            </w:r>
          </w:p>
        </w:tc>
        <w:tc>
          <w:tcPr>
            <w:tcW w:w="5154" w:type="dxa"/>
            <w:vAlign w:val="center"/>
          </w:tcPr>
          <w:p w14:paraId="3F2134E3">
            <w:pPr>
              <w:pStyle w:val="13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提供“信用中国”完整查询报告。</w:t>
            </w:r>
          </w:p>
        </w:tc>
      </w:tr>
      <w:tr w14:paraId="4E48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 w14:paraId="0D90FE34"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55" w:type="dxa"/>
            <w:vAlign w:val="center"/>
          </w:tcPr>
          <w:p w14:paraId="0D76BFAB"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报价人认为需要加以说明的其他内容</w:t>
            </w:r>
          </w:p>
        </w:tc>
        <w:tc>
          <w:tcPr>
            <w:tcW w:w="5154" w:type="dxa"/>
            <w:vAlign w:val="center"/>
          </w:tcPr>
          <w:p w14:paraId="5D4FC82E">
            <w:pPr>
              <w:pStyle w:val="13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如有。</w:t>
            </w:r>
          </w:p>
        </w:tc>
      </w:tr>
    </w:tbl>
    <w:p w14:paraId="1D8D9EE2"/>
    <w:p w14:paraId="70FA8833">
      <w:pPr>
        <w:pStyle w:val="2"/>
      </w:pPr>
    </w:p>
    <w:p w14:paraId="10884BC4">
      <w:pPr>
        <w:pStyle w:val="3"/>
      </w:pPr>
    </w:p>
    <w:p w14:paraId="25338202"/>
    <w:p w14:paraId="3BB46153">
      <w:pPr>
        <w:pStyle w:val="2"/>
      </w:pPr>
    </w:p>
    <w:p w14:paraId="78612BBC">
      <w:pPr>
        <w:pStyle w:val="3"/>
      </w:pPr>
    </w:p>
    <w:p w14:paraId="06ADF2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hAnsi="宋体"/>
          <w:b/>
          <w:sz w:val="32"/>
          <w:szCs w:val="32"/>
        </w:rPr>
      </w:pPr>
    </w:p>
    <w:p w14:paraId="03DADB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hAnsi="宋体"/>
          <w:b/>
          <w:sz w:val="32"/>
          <w:szCs w:val="32"/>
        </w:rPr>
      </w:pPr>
    </w:p>
    <w:p w14:paraId="212304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hAnsi="宋体"/>
          <w:b/>
          <w:sz w:val="32"/>
          <w:szCs w:val="32"/>
        </w:rPr>
      </w:pPr>
    </w:p>
    <w:p w14:paraId="30F892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hAnsi="宋体"/>
          <w:b/>
          <w:sz w:val="32"/>
          <w:szCs w:val="32"/>
        </w:rPr>
      </w:pPr>
    </w:p>
    <w:p w14:paraId="1C63F6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hAnsi="宋体"/>
          <w:b/>
          <w:sz w:val="32"/>
          <w:szCs w:val="32"/>
        </w:rPr>
      </w:pPr>
    </w:p>
    <w:p w14:paraId="269607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 w14:paraId="6EEE6E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lang w:val="en-US" w:eastAsia="zh-CN" w:bidi="ar-SA"/>
        </w:rPr>
        <w:t>承诺函</w:t>
      </w:r>
    </w:p>
    <w:p w14:paraId="460A01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  <w:t>致</w:t>
      </w: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  <w:lang w:eastAsia="zh-CN"/>
        </w:rPr>
        <w:t>采购人</w:t>
      </w: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  <w:t xml:space="preserve">: </w:t>
      </w: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  <w:u w:val="single"/>
          <w:lang w:val="en-US" w:eastAsia="zh-CN"/>
        </w:rPr>
        <w:t xml:space="preserve"> 深圳市湾东物业服务有限公司 </w:t>
      </w:r>
    </w:p>
    <w:p w14:paraId="751911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为了确保本工程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设计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相关工作顺利进行，我方将严格执行建设工程招标投标管理的法律法规，并完全接受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24"/>
          <w:u w:val="single"/>
          <w:lang w:val="en-US" w:eastAsia="zh-CN"/>
        </w:rPr>
        <w:t>宝龙智造园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  <w:t xml:space="preserve">物业管理用房装修项目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的招标文件所有内容，为此作出如下承诺：</w:t>
      </w:r>
    </w:p>
    <w:p w14:paraId="103C36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根据企业自身情况，理性报价，不会以低于成本的报价竞标。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本项目施</w:t>
      </w:r>
      <w:r>
        <w:rPr>
          <w:rFonts w:hint="eastAsia" w:ascii="Times New Roman" w:hAnsi="Times New Roman" w:cs="Times New Roman" w:eastAsiaTheme="minorEastAsia"/>
          <w:sz w:val="24"/>
          <w:szCs w:val="24"/>
          <w:u w:val="none"/>
          <w:lang w:val="en-US" w:eastAsia="zh-CN"/>
        </w:rPr>
        <w:t>工控制</w:t>
      </w:r>
      <w:r>
        <w:rPr>
          <w:rFonts w:hint="eastAsia" w:ascii="Times New Roman" w:hAnsi="Times New Roman" w:cs="Times New Roman" w:eastAsiaTheme="minorEastAsia"/>
          <w:sz w:val="24"/>
          <w:szCs w:val="24"/>
          <w:highlight w:val="none"/>
          <w:u w:val="none"/>
          <w:lang w:val="en-US" w:eastAsia="zh-CN"/>
        </w:rPr>
        <w:t>价249103.64</w:t>
      </w:r>
      <w:r>
        <w:rPr>
          <w:rFonts w:hint="eastAsia" w:ascii="Times New Roman" w:hAnsi="Times New Roman" w:cs="Times New Roman" w:eastAsiaTheme="minorEastAsia"/>
          <w:sz w:val="24"/>
          <w:szCs w:val="24"/>
          <w:u w:val="none"/>
          <w:lang w:val="en-US" w:eastAsia="zh-CN"/>
        </w:rPr>
        <w:t>元，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我方所报下浮率为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</w:rPr>
        <w:t xml:space="preserve">      %</w:t>
      </w:r>
      <w:r>
        <w:rPr>
          <w:rFonts w:hint="eastAsia" w:ascii="Times New Roman" w:hAnsi="Times New Roman" w:cs="Times New Roman" w:eastAsiaTheme="minorEastAsia"/>
          <w:sz w:val="24"/>
          <w:szCs w:val="24"/>
          <w:u w:val="single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z w:val="24"/>
          <w:szCs w:val="24"/>
          <w:u w:val="single"/>
          <w:lang w:val="en-US" w:eastAsia="zh-CN"/>
        </w:rPr>
        <w:t>报价金额        元</w:t>
      </w:r>
      <w:r>
        <w:rPr>
          <w:rFonts w:hint="eastAsia" w:ascii="Times New Roman" w:hAnsi="Times New Roman" w:cs="Times New Roman" w:eastAsiaTheme="minorEastAsia"/>
          <w:sz w:val="24"/>
          <w:szCs w:val="24"/>
          <w:u w:val="none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按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采购人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要求承包本项目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工作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。否则，我方愿意承担任何风险。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当所报下浮率与响应报价折算出的下浮率不一致时，以所报下浮率为准，同意采购人以所报下浮率为准则正响应报价。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（投标人填写）</w:t>
      </w:r>
    </w:p>
    <w:p w14:paraId="35116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2、我方承诺履行项目管理班子配备义务,不擅自更换响应文件所报的项目团队(注册执业人员),如不能继续履行职责确需更换的,所更换人员为我单位职工,其从业资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格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不低于遴选时承诺条件。</w:t>
      </w:r>
    </w:p>
    <w:p w14:paraId="6AEFBC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7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3、我方承诺严格按安全施工有关规定,采取严格、科学的用电及登高安全防护措施,确保施工安全和第三者的安全,服从贵司及园区物业管理单位的现场安全管理,并对检查时提出的安全问题及时落实。</w:t>
      </w:r>
    </w:p>
    <w:p w14:paraId="23E1E3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7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、如果违反本承诺书中任何条款，我方愿意接受：</w:t>
      </w:r>
    </w:p>
    <w:p w14:paraId="13469A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7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（1）视作我方单方面违约，并按照合同规定向贵方支付违约金或解除合同；</w:t>
      </w:r>
    </w:p>
    <w:p w14:paraId="7712D7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7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（2）履约评价评定为合格及以下；</w:t>
      </w:r>
    </w:p>
    <w:p w14:paraId="045D39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7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（3）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贵方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今后可拒绝我方参与投标；</w:t>
      </w:r>
    </w:p>
    <w:p w14:paraId="5C41F4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7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（4）建设行政主管部门或相关主管部门的不良行为记录、行政处罚。</w:t>
      </w:r>
    </w:p>
    <w:p w14:paraId="1401C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0" w:firstLineChars="1500"/>
        <w:textAlignment w:val="auto"/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</w:pPr>
    </w:p>
    <w:p w14:paraId="62F92EAE">
      <w:pPr>
        <w:pStyle w:val="2"/>
        <w:rPr>
          <w:rFonts w:hint="default"/>
        </w:rPr>
      </w:pPr>
    </w:p>
    <w:p w14:paraId="79C2B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  <w:t>承诺单位（盖章）：</w:t>
      </w:r>
    </w:p>
    <w:p w14:paraId="172C1BA4">
      <w:pPr>
        <w:pStyle w:val="2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541A3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  <w:t>法定代表人或授权委托人（签字或盖私章）：</w:t>
      </w:r>
    </w:p>
    <w:p w14:paraId="51C28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</w:pPr>
    </w:p>
    <w:p w14:paraId="15F3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  <w:t>签署日期：    年    月    日</w:t>
      </w:r>
    </w:p>
    <w:p w14:paraId="2A37ED09">
      <w:pPr>
        <w:rPr>
          <w:rStyle w:val="15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b/>
          <w:bCs/>
          <w:sz w:val="24"/>
          <w:szCs w:val="24"/>
        </w:rPr>
        <w:br w:type="page"/>
      </w:r>
    </w:p>
    <w:p w14:paraId="18130E5D">
      <w:pPr>
        <w:pStyle w:val="2"/>
        <w:spacing w:line="52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附件3</w:t>
      </w:r>
    </w:p>
    <w:p w14:paraId="60CB254D">
      <w:pPr>
        <w:pStyle w:val="2"/>
        <w:spacing w:line="520" w:lineRule="exact"/>
        <w:ind w:firstLine="1440" w:firstLineChars="400"/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lang w:val="en-US" w:eastAsia="zh-CN" w:bidi="ar-SA"/>
        </w:rPr>
        <w:t>龙岗区进一步规范政商交往行为告知书</w:t>
      </w:r>
      <w:r>
        <w:rPr>
          <w:rFonts w:hint="eastAsia" w:hAnsi="宋体" w:cs="宋体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 xml:space="preserve"> 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为深入构建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  <w:lang w:eastAsia="zh-CN"/>
        </w:rPr>
        <w:t>“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亲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  <w:lang w:eastAsia="zh-CN"/>
        </w:rPr>
        <w:t>”“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清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  <w:lang w:eastAsia="zh-CN"/>
        </w:rPr>
        <w:t>”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一、 不得向公职人员赠送礼品、礼金、消费卡等财物。</w:t>
      </w:r>
    </w:p>
    <w:p w14:paraId="679B7693">
      <w:pPr>
        <w:pStyle w:val="2"/>
        <w:numPr>
          <w:ilvl w:val="0"/>
          <w:numId w:val="3"/>
        </w:numPr>
        <w:spacing w:line="520" w:lineRule="exact"/>
        <w:ind w:firstLine="480" w:firstLineChars="200"/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不得违规向公职人员提供宴请、旅游、娱乐等安排。</w:t>
      </w:r>
    </w:p>
    <w:p w14:paraId="1D1243E5">
      <w:pPr>
        <w:pStyle w:val="2"/>
        <w:numPr>
          <w:ilvl w:val="0"/>
          <w:numId w:val="3"/>
        </w:numPr>
        <w:spacing w:line="520" w:lineRule="exact"/>
        <w:ind w:firstLine="480" w:firstLineChars="200"/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不得通过打麻将等形式向公职人员输送利益。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四、 不得为公职人员报销应由其个人支付的费用。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五、 不得违规向公职人员及其亲友借贷款。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六、 不得违规将车辆、住房等借给公职人员使用。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七、 不得在招投标中与公职人员搞暗箱操作、围标串标。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八、 不得为利益相关人和公职人员牵线搭桥或者代为传递信息、 传递财物。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九、 不得让公职人员在企业违规兼职取酬。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十、 不得为公职人员亲友违规承揽业务提供便利。</w:t>
      </w:r>
    </w:p>
    <w:p w14:paraId="6B27601C">
      <w:pPr>
        <w:pStyle w:val="2"/>
        <w:spacing w:line="520" w:lineRule="exact"/>
        <w:ind w:firstLine="480" w:firstLineChars="200"/>
        <w:jc w:val="left"/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</w:t>
      </w:r>
    </w:p>
    <w:p w14:paraId="47CC949E">
      <w:pPr>
        <w:pStyle w:val="3"/>
        <w:rPr>
          <w:rFonts w:hint="default" w:ascii="Times New Roman" w:hAnsi="Times New Roman" w:cs="Times New Roman" w:eastAsiaTheme="minorEastAsia"/>
        </w:rPr>
      </w:pPr>
    </w:p>
    <w:p w14:paraId="19DFE550">
      <w:pPr>
        <w:pStyle w:val="2"/>
        <w:spacing w:line="520" w:lineRule="exact"/>
        <w:ind w:firstLine="480" w:firstLineChars="200"/>
        <w:jc w:val="left"/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本人已知晓上述告知内容，并愿意遵照执行（签名）：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                                      </w:t>
      </w:r>
    </w:p>
    <w:p w14:paraId="52B2D59F">
      <w:pPr>
        <w:pStyle w:val="2"/>
        <w:spacing w:line="520" w:lineRule="exact"/>
        <w:ind w:firstLine="5280" w:firstLineChars="2200"/>
        <w:jc w:val="right"/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Style w:val="16"/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</w:t>
      </w:r>
      <w:r>
        <w:rPr>
          <w:rStyle w:val="16"/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26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年    月   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日</w:t>
      </w:r>
    </w:p>
    <w:p w14:paraId="335D974F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BSJW--GB1-0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01E8C"/>
    <w:multiLevelType w:val="singleLevel"/>
    <w:tmpl w:val="EAE01E8C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2762102E"/>
    <w:multiLevelType w:val="singleLevel"/>
    <w:tmpl w:val="2762102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DE8B81"/>
    <w:multiLevelType w:val="singleLevel"/>
    <w:tmpl w:val="7BDE8B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OTk5ZjI3NmI3YTQ1MjdmNmE0ZGFjZjhhY2FkZGEifQ=="/>
  </w:docVars>
  <w:rsids>
    <w:rsidRoot w:val="6DE529E1"/>
    <w:rsid w:val="0205540C"/>
    <w:rsid w:val="03617D3E"/>
    <w:rsid w:val="03A304B8"/>
    <w:rsid w:val="068B6629"/>
    <w:rsid w:val="07AE02AA"/>
    <w:rsid w:val="08447969"/>
    <w:rsid w:val="0A112087"/>
    <w:rsid w:val="0AE91AA3"/>
    <w:rsid w:val="0C8830A2"/>
    <w:rsid w:val="0CF71704"/>
    <w:rsid w:val="0E4A3F73"/>
    <w:rsid w:val="0FEE6E0B"/>
    <w:rsid w:val="0FFE5FA3"/>
    <w:rsid w:val="10030AE6"/>
    <w:rsid w:val="13D304F0"/>
    <w:rsid w:val="14BE4591"/>
    <w:rsid w:val="17C53ACA"/>
    <w:rsid w:val="17D64623"/>
    <w:rsid w:val="1BFB035C"/>
    <w:rsid w:val="20516C7E"/>
    <w:rsid w:val="217F2A10"/>
    <w:rsid w:val="25F208DB"/>
    <w:rsid w:val="29827270"/>
    <w:rsid w:val="29AF7543"/>
    <w:rsid w:val="2CC130B4"/>
    <w:rsid w:val="2D5F3C07"/>
    <w:rsid w:val="37213E3B"/>
    <w:rsid w:val="374238E4"/>
    <w:rsid w:val="39F979AF"/>
    <w:rsid w:val="3A525CE1"/>
    <w:rsid w:val="40A74254"/>
    <w:rsid w:val="41C54681"/>
    <w:rsid w:val="43DDE5C1"/>
    <w:rsid w:val="44B37E48"/>
    <w:rsid w:val="45FE70AA"/>
    <w:rsid w:val="46297FA4"/>
    <w:rsid w:val="4C933E0B"/>
    <w:rsid w:val="4D4104B9"/>
    <w:rsid w:val="4D7F4D84"/>
    <w:rsid w:val="524A66FA"/>
    <w:rsid w:val="53410BC0"/>
    <w:rsid w:val="53E640E7"/>
    <w:rsid w:val="5A6963CE"/>
    <w:rsid w:val="5D2D5D83"/>
    <w:rsid w:val="5DB67C63"/>
    <w:rsid w:val="5E332443"/>
    <w:rsid w:val="651F28E8"/>
    <w:rsid w:val="69427C8C"/>
    <w:rsid w:val="69CD4733"/>
    <w:rsid w:val="6A1C1A80"/>
    <w:rsid w:val="6C6C179C"/>
    <w:rsid w:val="6DE529E1"/>
    <w:rsid w:val="721C27BF"/>
    <w:rsid w:val="749277ED"/>
    <w:rsid w:val="75DC4384"/>
    <w:rsid w:val="7B76582E"/>
    <w:rsid w:val="7C47684C"/>
    <w:rsid w:val="7E7EFF39"/>
    <w:rsid w:val="7F5755A5"/>
    <w:rsid w:val="7FFDE350"/>
    <w:rsid w:val="9FBED270"/>
    <w:rsid w:val="DF7D6DDD"/>
    <w:rsid w:val="DF87A96D"/>
    <w:rsid w:val="EF27FA97"/>
    <w:rsid w:val="F9FD5288"/>
    <w:rsid w:val="FEF7C8D2"/>
    <w:rsid w:val="FFDE3B1C"/>
    <w:rsid w:val="FFEFF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spacing w:line="600" w:lineRule="exact"/>
      <w:ind w:firstLine="880" w:firstLineChars="200"/>
    </w:pPr>
  </w:style>
  <w:style w:type="character" w:styleId="11">
    <w:name w:val="page number"/>
    <w:basedOn w:val="10"/>
    <w:qFormat/>
    <w:uiPriority w:val="0"/>
  </w:style>
  <w:style w:type="paragraph" w:customStyle="1" w:styleId="12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15">
    <w:name w:val="fontstyle21"/>
    <w:basedOn w:val="10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  <w:style w:type="character" w:customStyle="1" w:styleId="16">
    <w:name w:val="fontstyle31"/>
    <w:basedOn w:val="1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2206</Words>
  <Characters>2238</Characters>
  <Lines>0</Lines>
  <Paragraphs>0</Paragraphs>
  <TotalTime>0</TotalTime>
  <ScaleCrop>false</ScaleCrop>
  <LinksUpToDate>false</LinksUpToDate>
  <CharactersWithSpaces>2396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2020-05-27T17:49:00Z</dcterms:created>
  <dc:creator>廖蜀黍</dc:creator>
  <cp:lastModifiedBy>易云枝</cp:lastModifiedBy>
  <dcterms:modified xsi:type="dcterms:W3CDTF">2026-03-12T17:00:31Z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F403241E56694CC283612CB3AE4DF34F_12</vt:lpwstr>
  </property>
</Properties>
</file>