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9A81E">
      <w:pPr>
        <w:rPr>
          <w:highlight w:val="none"/>
        </w:rPr>
      </w:pPr>
      <w:bookmarkStart w:id="0" w:name="_GoBack"/>
      <w:r>
        <w:rPr>
          <w:rFonts w:hint="eastAsia" w:ascii="仿宋_GB2312" w:eastAsia="仿宋_GB2312"/>
          <w:b/>
          <w:bCs/>
          <w:sz w:val="30"/>
          <w:szCs w:val="30"/>
          <w:highlight w:val="none"/>
        </w:rPr>
        <w:t>附件</w:t>
      </w:r>
      <w:r>
        <w:rPr>
          <w:rFonts w:hint="eastAsia" w:ascii="仿宋_GB2312" w:eastAsia="仿宋_GB2312"/>
          <w:b/>
          <w:bCs/>
          <w:sz w:val="30"/>
          <w:szCs w:val="30"/>
          <w:highlight w:val="none"/>
          <w:lang w:val="en-US" w:eastAsia="zh-CN"/>
        </w:rPr>
        <w:t>2</w:t>
      </w:r>
      <w:r>
        <w:rPr>
          <w:rFonts w:hint="eastAsia" w:ascii="仿宋_GB2312" w:eastAsia="仿宋_GB2312"/>
          <w:b/>
          <w:bCs/>
          <w:sz w:val="30"/>
          <w:szCs w:val="30"/>
          <w:highlight w:val="none"/>
        </w:rPr>
        <w:t>：综合评分表</w:t>
      </w:r>
    </w:p>
    <w:bookmarkEnd w:id="0"/>
    <w:tbl>
      <w:tblPr>
        <w:tblStyle w:val="7"/>
        <w:tblW w:w="7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645"/>
        <w:gridCol w:w="1141"/>
        <w:gridCol w:w="5777"/>
      </w:tblGrid>
      <w:tr w14:paraId="1AF4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CellMar>
            <w:top w:w="0" w:type="dxa"/>
            <w:left w:w="0" w:type="dxa"/>
            <w:bottom w:w="0" w:type="dxa"/>
            <w:right w:w="0" w:type="dxa"/>
          </w:tblCellMar>
        </w:tblPrEx>
        <w:trPr>
          <w:trHeight w:val="892" w:hRule="atLeast"/>
          <w:tblHeader/>
          <w:jc w:val="center"/>
        </w:trPr>
        <w:tc>
          <w:tcPr>
            <w:tcW w:w="645" w:type="dxa"/>
            <w:shd w:val="clear" w:color="auto" w:fill="DEEAF6"/>
            <w:noWrap w:val="0"/>
            <w:tcMar>
              <w:top w:w="80" w:type="dxa"/>
              <w:left w:w="80" w:type="dxa"/>
              <w:bottom w:w="80" w:type="dxa"/>
              <w:right w:w="80" w:type="dxa"/>
            </w:tcMar>
            <w:vAlign w:val="center"/>
          </w:tcPr>
          <w:p w14:paraId="081F538A">
            <w:pPr>
              <w:tabs>
                <w:tab w:val="left" w:pos="420"/>
              </w:tabs>
              <w:spacing w:before="0" w:line="20" w:lineRule="atLeast"/>
              <w:jc w:val="center"/>
              <w:rPr>
                <w:rFonts w:hint="default" w:ascii="Times New Roman" w:hAnsi="Times New Roman" w:cs="Times New Roman"/>
                <w:color w:val="auto"/>
                <w:highlight w:val="none"/>
              </w:rPr>
            </w:pPr>
            <w:r>
              <w:rPr>
                <w:rFonts w:ascii="Times New Roman" w:hAnsi="Times New Roman" w:eastAsia="宋体" w:cs="Times New Roman"/>
                <w:b/>
                <w:bCs/>
                <w:color w:val="auto"/>
                <w:kern w:val="2"/>
                <w:sz w:val="21"/>
                <w:szCs w:val="21"/>
                <w:highlight w:val="none"/>
              </w:rPr>
              <w:t>序号</w:t>
            </w:r>
          </w:p>
        </w:tc>
        <w:tc>
          <w:tcPr>
            <w:tcW w:w="1141" w:type="dxa"/>
            <w:shd w:val="clear" w:color="auto" w:fill="DEEAF6"/>
            <w:noWrap w:val="0"/>
            <w:tcMar>
              <w:top w:w="80" w:type="dxa"/>
              <w:left w:w="80" w:type="dxa"/>
              <w:bottom w:w="80" w:type="dxa"/>
              <w:right w:w="80" w:type="dxa"/>
            </w:tcMar>
            <w:vAlign w:val="center"/>
          </w:tcPr>
          <w:p w14:paraId="5A69117E">
            <w:pPr>
              <w:tabs>
                <w:tab w:val="left" w:pos="420"/>
              </w:tabs>
              <w:spacing w:before="0" w:line="20" w:lineRule="atLeast"/>
              <w:jc w:val="center"/>
              <w:rPr>
                <w:rFonts w:hint="default" w:ascii="Times New Roman" w:hAnsi="Times New Roman" w:eastAsia="宋体" w:cs="Times New Roman"/>
                <w:b/>
                <w:bCs/>
                <w:color w:val="auto"/>
                <w:kern w:val="2"/>
                <w:sz w:val="21"/>
                <w:szCs w:val="21"/>
                <w:highlight w:val="none"/>
              </w:rPr>
            </w:pPr>
            <w:r>
              <w:rPr>
                <w:rFonts w:ascii="Times New Roman" w:hAnsi="Times New Roman" w:eastAsia="宋体" w:cs="Times New Roman"/>
                <w:b/>
                <w:bCs/>
                <w:color w:val="auto"/>
                <w:kern w:val="2"/>
                <w:sz w:val="21"/>
                <w:szCs w:val="21"/>
                <w:highlight w:val="none"/>
              </w:rPr>
              <w:t>评审</w:t>
            </w:r>
          </w:p>
          <w:p w14:paraId="3311BA81">
            <w:pPr>
              <w:tabs>
                <w:tab w:val="left" w:pos="420"/>
              </w:tabs>
              <w:spacing w:before="0" w:line="20" w:lineRule="atLeast"/>
              <w:jc w:val="center"/>
              <w:rPr>
                <w:rFonts w:hint="default" w:ascii="Times New Roman" w:hAnsi="Times New Roman" w:cs="Times New Roman"/>
                <w:color w:val="auto"/>
                <w:highlight w:val="none"/>
              </w:rPr>
            </w:pPr>
            <w:r>
              <w:rPr>
                <w:rFonts w:ascii="Times New Roman" w:hAnsi="Times New Roman" w:eastAsia="宋体" w:cs="Times New Roman"/>
                <w:b/>
                <w:bCs/>
                <w:color w:val="auto"/>
                <w:kern w:val="2"/>
                <w:sz w:val="21"/>
                <w:szCs w:val="21"/>
                <w:highlight w:val="none"/>
              </w:rPr>
              <w:t>项目</w:t>
            </w:r>
          </w:p>
        </w:tc>
        <w:tc>
          <w:tcPr>
            <w:tcW w:w="5777" w:type="dxa"/>
            <w:shd w:val="clear" w:color="auto" w:fill="DEEAF6"/>
            <w:noWrap w:val="0"/>
            <w:tcMar>
              <w:top w:w="80" w:type="dxa"/>
              <w:left w:w="80" w:type="dxa"/>
              <w:bottom w:w="80" w:type="dxa"/>
              <w:right w:w="80" w:type="dxa"/>
            </w:tcMar>
            <w:vAlign w:val="center"/>
          </w:tcPr>
          <w:p w14:paraId="15992234">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ascii="Times New Roman" w:hAnsi="Times New Roman" w:cs="Times New Roman"/>
                <w:color w:val="auto"/>
                <w:highlight w:val="none"/>
              </w:rPr>
            </w:pPr>
            <w:r>
              <w:rPr>
                <w:rFonts w:hint="eastAsia" w:ascii="宋体" w:hAnsi="宋体"/>
                <w:b/>
                <w:szCs w:val="21"/>
                <w:highlight w:val="none"/>
              </w:rPr>
              <w:t>评审标准及证明材料</w:t>
            </w:r>
          </w:p>
        </w:tc>
      </w:tr>
      <w:tr w14:paraId="6493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645" w:type="dxa"/>
            <w:shd w:val="clear" w:color="auto" w:fill="auto"/>
            <w:noWrap w:val="0"/>
            <w:tcMar>
              <w:top w:w="80" w:type="dxa"/>
              <w:left w:w="80" w:type="dxa"/>
              <w:bottom w:w="80" w:type="dxa"/>
              <w:right w:w="80" w:type="dxa"/>
            </w:tcMar>
            <w:vAlign w:val="center"/>
          </w:tcPr>
          <w:p w14:paraId="6F8AC912">
            <w:pPr>
              <w:tabs>
                <w:tab w:val="left" w:pos="420"/>
              </w:tabs>
              <w:spacing w:before="0" w:line="240" w:lineRule="auto"/>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w:t>
            </w:r>
          </w:p>
        </w:tc>
        <w:tc>
          <w:tcPr>
            <w:tcW w:w="1141" w:type="dxa"/>
            <w:shd w:val="clear" w:color="auto" w:fill="auto"/>
            <w:noWrap w:val="0"/>
            <w:tcMar>
              <w:top w:w="80" w:type="dxa"/>
              <w:left w:w="80" w:type="dxa"/>
              <w:bottom w:w="80" w:type="dxa"/>
              <w:right w:w="80" w:type="dxa"/>
            </w:tcMar>
            <w:vAlign w:val="center"/>
          </w:tcPr>
          <w:p w14:paraId="1B74563B">
            <w:pPr>
              <w:widowControl w:val="0"/>
              <w:tabs>
                <w:tab w:val="left" w:pos="420"/>
              </w:tabs>
              <w:spacing w:before="0" w:line="240" w:lineRule="auto"/>
              <w:jc w:val="center"/>
              <w:rPr>
                <w:rFonts w:hint="default" w:ascii="Times New Roman" w:hAnsi="Times New Roman" w:eastAsia="宋体" w:cs="Times New Roman"/>
                <w:color w:val="auto"/>
                <w:kern w:val="2"/>
                <w:sz w:val="21"/>
                <w:szCs w:val="21"/>
                <w:highlight w:val="none"/>
                <w:lang w:val="en-US"/>
              </w:rPr>
            </w:pPr>
            <w:r>
              <w:rPr>
                <w:rFonts w:ascii="Times New Roman" w:hAnsi="Times New Roman" w:eastAsia="宋体" w:cs="Times New Roman"/>
                <w:color w:val="auto"/>
                <w:kern w:val="2"/>
                <w:sz w:val="21"/>
                <w:szCs w:val="21"/>
                <w:highlight w:val="none"/>
                <w:lang w:val="en-US"/>
              </w:rPr>
              <w:t>报价</w:t>
            </w:r>
          </w:p>
          <w:p w14:paraId="27CFB070">
            <w:pPr>
              <w:widowControl w:val="0"/>
              <w:tabs>
                <w:tab w:val="left" w:pos="420"/>
              </w:tabs>
              <w:spacing w:before="0" w:line="240" w:lineRule="auto"/>
              <w:jc w:val="center"/>
              <w:rPr>
                <w:rFonts w:ascii="Times New Roman" w:hAnsi="Times New Roman" w:eastAsia="宋体" w:cs="Times New Roman"/>
                <w:color w:val="auto"/>
                <w:kern w:val="2"/>
                <w:sz w:val="21"/>
                <w:szCs w:val="21"/>
                <w:highlight w:val="none"/>
                <w:lang w:val="en-US"/>
              </w:rPr>
            </w:pPr>
            <w:r>
              <w:rPr>
                <w:rFonts w:ascii="Times New Roman" w:hAnsi="Times New Roman" w:eastAsia="宋体" w:cs="Times New Roman"/>
                <w:color w:val="auto"/>
                <w:kern w:val="2"/>
                <w:sz w:val="21"/>
                <w:szCs w:val="21"/>
                <w:highlight w:val="none"/>
                <w:lang w:val="en-US"/>
              </w:rPr>
              <w:t>得分</w:t>
            </w:r>
          </w:p>
          <w:p w14:paraId="50A773EF">
            <w:pPr>
              <w:widowControl w:val="0"/>
              <w:tabs>
                <w:tab w:val="left" w:pos="420"/>
              </w:tabs>
              <w:spacing w:before="0" w:line="240" w:lineRule="auto"/>
              <w:jc w:val="center"/>
              <w:rPr>
                <w:rFonts w:ascii="Times New Roman" w:hAnsi="Times New Roman" w:eastAsia="宋体"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rPr>
              <w:t>（</w:t>
            </w:r>
            <w:r>
              <w:rPr>
                <w:rFonts w:hint="eastAsia" w:ascii="Times New Roman" w:hAnsi="Times New Roman" w:eastAsia="宋体" w:cs="Times New Roman"/>
                <w:color w:val="auto"/>
                <w:kern w:val="2"/>
                <w:sz w:val="21"/>
                <w:szCs w:val="21"/>
                <w:highlight w:val="none"/>
                <w:lang w:val="en-US" w:eastAsia="zh-CN"/>
              </w:rPr>
              <w:t>20</w:t>
            </w:r>
            <w:r>
              <w:rPr>
                <w:rFonts w:ascii="Times New Roman" w:hAnsi="Times New Roman" w:eastAsia="宋体" w:cs="Times New Roman"/>
                <w:color w:val="auto"/>
                <w:kern w:val="2"/>
                <w:sz w:val="21"/>
                <w:szCs w:val="21"/>
                <w:highlight w:val="none"/>
              </w:rPr>
              <w:t>分</w:t>
            </w:r>
            <w:r>
              <w:rPr>
                <w:rFonts w:hint="default" w:ascii="Times New Roman" w:hAnsi="Times New Roman" w:cs="Times New Roman"/>
                <w:color w:val="auto"/>
                <w:kern w:val="2"/>
                <w:sz w:val="21"/>
                <w:szCs w:val="21"/>
                <w:highlight w:val="none"/>
                <w:lang w:val="en-US" w:eastAsia="zh-CN"/>
              </w:rPr>
              <w:t>）</w:t>
            </w:r>
          </w:p>
        </w:tc>
        <w:tc>
          <w:tcPr>
            <w:tcW w:w="5777" w:type="dxa"/>
            <w:shd w:val="clear" w:color="auto" w:fill="auto"/>
            <w:noWrap w:val="0"/>
            <w:tcMar>
              <w:top w:w="80" w:type="dxa"/>
              <w:left w:w="80" w:type="dxa"/>
              <w:bottom w:w="80" w:type="dxa"/>
              <w:right w:w="80" w:type="dxa"/>
            </w:tcMar>
            <w:vAlign w:val="center"/>
          </w:tcPr>
          <w:p w14:paraId="35B74A48">
            <w:pPr>
              <w:widowControl w:val="0"/>
              <w:topLinePunct/>
              <w:ind w:firstLine="0" w:firstLineChars="0"/>
              <w:rPr>
                <w:rFonts w:hint="eastAsia" w:ascii="宋体" w:hAnsi="宋体" w:cs="宋体"/>
                <w:b/>
                <w:bCs/>
                <w:szCs w:val="21"/>
                <w:highlight w:val="none"/>
              </w:rPr>
            </w:pPr>
            <w:r>
              <w:rPr>
                <w:rFonts w:hint="eastAsia" w:ascii="宋体" w:hAnsi="宋体" w:cs="宋体"/>
                <w:b/>
                <w:bCs/>
                <w:szCs w:val="21"/>
                <w:highlight w:val="none"/>
              </w:rPr>
              <w:t>评审标准：</w:t>
            </w:r>
          </w:p>
          <w:p w14:paraId="15857403">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采用低价优先法：基准价为最低报价，其价格分为满分。其他报价得分 =（基准价 / 投标报价）× </w:t>
            </w:r>
            <w:r>
              <w:rPr>
                <w:rFonts w:hint="eastAsia" w:ascii="Times New Roman" w:hAnsi="Times New Roman" w:eastAsia="宋体" w:cs="Times New Roman"/>
                <w:color w:val="auto"/>
                <w:sz w:val="21"/>
                <w:szCs w:val="21"/>
                <w:highlight w:val="none"/>
                <w:lang w:val="en-US" w:eastAsia="zh-CN"/>
              </w:rPr>
              <w:t>20</w:t>
            </w:r>
          </w:p>
          <w:p w14:paraId="1E571F28">
            <w:pPr>
              <w:widowControl w:val="0"/>
              <w:wordWrap w:val="0"/>
              <w:topLinePunct/>
              <w:ind w:firstLine="0" w:firstLineChars="0"/>
              <w:rPr>
                <w:rFonts w:hint="eastAsia" w:ascii="宋体" w:hAnsi="宋体" w:cs="宋体"/>
                <w:b/>
                <w:bCs/>
                <w:szCs w:val="21"/>
                <w:highlight w:val="none"/>
              </w:rPr>
            </w:pPr>
            <w:r>
              <w:rPr>
                <w:rFonts w:hint="eastAsia" w:ascii="宋体" w:hAnsi="宋体" w:cs="宋体"/>
                <w:b/>
                <w:bCs/>
                <w:szCs w:val="21"/>
                <w:highlight w:val="none"/>
              </w:rPr>
              <w:t>证明材料：</w:t>
            </w:r>
            <w:r>
              <w:rPr>
                <w:rFonts w:hint="eastAsia" w:ascii="宋体" w:hAnsi="宋体" w:eastAsia="宋体" w:cs="宋体"/>
                <w:kern w:val="2"/>
                <w:sz w:val="22"/>
                <w:szCs w:val="22"/>
                <w:highlight w:val="none"/>
                <w:lang w:val="en-US" w:eastAsia="zh-CN"/>
              </w:rPr>
              <w:t>提供报价响应文件，并加盖公章。</w:t>
            </w:r>
          </w:p>
          <w:p w14:paraId="7E3FC26B">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default" w:ascii="Times New Roman" w:hAnsi="Times New Roman" w:eastAsia="宋体" w:cs="Times New Roman"/>
                <w:color w:val="auto"/>
                <w:sz w:val="21"/>
                <w:szCs w:val="21"/>
                <w:highlight w:val="none"/>
                <w:lang w:val="en-US" w:eastAsia="zh-CN"/>
              </w:rPr>
            </w:pPr>
          </w:p>
        </w:tc>
      </w:tr>
      <w:tr w14:paraId="4D39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645" w:type="dxa"/>
            <w:shd w:val="clear" w:color="auto" w:fill="auto"/>
            <w:noWrap w:val="0"/>
            <w:tcMar>
              <w:top w:w="80" w:type="dxa"/>
              <w:left w:w="80" w:type="dxa"/>
              <w:bottom w:w="80" w:type="dxa"/>
              <w:right w:w="80" w:type="dxa"/>
            </w:tcMar>
            <w:vAlign w:val="center"/>
          </w:tcPr>
          <w:p w14:paraId="05CB315E">
            <w:pPr>
              <w:tabs>
                <w:tab w:val="left" w:pos="420"/>
              </w:tabs>
              <w:spacing w:before="0" w:line="240" w:lineRule="auto"/>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2</w:t>
            </w:r>
          </w:p>
        </w:tc>
        <w:tc>
          <w:tcPr>
            <w:tcW w:w="1141" w:type="dxa"/>
            <w:shd w:val="clear" w:color="auto" w:fill="auto"/>
            <w:noWrap w:val="0"/>
            <w:tcMar>
              <w:top w:w="80" w:type="dxa"/>
              <w:left w:w="80" w:type="dxa"/>
              <w:bottom w:w="80" w:type="dxa"/>
              <w:right w:w="80" w:type="dxa"/>
            </w:tcMar>
            <w:vAlign w:val="center"/>
          </w:tcPr>
          <w:p w14:paraId="26C6AC12">
            <w:pPr>
              <w:widowControl w:val="0"/>
              <w:tabs>
                <w:tab w:val="left" w:pos="420"/>
                <w:tab w:val="left" w:pos="840"/>
                <w:tab w:val="left" w:pos="1260"/>
              </w:tabs>
              <w:spacing w:before="0" w:line="20" w:lineRule="atLeast"/>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color w:val="auto"/>
                <w:szCs w:val="21"/>
                <w:highlight w:val="none"/>
              </w:rPr>
              <w:t>诚信情况</w:t>
            </w:r>
            <w:r>
              <w:rPr>
                <w:rFonts w:hint="eastAsia" w:ascii="宋体" w:hAnsi="宋体" w:eastAsia="宋体" w:cs="宋体"/>
                <w:kern w:val="2"/>
                <w:sz w:val="22"/>
                <w:szCs w:val="22"/>
                <w:highlight w:val="none"/>
                <w:lang w:val="en-US" w:eastAsia="zh-CN"/>
              </w:rPr>
              <w:t>（10分）</w:t>
            </w:r>
          </w:p>
        </w:tc>
        <w:tc>
          <w:tcPr>
            <w:tcW w:w="5777" w:type="dxa"/>
            <w:shd w:val="clear" w:color="auto" w:fill="auto"/>
            <w:noWrap w:val="0"/>
            <w:tcMar>
              <w:top w:w="80" w:type="dxa"/>
              <w:left w:w="80" w:type="dxa"/>
              <w:bottom w:w="80" w:type="dxa"/>
              <w:right w:w="80" w:type="dxa"/>
            </w:tcMar>
            <w:vAlign w:val="center"/>
          </w:tcPr>
          <w:p w14:paraId="33760834">
            <w:pPr>
              <w:widowControl w:val="0"/>
              <w:topLinePunct/>
              <w:ind w:firstLine="0" w:firstLineChars="0"/>
              <w:rPr>
                <w:rFonts w:hint="eastAsia" w:ascii="宋体" w:hAnsi="宋体" w:cs="宋体"/>
                <w:b/>
                <w:bCs/>
                <w:szCs w:val="21"/>
                <w:highlight w:val="none"/>
              </w:rPr>
            </w:pPr>
            <w:r>
              <w:rPr>
                <w:rFonts w:hint="eastAsia" w:ascii="宋体" w:hAnsi="宋体" w:cs="宋体"/>
                <w:b/>
                <w:bCs/>
                <w:szCs w:val="21"/>
                <w:highlight w:val="none"/>
              </w:rPr>
              <w:t>评审标准：</w:t>
            </w:r>
          </w:p>
          <w:p w14:paraId="5BEFFF9E">
            <w:pPr>
              <w:widowControl w:val="0"/>
              <w:numPr>
                <w:ilvl w:val="0"/>
                <w:numId w:val="0"/>
              </w:numPr>
              <w:tabs>
                <w:tab w:val="left" w:pos="420"/>
                <w:tab w:val="left" w:pos="840"/>
                <w:tab w:val="left" w:pos="1260"/>
              </w:tabs>
              <w:spacing w:before="0" w:line="20" w:lineRule="atLeast"/>
              <w:ind w:left="0" w:lef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投标人“国家企业信用信息公示系统”、“信用中国”、“中国政府采购网（www.ccgp.gov.cn）”存在严重违法失信行为的，本项不得分，不存在上述情形的本项得10分。由投标人查询并打印诚信查询结果。</w:t>
            </w:r>
          </w:p>
          <w:p w14:paraId="4DFE9BC3">
            <w:pPr>
              <w:widowControl w:val="0"/>
              <w:numPr>
                <w:ilvl w:val="0"/>
                <w:numId w:val="0"/>
              </w:numPr>
              <w:tabs>
                <w:tab w:val="left" w:pos="420"/>
                <w:tab w:val="left" w:pos="840"/>
                <w:tab w:val="left" w:pos="1260"/>
              </w:tabs>
              <w:spacing w:before="0" w:line="20" w:lineRule="atLeast"/>
              <w:ind w:left="0" w:leftChars="0" w:firstLine="0" w:firstLineChars="0"/>
              <w:jc w:val="left"/>
              <w:rPr>
                <w:rFonts w:hint="default" w:ascii="宋体" w:hAnsi="宋体" w:eastAsia="宋体" w:cs="宋体"/>
                <w:kern w:val="2"/>
                <w:sz w:val="22"/>
                <w:szCs w:val="22"/>
                <w:highlight w:val="none"/>
                <w:lang w:val="en-US" w:eastAsia="zh-CN" w:bidi="ar-SA"/>
              </w:rPr>
            </w:pPr>
            <w:r>
              <w:rPr>
                <w:rFonts w:hint="eastAsia" w:ascii="宋体" w:hAnsi="宋体" w:cs="宋体"/>
                <w:b/>
                <w:bCs/>
                <w:szCs w:val="21"/>
                <w:highlight w:val="none"/>
              </w:rPr>
              <w:t>证明材料：</w:t>
            </w:r>
            <w:r>
              <w:rPr>
                <w:rFonts w:hint="eastAsia" w:ascii="宋体" w:hAnsi="宋体" w:eastAsia="宋体" w:cs="宋体"/>
                <w:kern w:val="2"/>
                <w:sz w:val="22"/>
                <w:szCs w:val="22"/>
                <w:highlight w:val="none"/>
                <w:lang w:val="en-US" w:eastAsia="zh-CN"/>
              </w:rPr>
              <w:t>提供相关系统中查询的信息。</w:t>
            </w:r>
          </w:p>
        </w:tc>
      </w:tr>
      <w:tr w14:paraId="6293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645" w:type="dxa"/>
            <w:shd w:val="clear" w:color="auto" w:fill="auto"/>
            <w:noWrap w:val="0"/>
            <w:tcMar>
              <w:top w:w="80" w:type="dxa"/>
              <w:left w:w="80" w:type="dxa"/>
              <w:bottom w:w="80" w:type="dxa"/>
              <w:right w:w="80" w:type="dxa"/>
            </w:tcMar>
            <w:vAlign w:val="center"/>
          </w:tcPr>
          <w:p w14:paraId="7AEC98E5">
            <w:pPr>
              <w:tabs>
                <w:tab w:val="left" w:pos="420"/>
              </w:tabs>
              <w:spacing w:before="0" w:line="24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rPr>
              <w:t>3</w:t>
            </w:r>
          </w:p>
        </w:tc>
        <w:tc>
          <w:tcPr>
            <w:tcW w:w="1141" w:type="dxa"/>
            <w:shd w:val="clear" w:color="auto" w:fill="auto"/>
            <w:noWrap w:val="0"/>
            <w:tcMar>
              <w:top w:w="80" w:type="dxa"/>
              <w:left w:w="80" w:type="dxa"/>
              <w:bottom w:w="80" w:type="dxa"/>
              <w:right w:w="80" w:type="dxa"/>
            </w:tcMar>
            <w:vAlign w:val="center"/>
          </w:tcPr>
          <w:p w14:paraId="509CF667">
            <w:pPr>
              <w:widowControl w:val="0"/>
              <w:tabs>
                <w:tab w:val="left" w:pos="420"/>
              </w:tabs>
              <w:spacing w:before="0" w:line="240" w:lineRule="auto"/>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项目负责人资历与能力</w:t>
            </w:r>
          </w:p>
          <w:p w14:paraId="0E2A9313">
            <w:pPr>
              <w:widowControl w:val="0"/>
              <w:tabs>
                <w:tab w:val="left" w:pos="420"/>
              </w:tabs>
              <w:spacing w:before="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eastAsia="zh-CN"/>
              </w:rPr>
              <w:t>（</w:t>
            </w:r>
            <w:r>
              <w:rPr>
                <w:rFonts w:hint="eastAsia" w:ascii="宋体" w:hAnsi="宋体" w:cs="宋体"/>
                <w:color w:val="auto"/>
                <w:kern w:val="2"/>
                <w:sz w:val="22"/>
                <w:szCs w:val="22"/>
                <w:highlight w:val="none"/>
                <w:lang w:val="en-US" w:eastAsia="zh-CN"/>
              </w:rPr>
              <w:t>10</w:t>
            </w:r>
            <w:r>
              <w:rPr>
                <w:rFonts w:hint="eastAsia" w:ascii="宋体" w:hAnsi="宋体" w:eastAsia="宋体" w:cs="宋体"/>
                <w:color w:val="auto"/>
                <w:kern w:val="2"/>
                <w:sz w:val="22"/>
                <w:szCs w:val="22"/>
                <w:highlight w:val="none"/>
              </w:rPr>
              <w:t>分</w:t>
            </w:r>
            <w:r>
              <w:rPr>
                <w:rFonts w:hint="eastAsia" w:ascii="宋体" w:hAnsi="宋体" w:eastAsia="宋体" w:cs="宋体"/>
                <w:color w:val="auto"/>
                <w:kern w:val="2"/>
                <w:sz w:val="22"/>
                <w:szCs w:val="22"/>
                <w:highlight w:val="none"/>
                <w:lang w:eastAsia="zh-CN"/>
              </w:rPr>
              <w:t>）</w:t>
            </w:r>
          </w:p>
        </w:tc>
        <w:tc>
          <w:tcPr>
            <w:tcW w:w="5777" w:type="dxa"/>
            <w:shd w:val="clear" w:color="auto" w:fill="auto"/>
            <w:noWrap w:val="0"/>
            <w:tcMar>
              <w:top w:w="80" w:type="dxa"/>
              <w:left w:w="80" w:type="dxa"/>
              <w:bottom w:w="80" w:type="dxa"/>
              <w:right w:w="80" w:type="dxa"/>
            </w:tcMar>
            <w:vAlign w:val="center"/>
          </w:tcPr>
          <w:p w14:paraId="131BC99B">
            <w:pPr>
              <w:widowControl w:val="0"/>
              <w:topLinePunct/>
              <w:ind w:firstLine="0" w:firstLineChars="0"/>
              <w:rPr>
                <w:rFonts w:hint="eastAsia" w:ascii="宋体" w:hAnsi="宋体" w:cs="宋体"/>
                <w:b/>
                <w:bCs/>
                <w:szCs w:val="21"/>
                <w:highlight w:val="none"/>
              </w:rPr>
            </w:pPr>
            <w:r>
              <w:rPr>
                <w:rFonts w:hint="eastAsia" w:ascii="宋体" w:hAnsi="宋体" w:cs="宋体"/>
                <w:b/>
                <w:bCs/>
                <w:szCs w:val="21"/>
                <w:highlight w:val="none"/>
              </w:rPr>
              <w:t>评审标准：</w:t>
            </w:r>
          </w:p>
          <w:p w14:paraId="0D55E242">
            <w:pPr>
              <w:widowControl w:val="0"/>
              <w:numPr>
                <w:ilvl w:val="0"/>
                <w:numId w:val="0"/>
              </w:numPr>
              <w:tabs>
                <w:tab w:val="left" w:pos="420"/>
                <w:tab w:val="left" w:pos="840"/>
                <w:tab w:val="left" w:pos="1260"/>
              </w:tabs>
              <w:spacing w:before="0" w:line="20" w:lineRule="atLeast"/>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2"/>
                <w:szCs w:val="22"/>
                <w:highlight w:val="none"/>
              </w:rPr>
              <w:t>1</w:t>
            </w:r>
            <w:r>
              <w:rPr>
                <w:rFonts w:hint="eastAsia" w:ascii="宋体" w:hAnsi="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具备</w:t>
            </w:r>
            <w:r>
              <w:rPr>
                <w:rFonts w:hint="eastAsia" w:ascii="宋体" w:hAnsi="宋体" w:cs="宋体"/>
                <w:color w:val="auto"/>
                <w:kern w:val="2"/>
                <w:sz w:val="22"/>
                <w:szCs w:val="22"/>
                <w:highlight w:val="none"/>
                <w:lang w:val="en-US" w:eastAsia="zh-CN"/>
              </w:rPr>
              <w:t>建筑工程类高级工程师职称</w:t>
            </w:r>
            <w:r>
              <w:rPr>
                <w:rFonts w:hint="eastAsia" w:ascii="宋体" w:hAnsi="宋体" w:eastAsia="宋体" w:cs="宋体"/>
                <w:color w:val="auto"/>
                <w:kern w:val="2"/>
                <w:sz w:val="21"/>
                <w:szCs w:val="21"/>
                <w:highlight w:val="none"/>
                <w:lang w:val="en-US" w:eastAsia="zh-CN"/>
              </w:rPr>
              <w:t>资格</w:t>
            </w:r>
            <w:r>
              <w:rPr>
                <w:rFonts w:hint="eastAsia" w:ascii="宋体" w:hAnsi="宋体" w:eastAsia="宋体" w:cs="宋体"/>
                <w:color w:val="auto"/>
                <w:kern w:val="2"/>
                <w:sz w:val="21"/>
                <w:szCs w:val="21"/>
                <w:highlight w:val="none"/>
              </w:rPr>
              <w:t>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val="en-US" w:eastAsia="zh-CN"/>
              </w:rPr>
              <w:t>中</w:t>
            </w:r>
            <w:r>
              <w:rPr>
                <w:rFonts w:hint="eastAsia" w:ascii="宋体" w:hAnsi="宋体" w:eastAsia="宋体" w:cs="宋体"/>
                <w:color w:val="auto"/>
                <w:kern w:val="2"/>
                <w:sz w:val="21"/>
                <w:szCs w:val="21"/>
                <w:highlight w:val="none"/>
              </w:rPr>
              <w:t>级</w:t>
            </w: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lang w:val="en-US" w:eastAsia="zh-CN"/>
              </w:rPr>
              <w:t>程师资格</w:t>
            </w:r>
            <w:r>
              <w:rPr>
                <w:rFonts w:hint="eastAsia" w:ascii="宋体" w:hAnsi="宋体" w:eastAsia="宋体" w:cs="宋体"/>
                <w:color w:val="auto"/>
                <w:kern w:val="2"/>
                <w:sz w:val="21"/>
                <w:szCs w:val="21"/>
                <w:highlight w:val="none"/>
              </w:rPr>
              <w:t>得</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分，其他不得分。</w:t>
            </w:r>
          </w:p>
          <w:p w14:paraId="37C29C32">
            <w:pPr>
              <w:widowControl w:val="0"/>
              <w:numPr>
                <w:ilvl w:val="0"/>
                <w:numId w:val="0"/>
              </w:numPr>
              <w:tabs>
                <w:tab w:val="left" w:pos="420"/>
                <w:tab w:val="left" w:pos="840"/>
                <w:tab w:val="left" w:pos="1260"/>
              </w:tabs>
              <w:spacing w:before="0" w:line="20" w:lineRule="atLeast"/>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bCs w:val="0"/>
                <w:color w:val="auto"/>
                <w:szCs w:val="21"/>
                <w:highlight w:val="none"/>
              </w:rPr>
              <w:t>具有研究生学历，得</w:t>
            </w:r>
            <w:r>
              <w:rPr>
                <w:rFonts w:hint="eastAsia" w:ascii="宋体" w:hAnsi="宋体" w:eastAsia="宋体" w:cs="宋体"/>
                <w:bCs w:val="0"/>
                <w:color w:val="auto"/>
                <w:szCs w:val="21"/>
                <w:highlight w:val="none"/>
                <w:lang w:val="en-US" w:eastAsia="zh-CN"/>
              </w:rPr>
              <w:t>4</w:t>
            </w:r>
            <w:r>
              <w:rPr>
                <w:rFonts w:hint="eastAsia" w:ascii="宋体" w:hAnsi="宋体" w:eastAsia="宋体" w:cs="宋体"/>
                <w:bCs w:val="0"/>
                <w:color w:val="auto"/>
                <w:szCs w:val="21"/>
                <w:highlight w:val="none"/>
              </w:rPr>
              <w:t>分；</w:t>
            </w:r>
          </w:p>
          <w:p w14:paraId="1E7AD413">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default" w:ascii="宋体" w:hAnsi="宋体" w:eastAsia="宋体" w:cs="宋体"/>
                <w:color w:val="auto"/>
                <w:kern w:val="2"/>
                <w:sz w:val="22"/>
                <w:szCs w:val="22"/>
                <w:highlight w:val="none"/>
                <w:lang w:val="en-US" w:eastAsia="zh-CN"/>
              </w:rPr>
            </w:pPr>
            <w:r>
              <w:rPr>
                <w:rFonts w:hint="eastAsia" w:ascii="宋体" w:hAnsi="宋体" w:cs="宋体"/>
                <w:b/>
                <w:bCs/>
                <w:szCs w:val="21"/>
                <w:highlight w:val="none"/>
              </w:rPr>
              <w:t>证明材料：</w:t>
            </w:r>
            <w:r>
              <w:rPr>
                <w:rFonts w:hint="eastAsia" w:ascii="宋体" w:hAnsi="宋体" w:eastAsia="宋体" w:cs="宋体"/>
                <w:color w:val="auto"/>
                <w:kern w:val="2"/>
                <w:sz w:val="22"/>
                <w:szCs w:val="22"/>
                <w:highlight w:val="none"/>
              </w:rPr>
              <w:t>提供</w:t>
            </w:r>
            <w:r>
              <w:rPr>
                <w:rFonts w:hint="eastAsia" w:ascii="宋体" w:hAnsi="宋体" w:cs="宋体"/>
                <w:color w:val="auto"/>
                <w:kern w:val="2"/>
                <w:sz w:val="22"/>
                <w:szCs w:val="22"/>
                <w:highlight w:val="none"/>
                <w:lang w:val="en-US" w:eastAsia="zh-CN"/>
              </w:rPr>
              <w:t>项目负责</w:t>
            </w:r>
            <w:r>
              <w:rPr>
                <w:rFonts w:hint="eastAsia" w:ascii="宋体" w:hAnsi="宋体" w:eastAsia="宋体" w:cs="宋体"/>
                <w:color w:val="auto"/>
                <w:kern w:val="2"/>
                <w:sz w:val="22"/>
                <w:szCs w:val="22"/>
                <w:highlight w:val="none"/>
              </w:rPr>
              <w:t>人员的</w:t>
            </w:r>
            <w:r>
              <w:rPr>
                <w:rFonts w:hint="eastAsia" w:ascii="宋体" w:hAnsi="宋体" w:cs="宋体"/>
                <w:color w:val="auto"/>
                <w:kern w:val="2"/>
                <w:sz w:val="22"/>
                <w:szCs w:val="22"/>
                <w:highlight w:val="none"/>
                <w:lang w:val="en-US" w:eastAsia="zh-CN"/>
              </w:rPr>
              <w:t>相关证书的</w:t>
            </w:r>
            <w:r>
              <w:rPr>
                <w:rFonts w:hint="eastAsia" w:ascii="宋体" w:hAnsi="宋体" w:eastAsia="宋体" w:cs="宋体"/>
                <w:color w:val="auto"/>
                <w:kern w:val="2"/>
                <w:sz w:val="22"/>
                <w:szCs w:val="22"/>
                <w:highlight w:val="none"/>
              </w:rPr>
              <w:t>复印件</w:t>
            </w:r>
            <w:r>
              <w:rPr>
                <w:rFonts w:hint="eastAsia" w:ascii="宋体" w:hAnsi="宋体" w:cs="宋体"/>
                <w:color w:val="auto"/>
                <w:kern w:val="2"/>
                <w:sz w:val="22"/>
                <w:szCs w:val="22"/>
                <w:highlight w:val="none"/>
                <w:lang w:eastAsia="zh-CN"/>
              </w:rPr>
              <w:t>。</w:t>
            </w:r>
          </w:p>
        </w:tc>
      </w:tr>
      <w:tr w14:paraId="2F97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645" w:type="dxa"/>
            <w:shd w:val="clear" w:color="auto" w:fill="auto"/>
            <w:noWrap w:val="0"/>
            <w:tcMar>
              <w:top w:w="80" w:type="dxa"/>
              <w:left w:w="80" w:type="dxa"/>
              <w:bottom w:w="80" w:type="dxa"/>
              <w:right w:w="80" w:type="dxa"/>
            </w:tcMar>
            <w:vAlign w:val="center"/>
          </w:tcPr>
          <w:p w14:paraId="7D999372">
            <w:pPr>
              <w:tabs>
                <w:tab w:val="left" w:pos="420"/>
              </w:tabs>
              <w:spacing w:before="0" w:line="240" w:lineRule="auto"/>
              <w:jc w:val="center"/>
              <w:rPr>
                <w:rFonts w:hint="default" w:ascii="宋体" w:hAnsi="宋体" w:eastAsia="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4</w:t>
            </w:r>
          </w:p>
        </w:tc>
        <w:tc>
          <w:tcPr>
            <w:tcW w:w="1141" w:type="dxa"/>
            <w:shd w:val="clear" w:color="auto" w:fill="auto"/>
            <w:noWrap w:val="0"/>
            <w:tcMar>
              <w:top w:w="80" w:type="dxa"/>
              <w:left w:w="80" w:type="dxa"/>
              <w:bottom w:w="80" w:type="dxa"/>
              <w:right w:w="80" w:type="dxa"/>
            </w:tcMar>
            <w:vAlign w:val="center"/>
          </w:tcPr>
          <w:p w14:paraId="6B047E92">
            <w:pPr>
              <w:widowControl w:val="0"/>
              <w:tabs>
                <w:tab w:val="left" w:pos="420"/>
              </w:tabs>
              <w:spacing w:before="0" w:line="240" w:lineRule="auto"/>
              <w:jc w:val="center"/>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rPr>
              <w:t>团队成员配置评分</w:t>
            </w:r>
            <w:r>
              <w:rPr>
                <w:rFonts w:hint="eastAsia" w:ascii="宋体" w:hAnsi="宋体" w:cs="宋体"/>
                <w:color w:val="auto"/>
                <w:kern w:val="2"/>
                <w:sz w:val="22"/>
                <w:szCs w:val="22"/>
                <w:highlight w:val="none"/>
                <w:lang w:val="en-US" w:eastAsia="zh-CN"/>
              </w:rPr>
              <w:t>(20分)</w:t>
            </w:r>
          </w:p>
        </w:tc>
        <w:tc>
          <w:tcPr>
            <w:tcW w:w="5777" w:type="dxa"/>
            <w:shd w:val="clear" w:color="auto" w:fill="auto"/>
            <w:noWrap w:val="0"/>
            <w:tcMar>
              <w:top w:w="80" w:type="dxa"/>
              <w:left w:w="80" w:type="dxa"/>
              <w:bottom w:w="80" w:type="dxa"/>
              <w:right w:w="80" w:type="dxa"/>
            </w:tcMar>
            <w:vAlign w:val="center"/>
          </w:tcPr>
          <w:p w14:paraId="7E3AD7F9">
            <w:pPr>
              <w:widowControl w:val="0"/>
              <w:topLinePunct/>
              <w:ind w:firstLine="0" w:firstLineChars="0"/>
              <w:rPr>
                <w:rFonts w:hint="default" w:ascii="宋体" w:hAnsi="宋体" w:eastAsia="宋体" w:cs="宋体"/>
                <w:b/>
                <w:bCs/>
                <w:szCs w:val="21"/>
                <w:highlight w:val="none"/>
                <w:lang w:val="en-US" w:eastAsia="zh-CN"/>
              </w:rPr>
            </w:pPr>
            <w:r>
              <w:rPr>
                <w:rFonts w:hint="eastAsia" w:ascii="宋体" w:hAnsi="宋体" w:cs="宋体"/>
                <w:b/>
                <w:bCs/>
                <w:szCs w:val="21"/>
                <w:highlight w:val="none"/>
              </w:rPr>
              <w:t>评审标准：</w:t>
            </w:r>
            <w:r>
              <w:rPr>
                <w:rFonts w:hint="eastAsia" w:ascii="宋体" w:hAnsi="宋体" w:cs="宋体"/>
                <w:b/>
                <w:bCs/>
                <w:szCs w:val="21"/>
                <w:highlight w:val="none"/>
                <w:lang w:val="en-US" w:eastAsia="zh-CN"/>
              </w:rPr>
              <w:t>团队成员（不含项目负责人）不得少于 10 人，不满足此项本项不得分；在此基础上，按以下资质条件计分（同一人员满足多项条件的，仅按最高分项计分，不可重复累计；每个资质项最多计 1 人得分，超出人数不计分）：</w:t>
            </w:r>
          </w:p>
          <w:p w14:paraId="342F3F9E">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1、具有一级注册结构工程师执业凭证或建筑结构类高级工程师职称，得 3 分（最多计 1 人，3 分）；</w:t>
            </w:r>
          </w:p>
          <w:p w14:paraId="1C29F729">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2、具有建筑电气设计专业高级工程师职称或注册电气工程师执业凭证，得 3 分（最多计 1 人，3 分）；</w:t>
            </w:r>
          </w:p>
          <w:p w14:paraId="28FC4A50">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3、具有给排水工程专业高级工程师或注册公用设备工程（给排水）执业凭证，得 3 分（最多计 1 人，3 分）；</w:t>
            </w:r>
          </w:p>
          <w:p w14:paraId="12D58EDA">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4、具有计算机科学与技术或信息技术或数据分析相关专业本科及以上学历，或具有计算机或信息技术相关专业中级及以上工程师职称的人员，得 2 分（最多计 1 人，2分）；</w:t>
            </w:r>
          </w:p>
          <w:p w14:paraId="16539359">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5、具有建筑设计专业高级工程师职称或一级注册建筑师职业资格，得 3 分（最多计 1 人，3 分）；</w:t>
            </w:r>
          </w:p>
          <w:p w14:paraId="66BF6260">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6、具有规划专业高级工程师职称或注册城乡规划师执业资格，得 3 分（最多计 1 人，3 分）；</w:t>
            </w:r>
          </w:p>
          <w:p w14:paraId="26DA22AA">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7、具有</w:t>
            </w:r>
            <w:r>
              <w:rPr>
                <w:rFonts w:ascii="宋体" w:hAnsi="宋体" w:eastAsia="宋体" w:cs="宋体"/>
                <w:sz w:val="24"/>
                <w:szCs w:val="24"/>
                <w:highlight w:val="none"/>
              </w:rPr>
              <w:t>一级造价工程师</w:t>
            </w:r>
            <w:r>
              <w:rPr>
                <w:rFonts w:hint="eastAsia" w:ascii="宋体" w:hAnsi="宋体" w:eastAsia="宋体" w:cs="宋体"/>
                <w:sz w:val="24"/>
                <w:szCs w:val="24"/>
                <w:highlight w:val="none"/>
                <w:lang w:val="en-US" w:eastAsia="zh-CN"/>
              </w:rPr>
              <w:t>职</w:t>
            </w:r>
            <w:r>
              <w:rPr>
                <w:rFonts w:ascii="宋体" w:hAnsi="宋体" w:eastAsia="宋体" w:cs="宋体"/>
                <w:sz w:val="24"/>
                <w:szCs w:val="24"/>
                <w:highlight w:val="none"/>
              </w:rPr>
              <w:t>业资格</w:t>
            </w:r>
            <w:r>
              <w:rPr>
                <w:rFonts w:hint="eastAsia" w:ascii="宋体" w:hAnsi="宋体" w:cs="宋体"/>
                <w:color w:val="auto"/>
                <w:sz w:val="22"/>
                <w:szCs w:val="22"/>
                <w:highlight w:val="none"/>
                <w:lang w:val="en-US" w:eastAsia="zh-CN"/>
              </w:rPr>
              <w:t>，得 3 分（最多计 1 人，3 分）；</w:t>
            </w:r>
          </w:p>
          <w:p w14:paraId="359A80BA">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cs="宋体"/>
                <w:b/>
                <w:bCs/>
                <w:szCs w:val="21"/>
                <w:highlight w:val="none"/>
              </w:rPr>
            </w:pPr>
            <w:r>
              <w:rPr>
                <w:rFonts w:hint="eastAsia" w:ascii="宋体" w:hAnsi="宋体" w:cs="宋体"/>
                <w:color w:val="auto"/>
                <w:sz w:val="22"/>
                <w:szCs w:val="22"/>
                <w:highlight w:val="none"/>
                <w:lang w:val="en-US" w:eastAsia="zh-CN"/>
              </w:rPr>
              <w:t>本项最高得分20 分</w:t>
            </w:r>
          </w:p>
          <w:p w14:paraId="78656FF3">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sz w:val="22"/>
                <w:szCs w:val="22"/>
                <w:highlight w:val="none"/>
              </w:rPr>
            </w:pPr>
            <w:r>
              <w:rPr>
                <w:rFonts w:hint="eastAsia" w:ascii="宋体" w:hAnsi="宋体" w:cs="宋体"/>
                <w:b/>
                <w:bCs/>
                <w:szCs w:val="21"/>
                <w:highlight w:val="none"/>
              </w:rPr>
              <w:t>证明材料：</w:t>
            </w:r>
            <w:r>
              <w:rPr>
                <w:rFonts w:hint="eastAsia" w:ascii="宋体" w:hAnsi="宋体" w:eastAsia="宋体" w:cs="宋体"/>
                <w:color w:val="auto"/>
                <w:kern w:val="2"/>
                <w:sz w:val="22"/>
                <w:szCs w:val="22"/>
                <w:highlight w:val="none"/>
              </w:rPr>
              <w:t>提供</w:t>
            </w:r>
            <w:r>
              <w:rPr>
                <w:rFonts w:hint="eastAsia" w:ascii="宋体" w:hAnsi="宋体" w:cs="宋体"/>
                <w:color w:val="auto"/>
                <w:kern w:val="2"/>
                <w:sz w:val="22"/>
                <w:szCs w:val="22"/>
                <w:highlight w:val="none"/>
                <w:lang w:val="en-US" w:eastAsia="zh-CN"/>
              </w:rPr>
              <w:t>团队</w:t>
            </w:r>
            <w:r>
              <w:rPr>
                <w:rFonts w:hint="eastAsia" w:ascii="宋体" w:hAnsi="宋体" w:eastAsia="宋体" w:cs="宋体"/>
                <w:color w:val="auto"/>
                <w:kern w:val="2"/>
                <w:sz w:val="22"/>
                <w:szCs w:val="22"/>
                <w:highlight w:val="none"/>
              </w:rPr>
              <w:t>人员的</w:t>
            </w:r>
            <w:r>
              <w:rPr>
                <w:rFonts w:hint="eastAsia" w:ascii="宋体" w:hAnsi="宋体" w:cs="宋体"/>
                <w:color w:val="auto"/>
                <w:kern w:val="2"/>
                <w:sz w:val="22"/>
                <w:szCs w:val="22"/>
                <w:highlight w:val="none"/>
                <w:lang w:val="en-US" w:eastAsia="zh-CN"/>
              </w:rPr>
              <w:t>相关证书的</w:t>
            </w:r>
            <w:r>
              <w:rPr>
                <w:rFonts w:hint="eastAsia" w:ascii="宋体" w:hAnsi="宋体" w:eastAsia="宋体" w:cs="宋体"/>
                <w:color w:val="auto"/>
                <w:kern w:val="2"/>
                <w:sz w:val="22"/>
                <w:szCs w:val="22"/>
                <w:highlight w:val="none"/>
              </w:rPr>
              <w:t>复印件</w:t>
            </w:r>
            <w:r>
              <w:rPr>
                <w:rFonts w:hint="eastAsia" w:ascii="宋体" w:hAnsi="宋体" w:cs="宋体"/>
                <w:color w:val="auto"/>
                <w:kern w:val="2"/>
                <w:sz w:val="22"/>
                <w:szCs w:val="22"/>
                <w:highlight w:val="none"/>
                <w:lang w:eastAsia="zh-CN"/>
              </w:rPr>
              <w:t>。</w:t>
            </w:r>
          </w:p>
        </w:tc>
      </w:tr>
      <w:tr w14:paraId="0BA8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375" w:hRule="atLeast"/>
          <w:jc w:val="center"/>
        </w:trPr>
        <w:tc>
          <w:tcPr>
            <w:tcW w:w="645" w:type="dxa"/>
            <w:shd w:val="clear" w:color="auto" w:fill="auto"/>
            <w:noWrap w:val="0"/>
            <w:tcMar>
              <w:top w:w="80" w:type="dxa"/>
              <w:left w:w="80" w:type="dxa"/>
              <w:bottom w:w="80" w:type="dxa"/>
              <w:right w:w="80" w:type="dxa"/>
            </w:tcMar>
            <w:vAlign w:val="center"/>
          </w:tcPr>
          <w:p w14:paraId="187C5073">
            <w:pPr>
              <w:tabs>
                <w:tab w:val="left" w:pos="420"/>
              </w:tabs>
              <w:spacing w:before="0" w:line="24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kern w:val="2"/>
                <w:sz w:val="22"/>
                <w:szCs w:val="22"/>
                <w:highlight w:val="none"/>
                <w:lang w:val="en-US" w:eastAsia="zh-CN"/>
              </w:rPr>
              <w:t>5</w:t>
            </w:r>
          </w:p>
        </w:tc>
        <w:tc>
          <w:tcPr>
            <w:tcW w:w="1141" w:type="dxa"/>
            <w:shd w:val="clear" w:color="auto" w:fill="auto"/>
            <w:noWrap w:val="0"/>
            <w:tcMar>
              <w:top w:w="80" w:type="dxa"/>
              <w:left w:w="80" w:type="dxa"/>
              <w:bottom w:w="80" w:type="dxa"/>
              <w:right w:w="80" w:type="dxa"/>
            </w:tcMar>
            <w:vAlign w:val="center"/>
          </w:tcPr>
          <w:p w14:paraId="17B3AF19">
            <w:pPr>
              <w:widowControl w:val="0"/>
              <w:tabs>
                <w:tab w:val="left" w:pos="420"/>
              </w:tabs>
              <w:spacing w:before="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技术服务方案评审</w:t>
            </w:r>
            <w:r>
              <w:rPr>
                <w:rFonts w:hint="eastAsia" w:ascii="宋体" w:hAnsi="宋体" w:eastAsia="宋体" w:cs="宋体"/>
                <w:color w:val="auto"/>
                <w:kern w:val="2"/>
                <w:sz w:val="22"/>
                <w:szCs w:val="22"/>
                <w:highlight w:val="none"/>
                <w:lang w:eastAsia="zh-CN"/>
              </w:rPr>
              <w:t>（</w:t>
            </w:r>
            <w:r>
              <w:rPr>
                <w:rFonts w:hint="eastAsia" w:ascii="宋体" w:hAnsi="宋体" w:cs="宋体"/>
                <w:color w:val="auto"/>
                <w:kern w:val="2"/>
                <w:sz w:val="22"/>
                <w:szCs w:val="22"/>
                <w:highlight w:val="none"/>
                <w:lang w:val="en-US" w:eastAsia="zh-CN"/>
              </w:rPr>
              <w:t>20</w:t>
            </w:r>
            <w:r>
              <w:rPr>
                <w:rFonts w:hint="eastAsia" w:ascii="宋体" w:hAnsi="宋体" w:eastAsia="宋体" w:cs="宋体"/>
                <w:color w:val="auto"/>
                <w:kern w:val="2"/>
                <w:sz w:val="22"/>
                <w:szCs w:val="22"/>
                <w:highlight w:val="none"/>
              </w:rPr>
              <w:t>分</w:t>
            </w:r>
            <w:r>
              <w:rPr>
                <w:rFonts w:hint="eastAsia" w:ascii="宋体" w:hAnsi="宋体" w:eastAsia="宋体" w:cs="宋体"/>
                <w:color w:val="auto"/>
                <w:kern w:val="2"/>
                <w:sz w:val="22"/>
                <w:szCs w:val="22"/>
                <w:highlight w:val="none"/>
                <w:lang w:eastAsia="zh-CN"/>
              </w:rPr>
              <w:t>）</w:t>
            </w:r>
          </w:p>
        </w:tc>
        <w:tc>
          <w:tcPr>
            <w:tcW w:w="5777" w:type="dxa"/>
            <w:shd w:val="clear" w:color="auto" w:fill="auto"/>
            <w:noWrap w:val="0"/>
            <w:tcMar>
              <w:top w:w="80" w:type="dxa"/>
              <w:left w:w="80" w:type="dxa"/>
              <w:bottom w:w="80" w:type="dxa"/>
              <w:right w:w="80" w:type="dxa"/>
            </w:tcMar>
            <w:vAlign w:val="center"/>
          </w:tcPr>
          <w:p w14:paraId="15451AAD">
            <w:pPr>
              <w:widowControl w:val="0"/>
              <w:topLinePunct/>
              <w:ind w:firstLine="0" w:firstLineChars="0"/>
              <w:rPr>
                <w:rFonts w:hint="eastAsia" w:ascii="宋体" w:hAnsi="宋体" w:cs="宋体"/>
                <w:b/>
                <w:bCs/>
                <w:szCs w:val="21"/>
                <w:highlight w:val="none"/>
              </w:rPr>
            </w:pPr>
            <w:r>
              <w:rPr>
                <w:rFonts w:hint="eastAsia" w:ascii="宋体" w:hAnsi="宋体" w:cs="宋体"/>
                <w:b/>
                <w:bCs/>
                <w:szCs w:val="21"/>
                <w:highlight w:val="none"/>
              </w:rPr>
              <w:t>评审标准：</w:t>
            </w:r>
          </w:p>
          <w:p w14:paraId="4C575A8D">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方案应体现对竖井式算力中心特殊性的深入理解，内容包括</w:t>
            </w:r>
            <w:r>
              <w:rPr>
                <w:rFonts w:hint="eastAsia" w:ascii="宋体" w:hAnsi="宋体" w:cs="宋体"/>
                <w:color w:val="auto"/>
                <w:kern w:val="2"/>
                <w:sz w:val="22"/>
                <w:szCs w:val="22"/>
                <w:highlight w:val="none"/>
                <w:lang w:val="en-US" w:eastAsia="zh-CN"/>
              </w:rPr>
              <w:t>以下三项内容</w:t>
            </w:r>
            <w:r>
              <w:rPr>
                <w:rFonts w:hint="eastAsia" w:ascii="宋体" w:hAnsi="宋体" w:eastAsia="宋体" w:cs="宋体"/>
                <w:color w:val="auto"/>
                <w:kern w:val="2"/>
                <w:sz w:val="22"/>
                <w:szCs w:val="22"/>
                <w:highlight w:val="none"/>
                <w:lang w:val="en-US" w:eastAsia="zh-CN"/>
              </w:rPr>
              <w:t>：</w:t>
            </w:r>
          </w:p>
          <w:p w14:paraId="00B35A75">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w:t>
            </w:r>
            <w:r>
              <w:rPr>
                <w:rFonts w:hint="eastAsia" w:ascii="宋体" w:hAnsi="宋体" w:cs="宋体"/>
                <w:color w:val="auto"/>
                <w:kern w:val="2"/>
                <w:sz w:val="22"/>
                <w:szCs w:val="22"/>
                <w:highlight w:val="none"/>
                <w:lang w:val="en-US" w:eastAsia="zh-CN"/>
              </w:rPr>
              <w:t>算力中心的建设背景及相关政策分析；</w:t>
            </w:r>
          </w:p>
          <w:p w14:paraId="4AD01B4E">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w:t>
            </w:r>
            <w:r>
              <w:rPr>
                <w:rFonts w:hint="eastAsia" w:ascii="宋体" w:hAnsi="宋体" w:cs="宋体"/>
                <w:color w:val="auto"/>
                <w:kern w:val="2"/>
                <w:sz w:val="22"/>
                <w:szCs w:val="22"/>
                <w:highlight w:val="none"/>
                <w:lang w:val="en-US" w:eastAsia="zh-CN"/>
              </w:rPr>
              <w:t>重难点分析</w:t>
            </w:r>
            <w:r>
              <w:rPr>
                <w:rFonts w:hint="eastAsia" w:ascii="宋体" w:hAnsi="宋体" w:eastAsia="宋体" w:cs="宋体"/>
                <w:color w:val="auto"/>
                <w:kern w:val="2"/>
                <w:sz w:val="22"/>
                <w:szCs w:val="22"/>
                <w:highlight w:val="none"/>
                <w:lang w:val="en-US" w:eastAsia="zh-CN"/>
              </w:rPr>
              <w:t>；</w:t>
            </w:r>
          </w:p>
          <w:p w14:paraId="43961260">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3.</w:t>
            </w:r>
            <w:r>
              <w:rPr>
                <w:rFonts w:hint="eastAsia" w:ascii="宋体" w:hAnsi="宋体" w:cs="宋体"/>
                <w:color w:val="auto"/>
                <w:kern w:val="2"/>
                <w:sz w:val="22"/>
                <w:szCs w:val="22"/>
                <w:highlight w:val="none"/>
                <w:lang w:val="en-US" w:eastAsia="zh-CN"/>
              </w:rPr>
              <w:t>项目质量保证方案</w:t>
            </w:r>
            <w:r>
              <w:rPr>
                <w:rFonts w:hint="eastAsia" w:ascii="宋体" w:hAnsi="宋体" w:eastAsia="宋体" w:cs="宋体"/>
                <w:color w:val="auto"/>
                <w:kern w:val="2"/>
                <w:sz w:val="22"/>
                <w:szCs w:val="22"/>
                <w:highlight w:val="none"/>
                <w:lang w:val="en-US" w:eastAsia="zh-CN"/>
              </w:rPr>
              <w:t>；</w:t>
            </w:r>
          </w:p>
          <w:p w14:paraId="3AAD0939">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方案包含以上三项内容得12分，满足任意一项得4分，在此基础上，以内容的完整性、合理性、可实施性进行评审</w:t>
            </w:r>
          </w:p>
          <w:p w14:paraId="46D12464">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kern w:val="2"/>
                <w:sz w:val="22"/>
                <w:szCs w:val="22"/>
                <w:highlight w:val="none"/>
                <w:lang w:val="en-US" w:eastAsia="zh-CN"/>
              </w:rPr>
            </w:pPr>
          </w:p>
          <w:p w14:paraId="140E66CA">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横向比较评分：</w:t>
            </w:r>
          </w:p>
          <w:p w14:paraId="4F4A4925">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优（</w:t>
            </w:r>
            <w:r>
              <w:rPr>
                <w:rFonts w:hint="eastAsia" w:ascii="宋体" w:hAnsi="宋体" w:cs="宋体"/>
                <w:color w:val="auto"/>
                <w:kern w:val="2"/>
                <w:sz w:val="22"/>
                <w:szCs w:val="22"/>
                <w:highlight w:val="none"/>
                <w:lang w:val="en-US" w:eastAsia="zh-CN"/>
              </w:rPr>
              <w:t>8</w:t>
            </w:r>
            <w:r>
              <w:rPr>
                <w:rFonts w:hint="eastAsia" w:ascii="宋体" w:hAnsi="宋体" w:eastAsia="宋体" w:cs="宋体"/>
                <w:color w:val="auto"/>
                <w:kern w:val="2"/>
                <w:sz w:val="22"/>
                <w:szCs w:val="22"/>
                <w:highlight w:val="none"/>
                <w:lang w:val="en-US" w:eastAsia="zh-CN"/>
              </w:rPr>
              <w:t>分）：</w:t>
            </w:r>
            <w:r>
              <w:rPr>
                <w:rFonts w:hint="eastAsia" w:ascii="宋体" w:hAnsi="宋体" w:cs="宋体"/>
                <w:color w:val="auto"/>
                <w:kern w:val="2"/>
                <w:sz w:val="22"/>
                <w:szCs w:val="22"/>
                <w:highlight w:val="none"/>
                <w:lang w:val="en-US" w:eastAsia="zh-CN"/>
              </w:rPr>
              <w:t>技术服务方案</w:t>
            </w:r>
            <w:r>
              <w:rPr>
                <w:rFonts w:hint="eastAsia" w:ascii="宋体" w:hAnsi="宋体" w:eastAsia="宋体" w:cs="宋体"/>
                <w:color w:val="auto"/>
                <w:kern w:val="2"/>
                <w:sz w:val="22"/>
                <w:szCs w:val="22"/>
                <w:highlight w:val="none"/>
                <w:lang w:val="en-US" w:eastAsia="zh-CN"/>
              </w:rPr>
              <w:t>内容全面、</w:t>
            </w:r>
            <w:r>
              <w:rPr>
                <w:rFonts w:hint="eastAsia" w:ascii="宋体" w:hAnsi="宋体" w:cs="宋体"/>
                <w:color w:val="auto"/>
                <w:kern w:val="2"/>
                <w:sz w:val="22"/>
                <w:szCs w:val="22"/>
                <w:highlight w:val="none"/>
                <w:lang w:val="en-US" w:eastAsia="zh-CN"/>
              </w:rPr>
              <w:t>科学合理</w:t>
            </w:r>
            <w:r>
              <w:rPr>
                <w:rFonts w:hint="eastAsia" w:ascii="宋体" w:hAnsi="宋体" w:eastAsia="宋体" w:cs="宋体"/>
                <w:color w:val="auto"/>
                <w:kern w:val="2"/>
                <w:sz w:val="22"/>
                <w:szCs w:val="22"/>
                <w:highlight w:val="none"/>
                <w:lang w:val="en-US" w:eastAsia="zh-CN"/>
              </w:rPr>
              <w:t>、可实施性高；</w:t>
            </w:r>
          </w:p>
          <w:p w14:paraId="728C2007">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良（</w:t>
            </w:r>
            <w:r>
              <w:rPr>
                <w:rFonts w:hint="eastAsia" w:ascii="宋体" w:hAnsi="宋体" w:cs="宋体"/>
                <w:color w:val="auto"/>
                <w:kern w:val="2"/>
                <w:sz w:val="22"/>
                <w:szCs w:val="22"/>
                <w:highlight w:val="none"/>
                <w:lang w:val="en-US" w:eastAsia="zh-CN"/>
              </w:rPr>
              <w:t>6</w:t>
            </w:r>
            <w:r>
              <w:rPr>
                <w:rFonts w:hint="eastAsia" w:ascii="宋体" w:hAnsi="宋体" w:eastAsia="宋体" w:cs="宋体"/>
                <w:color w:val="auto"/>
                <w:kern w:val="2"/>
                <w:sz w:val="22"/>
                <w:szCs w:val="22"/>
                <w:highlight w:val="none"/>
                <w:lang w:val="en-US" w:eastAsia="zh-CN"/>
              </w:rPr>
              <w:t>分）：</w:t>
            </w:r>
            <w:r>
              <w:rPr>
                <w:rFonts w:hint="eastAsia" w:ascii="宋体" w:hAnsi="宋体" w:cs="宋体"/>
                <w:color w:val="auto"/>
                <w:kern w:val="2"/>
                <w:sz w:val="22"/>
                <w:szCs w:val="22"/>
                <w:highlight w:val="none"/>
                <w:lang w:val="en-US" w:eastAsia="zh-CN"/>
              </w:rPr>
              <w:t>技术服务方案</w:t>
            </w:r>
            <w:r>
              <w:rPr>
                <w:rFonts w:hint="eastAsia" w:ascii="宋体" w:hAnsi="宋体" w:eastAsia="宋体" w:cs="宋体"/>
                <w:color w:val="auto"/>
                <w:kern w:val="2"/>
                <w:sz w:val="22"/>
                <w:szCs w:val="22"/>
                <w:highlight w:val="none"/>
                <w:lang w:val="en-US" w:eastAsia="zh-CN"/>
              </w:rPr>
              <w:t>内容较全面、</w:t>
            </w:r>
            <w:r>
              <w:rPr>
                <w:rFonts w:hint="eastAsia" w:ascii="宋体" w:hAnsi="宋体" w:cs="宋体"/>
                <w:color w:val="auto"/>
                <w:kern w:val="2"/>
                <w:sz w:val="22"/>
                <w:szCs w:val="22"/>
                <w:highlight w:val="none"/>
                <w:lang w:val="en-US" w:eastAsia="zh-CN"/>
              </w:rPr>
              <w:t>较合理</w:t>
            </w:r>
            <w:r>
              <w:rPr>
                <w:rFonts w:hint="eastAsia" w:ascii="宋体" w:hAnsi="宋体" w:eastAsia="宋体" w:cs="宋体"/>
                <w:color w:val="auto"/>
                <w:kern w:val="2"/>
                <w:sz w:val="22"/>
                <w:szCs w:val="22"/>
                <w:highlight w:val="none"/>
                <w:lang w:val="en-US" w:eastAsia="zh-CN"/>
              </w:rPr>
              <w:t>、有一定</w:t>
            </w:r>
            <w:r>
              <w:rPr>
                <w:rFonts w:hint="eastAsia" w:ascii="宋体" w:hAnsi="宋体" w:cs="宋体"/>
                <w:color w:val="auto"/>
                <w:kern w:val="2"/>
                <w:sz w:val="22"/>
                <w:szCs w:val="22"/>
                <w:highlight w:val="none"/>
                <w:lang w:val="en-US" w:eastAsia="zh-CN"/>
              </w:rPr>
              <w:t>可实施性</w:t>
            </w:r>
            <w:r>
              <w:rPr>
                <w:rFonts w:hint="eastAsia" w:ascii="宋体" w:hAnsi="宋体" w:eastAsia="宋体" w:cs="宋体"/>
                <w:color w:val="auto"/>
                <w:kern w:val="2"/>
                <w:sz w:val="22"/>
                <w:szCs w:val="22"/>
                <w:highlight w:val="none"/>
                <w:lang w:val="en-US" w:eastAsia="zh-CN"/>
              </w:rPr>
              <w:t>；</w:t>
            </w:r>
          </w:p>
          <w:p w14:paraId="731E57E7">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中（</w:t>
            </w:r>
            <w:r>
              <w:rPr>
                <w:rFonts w:hint="eastAsia" w:ascii="宋体" w:hAnsi="宋体" w:cs="宋体"/>
                <w:color w:val="auto"/>
                <w:kern w:val="2"/>
                <w:sz w:val="22"/>
                <w:szCs w:val="22"/>
                <w:highlight w:val="none"/>
                <w:lang w:val="en-US" w:eastAsia="zh-CN"/>
              </w:rPr>
              <w:t>4</w:t>
            </w:r>
            <w:r>
              <w:rPr>
                <w:rFonts w:hint="eastAsia" w:ascii="宋体" w:hAnsi="宋体" w:eastAsia="宋体" w:cs="宋体"/>
                <w:color w:val="auto"/>
                <w:kern w:val="2"/>
                <w:sz w:val="22"/>
                <w:szCs w:val="22"/>
                <w:highlight w:val="none"/>
                <w:lang w:val="en-US" w:eastAsia="zh-CN"/>
              </w:rPr>
              <w:t>分）：内容基本完整，</w:t>
            </w:r>
            <w:r>
              <w:rPr>
                <w:rFonts w:hint="eastAsia" w:ascii="宋体" w:hAnsi="宋体" w:cs="宋体"/>
                <w:color w:val="auto"/>
                <w:kern w:val="2"/>
                <w:sz w:val="22"/>
                <w:szCs w:val="22"/>
                <w:highlight w:val="none"/>
                <w:lang w:val="en-US" w:eastAsia="zh-CN"/>
              </w:rPr>
              <w:t>针对性一般，可操作性一般</w:t>
            </w:r>
            <w:r>
              <w:rPr>
                <w:rFonts w:hint="eastAsia" w:ascii="宋体" w:hAnsi="宋体" w:eastAsia="宋体" w:cs="宋体"/>
                <w:color w:val="auto"/>
                <w:kern w:val="2"/>
                <w:sz w:val="22"/>
                <w:szCs w:val="22"/>
                <w:highlight w:val="none"/>
                <w:lang w:val="en-US" w:eastAsia="zh-CN"/>
              </w:rPr>
              <w:t>；</w:t>
            </w:r>
          </w:p>
          <w:p w14:paraId="0F421D91">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差（</w:t>
            </w:r>
            <w:r>
              <w:rPr>
                <w:rFonts w:hint="eastAsia" w:ascii="宋体" w:hAnsi="宋体" w:cs="宋体"/>
                <w:color w:val="auto"/>
                <w:kern w:val="2"/>
                <w:sz w:val="22"/>
                <w:szCs w:val="22"/>
                <w:highlight w:val="none"/>
                <w:lang w:val="en-US" w:eastAsia="zh-CN"/>
              </w:rPr>
              <w:t>0</w:t>
            </w:r>
            <w:r>
              <w:rPr>
                <w:rFonts w:hint="eastAsia" w:ascii="宋体" w:hAnsi="宋体" w:eastAsia="宋体" w:cs="宋体"/>
                <w:color w:val="auto"/>
                <w:kern w:val="2"/>
                <w:sz w:val="22"/>
                <w:szCs w:val="22"/>
                <w:highlight w:val="none"/>
                <w:lang w:val="en-US" w:eastAsia="zh-CN"/>
              </w:rPr>
              <w:t>分）：内容空泛、缺乏针对性</w:t>
            </w:r>
            <w:r>
              <w:rPr>
                <w:rFonts w:hint="eastAsia" w:ascii="宋体" w:hAnsi="宋体" w:cs="宋体"/>
                <w:color w:val="auto"/>
                <w:kern w:val="2"/>
                <w:sz w:val="22"/>
                <w:szCs w:val="22"/>
                <w:highlight w:val="none"/>
                <w:lang w:val="en-US" w:eastAsia="zh-CN"/>
              </w:rPr>
              <w:t>、可操作性较差</w:t>
            </w:r>
            <w:r>
              <w:rPr>
                <w:rFonts w:hint="eastAsia" w:ascii="宋体" w:hAnsi="宋体" w:eastAsia="宋体" w:cs="宋体"/>
                <w:color w:val="auto"/>
                <w:kern w:val="2"/>
                <w:sz w:val="22"/>
                <w:szCs w:val="22"/>
                <w:highlight w:val="none"/>
                <w:lang w:val="en-US" w:eastAsia="zh-CN"/>
              </w:rPr>
              <w:t>。</w:t>
            </w:r>
          </w:p>
          <w:p w14:paraId="3E3DBBE2">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sz w:val="22"/>
                <w:szCs w:val="22"/>
                <w:highlight w:val="none"/>
              </w:rPr>
            </w:pPr>
            <w:r>
              <w:rPr>
                <w:rFonts w:hint="eastAsia" w:ascii="宋体" w:hAnsi="宋体" w:cs="宋体"/>
                <w:b/>
                <w:bCs/>
                <w:szCs w:val="21"/>
                <w:highlight w:val="none"/>
              </w:rPr>
              <w:t>证明材料：</w:t>
            </w:r>
            <w:r>
              <w:rPr>
                <w:rFonts w:hint="eastAsia" w:ascii="宋体" w:hAnsi="宋体" w:eastAsia="宋体" w:cs="宋体"/>
                <w:color w:val="auto"/>
                <w:kern w:val="2"/>
                <w:sz w:val="22"/>
                <w:szCs w:val="22"/>
                <w:highlight w:val="none"/>
              </w:rPr>
              <w:t>提供技术服务方案，并加盖公章</w:t>
            </w:r>
            <w:r>
              <w:rPr>
                <w:rFonts w:hint="eastAsia" w:ascii="宋体" w:hAnsi="宋体" w:eastAsia="宋体" w:cs="宋体"/>
                <w:color w:val="auto"/>
                <w:kern w:val="2"/>
                <w:sz w:val="22"/>
                <w:szCs w:val="22"/>
                <w:highlight w:val="none"/>
                <w:lang w:eastAsia="zh-CN"/>
              </w:rPr>
              <w:t>。</w:t>
            </w:r>
          </w:p>
        </w:tc>
      </w:tr>
      <w:tr w14:paraId="0FAC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375" w:hRule="atLeast"/>
          <w:jc w:val="center"/>
        </w:trPr>
        <w:tc>
          <w:tcPr>
            <w:tcW w:w="645" w:type="dxa"/>
            <w:shd w:val="clear" w:color="auto" w:fill="auto"/>
            <w:noWrap w:val="0"/>
            <w:tcMar>
              <w:top w:w="80" w:type="dxa"/>
              <w:left w:w="80" w:type="dxa"/>
              <w:bottom w:w="80" w:type="dxa"/>
              <w:right w:w="80" w:type="dxa"/>
            </w:tcMar>
            <w:vAlign w:val="center"/>
          </w:tcPr>
          <w:p w14:paraId="57DF1C2D">
            <w:pPr>
              <w:tabs>
                <w:tab w:val="left" w:pos="420"/>
              </w:tabs>
              <w:spacing w:before="0" w:line="240" w:lineRule="auto"/>
              <w:jc w:val="center"/>
              <w:rPr>
                <w:rFonts w:hint="default"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6</w:t>
            </w:r>
          </w:p>
        </w:tc>
        <w:tc>
          <w:tcPr>
            <w:tcW w:w="1141" w:type="dxa"/>
            <w:shd w:val="clear" w:color="auto" w:fill="auto"/>
            <w:noWrap w:val="0"/>
            <w:tcMar>
              <w:top w:w="80" w:type="dxa"/>
              <w:left w:w="80" w:type="dxa"/>
              <w:bottom w:w="80" w:type="dxa"/>
              <w:right w:w="80" w:type="dxa"/>
            </w:tcMar>
            <w:vAlign w:val="center"/>
          </w:tcPr>
          <w:p w14:paraId="44C0FE36">
            <w:pPr>
              <w:widowControl w:val="0"/>
              <w:tabs>
                <w:tab w:val="left" w:pos="420"/>
              </w:tabs>
              <w:spacing w:before="0" w:line="240" w:lineRule="auto"/>
              <w:jc w:val="center"/>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rPr>
              <w:t>业绩情况</w:t>
            </w:r>
            <w:r>
              <w:rPr>
                <w:rFonts w:hint="eastAsia" w:ascii="宋体" w:hAnsi="宋体" w:cs="宋体"/>
                <w:color w:val="auto"/>
                <w:kern w:val="2"/>
                <w:sz w:val="22"/>
                <w:szCs w:val="22"/>
                <w:highlight w:val="none"/>
                <w:lang w:eastAsia="zh-CN"/>
              </w:rPr>
              <w:t>（</w:t>
            </w:r>
            <w:r>
              <w:rPr>
                <w:rFonts w:hint="eastAsia" w:ascii="宋体" w:hAnsi="宋体" w:cs="宋体"/>
                <w:color w:val="auto"/>
                <w:kern w:val="2"/>
                <w:sz w:val="22"/>
                <w:szCs w:val="22"/>
                <w:highlight w:val="none"/>
                <w:lang w:val="en-US" w:eastAsia="zh-CN"/>
              </w:rPr>
              <w:t>20分</w:t>
            </w:r>
            <w:r>
              <w:rPr>
                <w:rFonts w:hint="eastAsia" w:ascii="宋体" w:hAnsi="宋体" w:cs="宋体"/>
                <w:color w:val="auto"/>
                <w:kern w:val="2"/>
                <w:sz w:val="22"/>
                <w:szCs w:val="22"/>
                <w:highlight w:val="none"/>
                <w:lang w:eastAsia="zh-CN"/>
              </w:rPr>
              <w:t>）</w:t>
            </w:r>
          </w:p>
        </w:tc>
        <w:tc>
          <w:tcPr>
            <w:tcW w:w="5777" w:type="dxa"/>
            <w:shd w:val="clear" w:color="auto" w:fill="auto"/>
            <w:noWrap w:val="0"/>
            <w:tcMar>
              <w:top w:w="80" w:type="dxa"/>
              <w:left w:w="80" w:type="dxa"/>
              <w:bottom w:w="80" w:type="dxa"/>
              <w:right w:w="80" w:type="dxa"/>
            </w:tcMar>
            <w:vAlign w:val="center"/>
          </w:tcPr>
          <w:p w14:paraId="7229FA03">
            <w:pPr>
              <w:widowControl w:val="0"/>
              <w:topLinePunct/>
              <w:ind w:firstLine="0" w:firstLineChars="0"/>
              <w:rPr>
                <w:rFonts w:hint="eastAsia" w:ascii="宋体" w:hAnsi="宋体" w:cs="宋体"/>
                <w:b/>
                <w:bCs/>
                <w:szCs w:val="21"/>
                <w:highlight w:val="none"/>
              </w:rPr>
            </w:pPr>
            <w:r>
              <w:rPr>
                <w:rFonts w:hint="eastAsia" w:ascii="宋体" w:hAnsi="宋体" w:cs="宋体"/>
                <w:b/>
                <w:bCs/>
                <w:szCs w:val="21"/>
                <w:highlight w:val="none"/>
              </w:rPr>
              <w:t>评审标准：</w:t>
            </w:r>
          </w:p>
          <w:p w14:paraId="114AAE20">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自2023年1月1日起</w:t>
            </w:r>
            <w:r>
              <w:rPr>
                <w:rFonts w:hint="eastAsia" w:ascii="宋体" w:hAnsi="宋体" w:eastAsia="宋体" w:cs="宋体"/>
                <w:color w:val="auto"/>
                <w:kern w:val="2"/>
                <w:sz w:val="22"/>
                <w:szCs w:val="22"/>
                <w:highlight w:val="none"/>
                <w:lang w:val="en-US" w:eastAsia="zh-CN"/>
              </w:rPr>
              <w:t>，</w:t>
            </w:r>
            <w:r>
              <w:rPr>
                <w:rFonts w:hint="eastAsia" w:ascii="宋体" w:hAnsi="宋体" w:cs="宋体"/>
                <w:color w:val="auto"/>
                <w:kern w:val="2"/>
                <w:sz w:val="22"/>
                <w:szCs w:val="22"/>
                <w:highlight w:val="none"/>
                <w:lang w:val="en-US" w:eastAsia="zh-CN"/>
              </w:rPr>
              <w:t>拥有</w:t>
            </w:r>
            <w:r>
              <w:rPr>
                <w:rFonts w:hint="eastAsia" w:ascii="宋体" w:hAnsi="宋体" w:eastAsia="宋体" w:cs="宋体"/>
                <w:color w:val="auto"/>
                <w:kern w:val="2"/>
                <w:sz w:val="22"/>
                <w:szCs w:val="22"/>
                <w:highlight w:val="none"/>
                <w:lang w:val="en-US" w:eastAsia="zh-CN"/>
              </w:rPr>
              <w:t>政府</w:t>
            </w:r>
            <w:r>
              <w:rPr>
                <w:rFonts w:hint="eastAsia" w:ascii="宋体" w:hAnsi="宋体" w:cs="宋体"/>
                <w:color w:val="auto"/>
                <w:kern w:val="2"/>
                <w:sz w:val="22"/>
                <w:szCs w:val="22"/>
                <w:highlight w:val="none"/>
                <w:lang w:val="en-US" w:eastAsia="zh-CN"/>
              </w:rPr>
              <w:t>或国企</w:t>
            </w:r>
            <w:r>
              <w:rPr>
                <w:rFonts w:hint="eastAsia" w:ascii="宋体" w:hAnsi="宋体" w:eastAsia="宋体" w:cs="宋体"/>
                <w:color w:val="auto"/>
                <w:kern w:val="2"/>
                <w:sz w:val="22"/>
                <w:szCs w:val="22"/>
                <w:highlight w:val="none"/>
                <w:lang w:val="en-US" w:eastAsia="zh-CN"/>
              </w:rPr>
              <w:t>咨询服务</w:t>
            </w:r>
            <w:r>
              <w:rPr>
                <w:rFonts w:hint="eastAsia" w:ascii="宋体" w:hAnsi="宋体" w:cs="宋体"/>
                <w:color w:val="auto"/>
                <w:kern w:val="2"/>
                <w:sz w:val="22"/>
                <w:szCs w:val="22"/>
                <w:highlight w:val="none"/>
                <w:lang w:val="en-US" w:eastAsia="zh-CN"/>
              </w:rPr>
              <w:t>类项目业绩</w:t>
            </w:r>
            <w:r>
              <w:rPr>
                <w:rFonts w:hint="eastAsia" w:ascii="宋体" w:hAnsi="宋体" w:eastAsia="宋体" w:cs="宋体"/>
                <w:color w:val="auto"/>
                <w:kern w:val="2"/>
                <w:sz w:val="22"/>
                <w:szCs w:val="22"/>
                <w:highlight w:val="none"/>
                <w:lang w:val="en-US" w:eastAsia="zh-CN"/>
              </w:rPr>
              <w:t>，每提供一份符合要求的合同得</w:t>
            </w:r>
            <w:r>
              <w:rPr>
                <w:rFonts w:hint="eastAsia" w:ascii="宋体" w:hAnsi="宋体" w:cs="宋体"/>
                <w:color w:val="auto"/>
                <w:kern w:val="2"/>
                <w:sz w:val="22"/>
                <w:szCs w:val="22"/>
                <w:highlight w:val="none"/>
                <w:lang w:val="en-US" w:eastAsia="zh-CN"/>
              </w:rPr>
              <w:t>10</w:t>
            </w:r>
            <w:r>
              <w:rPr>
                <w:rFonts w:hint="eastAsia" w:ascii="宋体" w:hAnsi="宋体" w:eastAsia="宋体" w:cs="宋体"/>
                <w:color w:val="auto"/>
                <w:kern w:val="2"/>
                <w:sz w:val="22"/>
                <w:szCs w:val="22"/>
                <w:highlight w:val="none"/>
                <w:lang w:val="en-US" w:eastAsia="zh-CN"/>
              </w:rPr>
              <w:t>分，最高得</w:t>
            </w:r>
            <w:r>
              <w:rPr>
                <w:rFonts w:hint="eastAsia" w:ascii="宋体" w:hAnsi="宋体" w:cs="宋体"/>
                <w:color w:val="auto"/>
                <w:kern w:val="2"/>
                <w:sz w:val="22"/>
                <w:szCs w:val="22"/>
                <w:highlight w:val="none"/>
                <w:lang w:val="en-US" w:eastAsia="zh-CN"/>
              </w:rPr>
              <w:t>20</w:t>
            </w:r>
            <w:r>
              <w:rPr>
                <w:rFonts w:hint="eastAsia" w:ascii="宋体" w:hAnsi="宋体" w:eastAsia="宋体" w:cs="宋体"/>
                <w:color w:val="auto"/>
                <w:kern w:val="2"/>
                <w:sz w:val="22"/>
                <w:szCs w:val="22"/>
                <w:highlight w:val="none"/>
                <w:lang w:val="en-US" w:eastAsia="zh-CN"/>
              </w:rPr>
              <w:t>分，未提供则不得分。</w:t>
            </w:r>
          </w:p>
          <w:p w14:paraId="25FA0663">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宋体" w:hAnsi="宋体" w:eastAsia="宋体" w:cs="宋体"/>
                <w:color w:val="auto"/>
                <w:kern w:val="2"/>
                <w:sz w:val="22"/>
                <w:szCs w:val="22"/>
                <w:highlight w:val="none"/>
                <w:lang w:val="en-US" w:eastAsia="zh-CN"/>
              </w:rPr>
            </w:pPr>
            <w:r>
              <w:rPr>
                <w:rFonts w:hint="eastAsia" w:ascii="宋体" w:hAnsi="宋体" w:cs="宋体"/>
                <w:b/>
                <w:bCs/>
                <w:szCs w:val="21"/>
                <w:highlight w:val="none"/>
              </w:rPr>
              <w:t>证明材料：</w:t>
            </w:r>
            <w:r>
              <w:rPr>
                <w:rFonts w:hint="eastAsia" w:ascii="宋体" w:hAnsi="宋体" w:eastAsia="宋体" w:cs="宋体"/>
                <w:color w:val="auto"/>
                <w:kern w:val="2"/>
                <w:sz w:val="22"/>
                <w:szCs w:val="22"/>
                <w:highlight w:val="none"/>
              </w:rPr>
              <w:t>需提供</w:t>
            </w:r>
            <w:r>
              <w:rPr>
                <w:rFonts w:hint="eastAsia" w:ascii="宋体" w:hAnsi="宋体" w:cs="宋体"/>
                <w:color w:val="auto"/>
                <w:kern w:val="2"/>
                <w:sz w:val="22"/>
                <w:szCs w:val="22"/>
                <w:highlight w:val="none"/>
                <w:lang w:val="en-US" w:eastAsia="zh-CN"/>
              </w:rPr>
              <w:t>相关</w:t>
            </w:r>
            <w:r>
              <w:rPr>
                <w:rFonts w:hint="eastAsia" w:ascii="宋体" w:hAnsi="宋体" w:eastAsia="宋体" w:cs="宋体"/>
                <w:color w:val="auto"/>
                <w:kern w:val="2"/>
                <w:sz w:val="22"/>
                <w:szCs w:val="22"/>
                <w:highlight w:val="none"/>
              </w:rPr>
              <w:t>证明文件</w:t>
            </w:r>
            <w:r>
              <w:rPr>
                <w:rFonts w:hint="eastAsia" w:ascii="宋体" w:hAnsi="宋体" w:cs="宋体"/>
                <w:color w:val="auto"/>
                <w:kern w:val="2"/>
                <w:sz w:val="22"/>
                <w:szCs w:val="22"/>
                <w:highlight w:val="none"/>
                <w:lang w:eastAsia="zh-CN"/>
              </w:rPr>
              <w:t>，</w:t>
            </w:r>
            <w:r>
              <w:rPr>
                <w:rFonts w:hint="eastAsia" w:ascii="宋体" w:hAnsi="宋体" w:cs="宋体"/>
                <w:color w:val="auto"/>
                <w:kern w:val="2"/>
                <w:sz w:val="22"/>
                <w:szCs w:val="22"/>
                <w:highlight w:val="none"/>
                <w:lang w:val="en-US" w:eastAsia="zh-CN"/>
              </w:rPr>
              <w:t>如</w:t>
            </w:r>
            <w:r>
              <w:rPr>
                <w:rFonts w:hint="eastAsia" w:ascii="宋体" w:hAnsi="宋体" w:eastAsia="宋体" w:cs="宋体"/>
                <w:color w:val="auto"/>
                <w:kern w:val="2"/>
                <w:sz w:val="22"/>
                <w:szCs w:val="22"/>
                <w:highlight w:val="none"/>
              </w:rPr>
              <w:t>合同关键页扫描件，加盖公章</w:t>
            </w:r>
            <w:r>
              <w:rPr>
                <w:rFonts w:hint="eastAsia" w:ascii="宋体" w:hAnsi="宋体" w:eastAsia="宋体" w:cs="宋体"/>
                <w:color w:val="auto"/>
                <w:kern w:val="2"/>
                <w:sz w:val="22"/>
                <w:szCs w:val="22"/>
                <w:highlight w:val="none"/>
                <w:lang w:eastAsia="zh-CN"/>
              </w:rPr>
              <w:t>。</w:t>
            </w:r>
          </w:p>
        </w:tc>
      </w:tr>
    </w:tbl>
    <w:p w14:paraId="5CDD3262">
      <w:pPr>
        <w:rPr>
          <w:rFonts w:hint="default"/>
          <w:highlight w:val="none"/>
          <w:lang w:val="en-US" w:eastAsia="zh-CN"/>
        </w:rPr>
      </w:pPr>
    </w:p>
    <w:p w14:paraId="7CBFCF9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hint="eastAsia" w:ascii="宋体" w:hAnsi="宋体" w:cs="宋体"/>
          <w:sz w:val="36"/>
          <w:szCs w:val="36"/>
          <w:highlight w:val="none"/>
        </w:rPr>
      </w:pPr>
    </w:p>
    <w:p w14:paraId="4360E51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420"/>
        <w:rPr>
          <w:rFonts w:hint="eastAsia" w:ascii="黑体" w:hAnsi="黑体" w:eastAsia="黑体" w:cs="黑体"/>
          <w:szCs w:val="21"/>
          <w:highlight w:val="none"/>
        </w:rPr>
      </w:pPr>
      <w:r>
        <w:rPr>
          <w:rFonts w:ascii="黑体" w:hAnsi="黑体" w:eastAsia="黑体" w:cs="黑体"/>
          <w:szCs w:val="21"/>
          <w:highlight w:val="none"/>
        </w:rPr>
        <w:t>备注：1.各项评审打分按照四舍五入，小数点后保留2位进行计算；</w:t>
      </w:r>
    </w:p>
    <w:p w14:paraId="135257D1">
      <w:r>
        <w:rPr>
          <w:rFonts w:ascii="黑体" w:hAnsi="黑体" w:eastAsia="黑体" w:cs="黑体"/>
          <w:szCs w:val="21"/>
          <w:highlight w:val="none"/>
        </w:rPr>
        <w:t xml:space="preserve">          2.若出现拟推荐成交候选供应商票数相同的情况，以未推荐上述单位的评审专家对并列第一的候选供应商既定打分排序作为最终选定依据。</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F303D"/>
    <w:rsid w:val="557C5D14"/>
    <w:rsid w:val="60B5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customStyle="1" w:styleId="5">
    <w:name w:val="p3"/>
    <w:basedOn w:val="1"/>
    <w:qFormat/>
    <w:uiPriority w:val="0"/>
    <w:pPr>
      <w:spacing w:line="30" w:lineRule="atLeast"/>
      <w:jc w:val="center"/>
    </w:pPr>
    <w:rPr>
      <w:rFonts w:hint="eastAsia" w:ascii="宋体" w:hAnsi="宋体" w:cs="宋体"/>
      <w:kern w:val="0"/>
      <w:sz w:val="36"/>
      <w:szCs w:val="36"/>
    </w:rPr>
  </w:style>
  <w:style w:type="paragraph" w:styleId="6">
    <w:name w:val="List Paragraph"/>
    <w:basedOn w:val="1"/>
    <w:qFormat/>
    <w:uiPriority w:val="34"/>
    <w:pPr>
      <w:ind w:firstLine="420" w:firstLineChars="200"/>
    </w:pPr>
  </w:style>
  <w:style w:type="table" w:customStyle="1" w:styleId="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2026-03-16T09:08:55Z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DCA924E98D0646D98E03EA01BE2D52D6_13</vt:lpwstr>
  </property>
  <property fmtid="{D5CDD505-2E9C-101B-9397-08002B2CF9AE}" pid="4" name="KSOTemplateDocerSaveRecord">
    <vt:lpwstr>eyJoZGlkIjoiZjYxZTUyYjc1MzQwNWRmNjlmMWQyYmQ2NmM1M2U4MmMiLCJ1c2VySWQiOiI2OTk3NTA5NDAifQ==</vt:lpwstr>
  </property>
</Properties>
</file>