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XM20260086</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XM20260086</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XM20260086</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2026医用耗材一批1月第4批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3</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6</w:t>
      </w:r>
      <w:bookmarkStart w:id="34" w:name="_GoBack"/>
      <w:bookmarkEnd w:id="34"/>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pPr w:leftFromText="180" w:rightFromText="180" w:vertAnchor="text" w:horzAnchor="page" w:tblpX="606" w:tblpY="557"/>
        <w:tblOverlap w:val="never"/>
        <w:tblW w:w="1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参考规格</w:t>
            </w: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bl>
    <w:tbl>
      <w:tblPr>
        <w:tblStyle w:val="18"/>
        <w:tblW w:w="16134"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643"/>
        <w:gridCol w:w="1786"/>
        <w:gridCol w:w="4040"/>
        <w:gridCol w:w="2500"/>
        <w:gridCol w:w="1086"/>
        <w:gridCol w:w="1087"/>
        <w:gridCol w:w="1101"/>
        <w:gridCol w:w="1229"/>
        <w:gridCol w:w="1087"/>
        <w:gridCol w:w="910"/>
      </w:tblGrid>
      <w:tr w14:paraId="09F3B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8AA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4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8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一次性使用皮肤点刺针</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7E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用于探、拨、挑、刺组织。不得用于注射。</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0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BLD-4N-D（0.3mm）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BLD-4N-F（0.5mm）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BLD-4N-G（0.6mm）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BLD-4N-H（0.7mm）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8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CA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枚</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F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40650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F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1788600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C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C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皮肤科</w:t>
            </w:r>
          </w:p>
        </w:tc>
      </w:tr>
      <w:tr w14:paraId="6F94B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FBD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8A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A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一次性使用内镜抓钳</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87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通过软性内镜钳道进入人体自然腔道，抓取、钳夹组织、结石或异物。</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2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MD-C-GF1812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CA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A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2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E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D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A8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ICU护理组</w:t>
            </w:r>
          </w:p>
        </w:tc>
      </w:tr>
      <w:tr w14:paraId="16582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567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F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A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一次性肠内营养供应管路</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D7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1、（针式泵管）为营养输液泵配套使用，适用于肠内喂养 2、（针式重力）靠营养液重力输注，适用于肠内喂养。</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B5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针式泵管Link-01-3、  LInk-01-4（针式重力）</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C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D8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9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2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105350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B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6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ICU护理组</w:t>
            </w:r>
          </w:p>
        </w:tc>
      </w:tr>
      <w:tr w14:paraId="7D528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05A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B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D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一次性使用动静脉留置针（动脉专用）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6C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应用于手术及治疗过程中的持续有创血压监测及重复动脉血采集</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B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ZKP/18G/20G/22G/24G</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2F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A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1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1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0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53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麻醉科</w:t>
            </w:r>
          </w:p>
        </w:tc>
      </w:tr>
      <w:tr w14:paraId="249A8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B88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85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D5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血气、电解质、生化多项试剂包</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ED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1、用于体外定量检测人全血样本中以下项目的物质含量：钠离子、钾离子、氯离子、离子钙、葡萄糖、酸碱度等。2、适用于床旁血气分析仪Cobas b 123 POC system（品牌：罗氏）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8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 测试/包</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E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61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测试</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1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8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464000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3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D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ICU护理组</w:t>
            </w:r>
          </w:p>
        </w:tc>
      </w:tr>
      <w:tr w14:paraId="627FB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FEF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5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0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鼻胃肠管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6F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1、适用于经胃、十二指肠或空肠营养供给和胃肠减压；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2、规格：带重力锤。</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C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CH12 link-02-4、CH14link-02-4</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E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8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B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0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1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1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内一病区</w:t>
            </w:r>
          </w:p>
        </w:tc>
      </w:tr>
      <w:tr w14:paraId="2122F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1EF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7包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2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A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血气电解质分析仪用测定试剂（电极法）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01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1、测定人体样品中的PH、二氧化碳、氧、钾、钠、氯、钙离子浓度分析等。2、适用于血气电解质分析仪Vitagas 5E（品牌：深圳康立 ）</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2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60e测试</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8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4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5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B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0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5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麻醉科</w:t>
            </w:r>
          </w:p>
        </w:tc>
      </w:tr>
      <w:tr w14:paraId="0293A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73C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54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8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医用可吸收缝合线</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34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为合成可吸收缝线，适用于一般软组织的结扎，包括用于眼科手术。但不适用于心血管和神经外科。</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A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GC-518NC；0G316N；3-0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G433N；5-0GC-518NC；0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G433N；5-0G316N；3-0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GC-518NC；0317B；2-0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GC-518NC；0G316N；3-0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G316N；3-0G316N；3-0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GC-518NC；0G316N；3-0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G316N；3-0G316N；3-0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B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8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D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28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B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C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手术室</w:t>
            </w:r>
          </w:p>
        </w:tc>
      </w:tr>
      <w:tr w14:paraId="35DCB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auto" w:sz="4" w:space="0"/>
              <w:right w:val="single" w:color="000000" w:sz="4" w:space="0"/>
            </w:tcBorders>
            <w:shd w:val="clear" w:color="auto" w:fill="auto"/>
            <w:vAlign w:val="center"/>
          </w:tcPr>
          <w:p w14:paraId="393DAD1A">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9包</w:t>
            </w:r>
          </w:p>
        </w:tc>
        <w:tc>
          <w:tcPr>
            <w:tcW w:w="643" w:type="dxa"/>
            <w:tcBorders>
              <w:top w:val="single" w:color="000000" w:sz="4" w:space="0"/>
              <w:left w:val="single" w:color="000000" w:sz="4" w:space="0"/>
              <w:bottom w:val="single" w:color="auto" w:sz="4" w:space="0"/>
              <w:right w:val="single" w:color="000000" w:sz="4" w:space="0"/>
            </w:tcBorders>
            <w:shd w:val="clear" w:color="auto" w:fill="auto"/>
            <w:vAlign w:val="center"/>
          </w:tcPr>
          <w:p w14:paraId="154DD1B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auto" w:sz="4" w:space="0"/>
              <w:right w:val="single" w:color="000000" w:sz="4" w:space="0"/>
            </w:tcBorders>
            <w:shd w:val="clear" w:color="auto" w:fill="auto"/>
            <w:vAlign w:val="center"/>
          </w:tcPr>
          <w:p w14:paraId="2C8E2A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医用凝胶敷料</w:t>
            </w:r>
          </w:p>
        </w:tc>
        <w:tc>
          <w:tcPr>
            <w:tcW w:w="40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82A53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通过在皮肤创面表面形成保护层，起物理屏障作用，保持非慢性创面的湿性状态。用于痤疮、皮炎、湿疹等非慢性创面及周围皮肤的护理。</w:t>
            </w:r>
          </w:p>
        </w:tc>
        <w:tc>
          <w:tcPr>
            <w:tcW w:w="2500" w:type="dxa"/>
            <w:tcBorders>
              <w:top w:val="single" w:color="000000" w:sz="4" w:space="0"/>
              <w:left w:val="single" w:color="000000" w:sz="4" w:space="0"/>
              <w:bottom w:val="single" w:color="auto" w:sz="4" w:space="0"/>
              <w:right w:val="single" w:color="000000" w:sz="4" w:space="0"/>
            </w:tcBorders>
            <w:shd w:val="clear" w:color="auto" w:fill="auto"/>
            <w:vAlign w:val="center"/>
          </w:tcPr>
          <w:p w14:paraId="3F6608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086" w:type="dxa"/>
            <w:tcBorders>
              <w:top w:val="single" w:color="000000" w:sz="4" w:space="0"/>
              <w:left w:val="single" w:color="000000" w:sz="4" w:space="0"/>
              <w:bottom w:val="single" w:color="auto" w:sz="4" w:space="0"/>
              <w:right w:val="single" w:color="000000" w:sz="4" w:space="0"/>
            </w:tcBorders>
            <w:shd w:val="clear" w:color="auto" w:fill="auto"/>
            <w:vAlign w:val="center"/>
          </w:tcPr>
          <w:p w14:paraId="10CD2F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149</w:t>
            </w:r>
          </w:p>
        </w:tc>
        <w:tc>
          <w:tcPr>
            <w:tcW w:w="1087" w:type="dxa"/>
            <w:tcBorders>
              <w:top w:val="single" w:color="000000" w:sz="4" w:space="0"/>
              <w:left w:val="single" w:color="000000" w:sz="4" w:space="0"/>
              <w:bottom w:val="single" w:color="auto" w:sz="4" w:space="0"/>
              <w:right w:val="single" w:color="000000" w:sz="4" w:space="0"/>
            </w:tcBorders>
            <w:shd w:val="clear" w:color="auto" w:fill="auto"/>
            <w:vAlign w:val="center"/>
          </w:tcPr>
          <w:p w14:paraId="38EE6D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克</w:t>
            </w:r>
          </w:p>
        </w:tc>
        <w:tc>
          <w:tcPr>
            <w:tcW w:w="1101" w:type="dxa"/>
            <w:tcBorders>
              <w:top w:val="single" w:color="000000" w:sz="4" w:space="0"/>
              <w:left w:val="single" w:color="000000" w:sz="4" w:space="0"/>
              <w:bottom w:val="single" w:color="auto" w:sz="4" w:space="0"/>
              <w:right w:val="single" w:color="000000" w:sz="4" w:space="0"/>
            </w:tcBorders>
            <w:shd w:val="clear" w:color="auto" w:fill="auto"/>
            <w:vAlign w:val="center"/>
          </w:tcPr>
          <w:p w14:paraId="314F0C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229" w:type="dxa"/>
            <w:tcBorders>
              <w:top w:val="single" w:color="000000" w:sz="4" w:space="0"/>
              <w:left w:val="single" w:color="000000" w:sz="4" w:space="0"/>
              <w:bottom w:val="single" w:color="auto" w:sz="4" w:space="0"/>
              <w:right w:val="single" w:color="000000" w:sz="4" w:space="0"/>
            </w:tcBorders>
            <w:shd w:val="clear" w:color="auto" w:fill="auto"/>
            <w:vAlign w:val="center"/>
          </w:tcPr>
          <w:p w14:paraId="4026B2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447000</w:t>
            </w:r>
          </w:p>
        </w:tc>
        <w:tc>
          <w:tcPr>
            <w:tcW w:w="1087" w:type="dxa"/>
            <w:tcBorders>
              <w:top w:val="single" w:color="000000" w:sz="4" w:space="0"/>
              <w:left w:val="single" w:color="000000" w:sz="4" w:space="0"/>
              <w:bottom w:val="single" w:color="auto" w:sz="4" w:space="0"/>
              <w:right w:val="single" w:color="000000" w:sz="4" w:space="0"/>
            </w:tcBorders>
            <w:shd w:val="clear" w:color="auto" w:fill="auto"/>
            <w:vAlign w:val="center"/>
          </w:tcPr>
          <w:p w14:paraId="34AF72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auto" w:sz="4" w:space="0"/>
              <w:right w:val="single" w:color="000000" w:sz="4" w:space="0"/>
            </w:tcBorders>
            <w:shd w:val="clear" w:color="auto" w:fill="auto"/>
            <w:vAlign w:val="center"/>
          </w:tcPr>
          <w:p w14:paraId="54E7B5B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皮肤科</w:t>
            </w:r>
          </w:p>
        </w:tc>
      </w:tr>
      <w:tr w14:paraId="59EC6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5F7869">
            <w:pPr>
              <w:jc w:val="center"/>
              <w:rPr>
                <w:rFonts w:hint="default" w:ascii="宋体" w:hAnsi="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10包</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466062E7">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0E23FF3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等离子体手术刀头（射频电极/消融电极）</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19F4D4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该产品与低温等离子手术系统连接使用、适用于对软组织进行汽化、切割、消融和凝血。</w:t>
            </w:r>
          </w:p>
          <w:p w14:paraId="7E8AD7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适用于：等离子体多功能手术系统（注册证名称：等离子手术设备）（品牌：高通、型号  SM-D360C）</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3E5F92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DZX-G3040-A340</w:t>
            </w:r>
          </w:p>
          <w:p w14:paraId="23B09E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DZX-G2740-A230</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0DB79E29">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890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4607B3C3">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642DB6D6">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25</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B3A8353">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22250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09E6C63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80076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骨伤科脊柱组</w:t>
            </w:r>
          </w:p>
        </w:tc>
      </w:tr>
      <w:tr w14:paraId="7142E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78FA11">
            <w:pPr>
              <w:jc w:val="center"/>
              <w:rPr>
                <w:rFonts w:hint="eastAsia" w:ascii="宋体" w:hAnsi="宋体" w:cs="宋体"/>
                <w:i w:val="0"/>
                <w:iCs w:val="0"/>
                <w:color w:val="000000"/>
                <w:sz w:val="18"/>
                <w:szCs w:val="18"/>
                <w:u w:val="none"/>
                <w:lang w:val="en-US" w:eastAsia="zh-CN"/>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139B697C">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659A486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一次性射频消融电极</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4DB86171">
            <w:pPr>
              <w:keepNext w:val="0"/>
              <w:keepLines w:val="0"/>
              <w:widowControl/>
              <w:numPr>
                <w:ilvl w:val="0"/>
                <w:numId w:val="2"/>
              </w:numPr>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该产品用于与等离子主机、射频主机等相关设备连接使用，起到对软组织的汽化、切割、消融、凝血和对血管的夹闭止血作用。</w:t>
            </w:r>
          </w:p>
          <w:p w14:paraId="20D7667B">
            <w:pPr>
              <w:keepNext w:val="0"/>
              <w:keepLines w:val="0"/>
              <w:widowControl/>
              <w:numPr>
                <w:ilvl w:val="0"/>
                <w:numId w:val="2"/>
              </w:numPr>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适用于：等离子体多功能手术系统（注册证名称：等离子手术设备）（品牌：高通、型号  SM-D360C）</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5056E3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SM-SPJ-J15A</w:t>
            </w:r>
          </w:p>
          <w:p w14:paraId="120230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SM-SPJ-J21A</w:t>
            </w:r>
          </w:p>
          <w:p w14:paraId="03FEEE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SM-SPJ-G10B</w:t>
            </w:r>
          </w:p>
          <w:p w14:paraId="5B3826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SM-SPJ-G09B</w:t>
            </w:r>
          </w:p>
          <w:p w14:paraId="2B3A0A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SM-SPJ-J05A</w:t>
            </w:r>
          </w:p>
          <w:p w14:paraId="7A0BEE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SM-SPJ-J01A</w:t>
            </w:r>
          </w:p>
          <w:p w14:paraId="78ED10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SM-SPJ-G13B</w:t>
            </w:r>
          </w:p>
          <w:p w14:paraId="721D26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SM-SPJ-E24D</w:t>
            </w:r>
          </w:p>
          <w:p w14:paraId="6417B1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SM-SPJ-E07A</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505E88EF">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9400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20BBB4F5">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35B8518F">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25</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41B15B2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235000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6A5DB63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CCCE3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14:paraId="2CCCC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2AEF5C7F">
            <w:pPr>
              <w:jc w:val="center"/>
              <w:rPr>
                <w:rFonts w:hint="default" w:ascii="宋体" w:hAnsi="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11包</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1E3818E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34FCE85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冲洗引流管</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2334025B">
            <w:pPr>
              <w:keepNext w:val="0"/>
              <w:keepLines w:val="0"/>
              <w:widowControl/>
              <w:numPr>
                <w:ilvl w:val="0"/>
                <w:numId w:val="3"/>
              </w:numPr>
              <w:suppressLineNumbers w:val="0"/>
              <w:jc w:val="both"/>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 xml:space="preserve">适用于超声雾化熏洗仪；医品 YP-WH-1410 </w:t>
            </w:r>
          </w:p>
          <w:p w14:paraId="75E1C2A8">
            <w:pPr>
              <w:keepNext w:val="0"/>
              <w:keepLines w:val="0"/>
              <w:widowControl/>
              <w:numPr>
                <w:ilvl w:val="0"/>
                <w:numId w:val="0"/>
              </w:numPr>
              <w:suppressLineNumbers w:val="0"/>
              <w:jc w:val="both"/>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2、与冲洗引流装置配套进行引流、冲洗使用</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1279FC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YP-C01</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71B56179">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593031A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根</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13FEFC5A">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3000</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75B97C61">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15000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19609D70">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5A9DC438">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肛肠科</w:t>
            </w:r>
          </w:p>
        </w:tc>
      </w:tr>
      <w:tr w14:paraId="562F7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7B4C94">
            <w:pPr>
              <w:jc w:val="center"/>
              <w:rPr>
                <w:rFonts w:hint="default" w:ascii="宋体" w:hAnsi="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12包</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454CA1C2">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2B9D678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血液净化用回路</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56C955F0">
            <w:pPr>
              <w:keepNext w:val="0"/>
              <w:keepLines w:val="0"/>
              <w:widowControl/>
              <w:numPr>
                <w:ilvl w:val="0"/>
                <w:numId w:val="4"/>
              </w:numPr>
              <w:suppressLineNumbers w:val="0"/>
              <w:jc w:val="both"/>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适用于连续性血液净化设备(CRRT带DFPP治疗模式)，品牌：旭化成 型号:Plasauto∑，B类型</w:t>
            </w:r>
          </w:p>
          <w:p w14:paraId="2090A621">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适用于血浆交换疗法、白细胞吸附疗法、血细胞去除疗法中，用于对患者血浆的废弃、滤过、吸附的血液净化方式；或者用于患者血液的吸附/血细胞成分去除的血液净化方式，是与患者、血浆成分分离器、二级处理膜（血浆成分分离器、选择性血浆成分吸附器、血浆吸附器)、置换液、白细胞吸附器连接用的管路。</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40AE40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DFPP-CSGNL1</w:t>
            </w:r>
          </w:p>
          <w:p w14:paraId="550F3A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PA-CSGNL1</w:t>
            </w:r>
          </w:p>
          <w:p w14:paraId="02552E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PE-CSGNL1</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02A917F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1780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22C61465">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个</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44CD76BA">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6779061F">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8900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1E8F852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vMerge w:val="restart"/>
            <w:tcBorders>
              <w:top w:val="single" w:color="auto" w:sz="4" w:space="0"/>
              <w:left w:val="single" w:color="auto" w:sz="4" w:space="0"/>
              <w:right w:val="single" w:color="auto" w:sz="4" w:space="0"/>
            </w:tcBorders>
            <w:shd w:val="clear" w:color="auto" w:fill="auto"/>
            <w:vAlign w:val="center"/>
          </w:tcPr>
          <w:p w14:paraId="167E8EE1">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血透室</w:t>
            </w:r>
          </w:p>
        </w:tc>
      </w:tr>
      <w:tr w14:paraId="149D1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869DD7">
            <w:pPr>
              <w:jc w:val="center"/>
              <w:rPr>
                <w:rFonts w:hint="eastAsia" w:ascii="宋体" w:hAnsi="宋体" w:cs="宋体"/>
                <w:i w:val="0"/>
                <w:iCs w:val="0"/>
                <w:color w:val="000000"/>
                <w:sz w:val="18"/>
                <w:szCs w:val="18"/>
                <w:u w:val="none"/>
                <w:lang w:val="en-US" w:eastAsia="zh-CN"/>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25A4A97E">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2FBE85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膜型血浆分离器</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7EE01BD5">
            <w:pPr>
              <w:keepNext w:val="0"/>
              <w:keepLines w:val="0"/>
              <w:widowControl/>
              <w:numPr>
                <w:ilvl w:val="0"/>
                <w:numId w:val="5"/>
              </w:numPr>
              <w:suppressLineNumbers w:val="0"/>
              <w:jc w:val="both"/>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适用于连续性血液净化设备(CRRT带DFPP治疗模式)，品牌：旭化成 型号:Plasauto∑，B类型</w:t>
            </w:r>
          </w:p>
          <w:p w14:paraId="739AF75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2、在血浆交换疗法中，用于将血浆从血液中分离，一次性使用。</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78A192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OP-08W</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73A6616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 xml:space="preserve">2000.00 </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3A91EBC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个</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2DAFFB8E">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3F4473C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10000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0B3CEE0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vMerge w:val="continue"/>
            <w:tcBorders>
              <w:left w:val="single" w:color="auto" w:sz="4" w:space="0"/>
              <w:right w:val="single" w:color="auto" w:sz="4" w:space="0"/>
            </w:tcBorders>
            <w:shd w:val="clear" w:color="auto" w:fill="auto"/>
            <w:vAlign w:val="center"/>
          </w:tcPr>
          <w:p w14:paraId="11362DC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14:paraId="6C5FC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F0DFAC">
            <w:pPr>
              <w:jc w:val="center"/>
              <w:rPr>
                <w:rFonts w:hint="eastAsia" w:ascii="宋体" w:hAnsi="宋体" w:cs="宋体"/>
                <w:i w:val="0"/>
                <w:iCs w:val="0"/>
                <w:color w:val="000000"/>
                <w:sz w:val="18"/>
                <w:szCs w:val="18"/>
                <w:u w:val="none"/>
                <w:lang w:val="en-US" w:eastAsia="zh-CN"/>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164EAB0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7600924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选择性血浆成份吸附器</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54B0A613">
            <w:pPr>
              <w:keepNext w:val="0"/>
              <w:keepLines w:val="0"/>
              <w:widowControl/>
              <w:numPr>
                <w:ilvl w:val="0"/>
                <w:numId w:val="6"/>
              </w:numPr>
              <w:suppressLineNumbers w:val="0"/>
              <w:jc w:val="both"/>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适用于连续性血液净化设备(CRRT带DFPP治疗模式)，品牌：旭化成 型号:Plasauto∑，B类型</w:t>
            </w:r>
          </w:p>
          <w:p w14:paraId="4AED086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2、本品适用于治疗肝脏疾病如暴发性肝炎、术后肝功能衰竭、原发性胆汁性肝硬化以及高胆红素血症。</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58199D7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PLASORBA BR-350(L)</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32F95D1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 xml:space="preserve">7000.00 </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4AA5114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个</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5C7E7C39">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BF1C4AC">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7000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400036F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vMerge w:val="continue"/>
            <w:tcBorders>
              <w:left w:val="single" w:color="auto" w:sz="4" w:space="0"/>
              <w:right w:val="single" w:color="auto" w:sz="4" w:space="0"/>
            </w:tcBorders>
            <w:shd w:val="clear" w:color="auto" w:fill="auto"/>
            <w:vAlign w:val="center"/>
          </w:tcPr>
          <w:p w14:paraId="19B450E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14:paraId="3EEE6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3CBC55">
            <w:pPr>
              <w:jc w:val="center"/>
              <w:rPr>
                <w:rFonts w:hint="eastAsia" w:ascii="宋体" w:hAnsi="宋体" w:cs="宋体"/>
                <w:i w:val="0"/>
                <w:iCs w:val="0"/>
                <w:color w:val="000000"/>
                <w:sz w:val="18"/>
                <w:szCs w:val="18"/>
                <w:u w:val="none"/>
                <w:lang w:val="en-US" w:eastAsia="zh-CN"/>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4996D038">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1D66407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选择性血浆成份吸附器</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0F93FF66">
            <w:pPr>
              <w:keepNext w:val="0"/>
              <w:keepLines w:val="0"/>
              <w:widowControl/>
              <w:numPr>
                <w:ilvl w:val="0"/>
                <w:numId w:val="7"/>
              </w:numPr>
              <w:suppressLineNumbers w:val="0"/>
              <w:jc w:val="both"/>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适用于连续性血液净化设备(CRRT带DFPP治疗模式)，品牌：旭化成 型号:Plasauto∑，B类型</w:t>
            </w:r>
          </w:p>
          <w:p w14:paraId="73B8132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2、改善胶原病自身免疫疾病为目的，对血浆分离器分离出的血浆进行净化，去除血浆中的有害物质。</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6018B33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IMMUSORBA PH-350</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207B8CC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 xml:space="preserve">7200.00 </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59D5268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个</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7AFFB11E">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72171253">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7200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0E0C27B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vMerge w:val="continue"/>
            <w:tcBorders>
              <w:left w:val="single" w:color="auto" w:sz="4" w:space="0"/>
              <w:right w:val="single" w:color="auto" w:sz="4" w:space="0"/>
            </w:tcBorders>
            <w:shd w:val="clear" w:color="auto" w:fill="auto"/>
            <w:vAlign w:val="center"/>
          </w:tcPr>
          <w:p w14:paraId="0226038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14:paraId="68A0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275E2F">
            <w:pPr>
              <w:jc w:val="center"/>
              <w:rPr>
                <w:rFonts w:hint="eastAsia" w:ascii="宋体" w:hAnsi="宋体" w:cs="宋体"/>
                <w:i w:val="0"/>
                <w:iCs w:val="0"/>
                <w:color w:val="000000"/>
                <w:sz w:val="18"/>
                <w:szCs w:val="18"/>
                <w:u w:val="none"/>
                <w:lang w:val="en-US" w:eastAsia="zh-CN"/>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7BB08217">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2DBEBCE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选择性血浆成份吸附器</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11107385">
            <w:pPr>
              <w:keepNext w:val="0"/>
              <w:keepLines w:val="0"/>
              <w:widowControl/>
              <w:numPr>
                <w:ilvl w:val="0"/>
                <w:numId w:val="8"/>
              </w:numPr>
              <w:suppressLineNumbers w:val="0"/>
              <w:jc w:val="both"/>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适用于连续性血液净化设备(CRRT带DFPP治疗模式)，品牌：旭化成 型号:Plasauto∑，B类型</w:t>
            </w:r>
          </w:p>
          <w:p w14:paraId="5830489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2、用于吸附血浆中的有害物质，从而达到改善免疫性神经疾病病情的目的。</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24BA807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IMMUSORBA TR-350</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72E94F7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 xml:space="preserve">7000.00 </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5761E64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个</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19427B36">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7D4DF549">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7000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2A2E0A1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vMerge w:val="continue"/>
            <w:tcBorders>
              <w:left w:val="single" w:color="auto" w:sz="4" w:space="0"/>
              <w:right w:val="single" w:color="auto" w:sz="4" w:space="0"/>
            </w:tcBorders>
            <w:shd w:val="clear" w:color="auto" w:fill="auto"/>
            <w:vAlign w:val="center"/>
          </w:tcPr>
          <w:p w14:paraId="6FB9E7A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14:paraId="7DB0C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55BCA1">
            <w:pPr>
              <w:jc w:val="center"/>
              <w:rPr>
                <w:rFonts w:hint="eastAsia" w:ascii="宋体" w:hAnsi="宋体" w:cs="宋体"/>
                <w:i w:val="0"/>
                <w:iCs w:val="0"/>
                <w:color w:val="000000"/>
                <w:sz w:val="18"/>
                <w:szCs w:val="18"/>
                <w:u w:val="none"/>
                <w:lang w:val="en-US" w:eastAsia="zh-CN"/>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2A9401A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63AA56B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血液滤过体外循环血路</w:t>
            </w:r>
          </w:p>
        </w:tc>
        <w:tc>
          <w:tcPr>
            <w:tcW w:w="4040" w:type="dxa"/>
            <w:tcBorders>
              <w:top w:val="single" w:color="auto" w:sz="4" w:space="0"/>
              <w:left w:val="single" w:color="auto" w:sz="4" w:space="0"/>
              <w:bottom w:val="single" w:color="auto" w:sz="4" w:space="0"/>
              <w:right w:val="single" w:color="auto" w:sz="4" w:space="0"/>
            </w:tcBorders>
            <w:shd w:val="clear" w:color="auto" w:fill="auto"/>
            <w:vAlign w:val="center"/>
          </w:tcPr>
          <w:p w14:paraId="4B1CAC21">
            <w:pPr>
              <w:keepNext w:val="0"/>
              <w:keepLines w:val="0"/>
              <w:widowControl/>
              <w:numPr>
                <w:ilvl w:val="0"/>
                <w:numId w:val="9"/>
              </w:numPr>
              <w:suppressLineNumbers w:val="0"/>
              <w:jc w:val="both"/>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适用于连续性血液净化设备(CRRT带DFPP治疗模式)，品牌：旭化成 型号:Plasauto∑，B类型</w:t>
            </w:r>
          </w:p>
          <w:p w14:paraId="7895ADB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用于以往的短时间透析疗法(4-6小时)很难治愈的多脏器功能衰竭，如重症合并症、心衰或浮肿等循环系统衰竭的肾脏疾病，其目的是进行体液调整和净化减轻患者负担，是连接持续徐缓式血液滤过器和人体、置换液的管路。</w:t>
            </w:r>
          </w:p>
        </w:tc>
        <w:tc>
          <w:tcPr>
            <w:tcW w:w="2500" w:type="dxa"/>
            <w:tcBorders>
              <w:top w:val="single" w:color="auto" w:sz="4" w:space="0"/>
              <w:left w:val="single" w:color="auto" w:sz="4" w:space="0"/>
              <w:bottom w:val="single" w:color="auto" w:sz="4" w:space="0"/>
              <w:right w:val="single" w:color="auto" w:sz="4" w:space="0"/>
            </w:tcBorders>
            <w:shd w:val="clear" w:color="auto" w:fill="auto"/>
            <w:vAlign w:val="center"/>
          </w:tcPr>
          <w:p w14:paraId="09FB8A3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CRRT-CSGNL1</w:t>
            </w:r>
          </w:p>
        </w:tc>
        <w:tc>
          <w:tcPr>
            <w:tcW w:w="1086" w:type="dxa"/>
            <w:tcBorders>
              <w:top w:val="single" w:color="auto" w:sz="4" w:space="0"/>
              <w:left w:val="single" w:color="auto" w:sz="4" w:space="0"/>
              <w:bottom w:val="single" w:color="auto" w:sz="4" w:space="0"/>
              <w:right w:val="single" w:color="auto" w:sz="4" w:space="0"/>
            </w:tcBorders>
            <w:shd w:val="clear" w:color="auto" w:fill="auto"/>
            <w:vAlign w:val="center"/>
          </w:tcPr>
          <w:p w14:paraId="71EC5E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 xml:space="preserve">1762.00 </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547C5E3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个</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14:paraId="7AD68D4C">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250C6A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8810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center"/>
          </w:tcPr>
          <w:p w14:paraId="64003F3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10" w:type="dxa"/>
            <w:vMerge w:val="continue"/>
            <w:tcBorders>
              <w:left w:val="single" w:color="auto" w:sz="4" w:space="0"/>
              <w:bottom w:val="single" w:color="auto" w:sz="4" w:space="0"/>
              <w:right w:val="single" w:color="auto" w:sz="4" w:space="0"/>
            </w:tcBorders>
            <w:shd w:val="clear" w:color="auto" w:fill="auto"/>
            <w:vAlign w:val="center"/>
          </w:tcPr>
          <w:p w14:paraId="6890CE2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bl>
    <w:p w14:paraId="7C7B1443">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35393625"/>
      <w:bookmarkStart w:id="12" w:name="_Toc28359084"/>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917"/>
      <w:bookmarkStart w:id="17" w:name="_Toc196292833"/>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918"/>
      <w:bookmarkStart w:id="21" w:name="_Toc196292972"/>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3568"/>
      <w:bookmarkStart w:id="25" w:name="_Toc196292973"/>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74"/>
      <w:bookmarkStart w:id="30" w:name="_Toc196293569"/>
      <w:bookmarkStart w:id="31" w:name="_Toc196292836"/>
      <w:bookmarkStart w:id="32" w:name="_Toc196292920"/>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10"/>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10"/>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10"/>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11"/>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11"/>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11"/>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12"/>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12"/>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9F2BB0-7695-496A-82E4-2DA288820D76}"/>
  </w:font>
  <w:font w:name="Courier New">
    <w:panose1 w:val="02070309020205020404"/>
    <w:charset w:val="01"/>
    <w:family w:val="modern"/>
    <w:pitch w:val="default"/>
    <w:sig w:usb0="E0002EFF" w:usb1="C0007843" w:usb2="00000009" w:usb3="00000000" w:csb0="400001FF" w:csb1="FFFF0000"/>
    <w:embedRegular r:id="rId2" w:fontKey="{781867C2-D366-4ADB-8894-AF138E3E409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952F31F-D2C4-4963-92AE-519AA8E42C81}"/>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D4FFA03D-D848-4FFE-80CA-2736D05FA81C}"/>
  </w:font>
  <w:font w:name="仿宋">
    <w:panose1 w:val="02010609060101010101"/>
    <w:charset w:val="86"/>
    <w:family w:val="modern"/>
    <w:pitch w:val="default"/>
    <w:sig w:usb0="800002BF" w:usb1="38CF7CFA" w:usb2="00000016" w:usb3="00000000" w:csb0="00040001" w:csb1="00000000"/>
    <w:embedRegular r:id="rId5" w:fontKey="{D939E091-8FFD-48F4-89C0-C9C87AD7D327}"/>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618E8E1B-AFD1-4323-8C38-5D9BAF7A2B66}"/>
  </w:font>
  <w:font w:name="___WRD_EMBED_SUB_53">
    <w:altName w:val="宋体"/>
    <w:panose1 w:val="02010600030101010101"/>
    <w:charset w:val="86"/>
    <w:family w:val="auto"/>
    <w:pitch w:val="default"/>
    <w:sig w:usb0="00000000" w:usb1="00000000" w:usb2="00000000" w:usb3="00000000" w:csb0="00040000" w:csb1="00000000"/>
    <w:embedRegular r:id="rId7" w:fontKey="{3028C130-F66F-4091-837E-77150B1571C2}"/>
  </w:font>
  <w:font w:name="楷体">
    <w:panose1 w:val="02010609060101010101"/>
    <w:charset w:val="86"/>
    <w:family w:val="modern"/>
    <w:pitch w:val="default"/>
    <w:sig w:usb0="800002BF" w:usb1="38CF7CFA" w:usb2="00000016" w:usb3="00000000" w:csb0="00040001" w:csb1="00000000"/>
    <w:embedRegular r:id="rId8" w:fontKey="{A7AB239C-A771-4577-B9C0-10F786647F54}"/>
  </w:font>
  <w:font w:name="方正小标宋简体">
    <w:altName w:val="黑体"/>
    <w:panose1 w:val="00000000000000000000"/>
    <w:charset w:val="86"/>
    <w:family w:val="script"/>
    <w:pitch w:val="default"/>
    <w:sig w:usb0="00000000" w:usb1="00000000" w:usb2="00000000" w:usb3="00000000" w:csb0="00040000" w:csb1="00000000"/>
    <w:embedRegular r:id="rId9" w:fontKey="{0534EC78-8104-4ABE-AC12-1357679449B6}"/>
  </w:font>
  <w:font w:name="新宋体">
    <w:panose1 w:val="02010609030101010101"/>
    <w:charset w:val="86"/>
    <w:family w:val="modern"/>
    <w:pitch w:val="default"/>
    <w:sig w:usb0="00000203" w:usb1="288F0000" w:usb2="00000006" w:usb3="00000000" w:csb0="00040001" w:csb1="00000000"/>
    <w:embedRegular r:id="rId10" w:fontKey="{ADB4B6DA-373B-47C0-B79C-B85C4958EEDF}"/>
  </w:font>
  <w:font w:name="___WRD_EMBED_SUB_38">
    <w:panose1 w:val="02010600030101010101"/>
    <w:charset w:val="86"/>
    <w:family w:val="auto"/>
    <w:pitch w:val="default"/>
    <w:sig w:usb0="00000203" w:usb1="288F0000" w:usb2="00000006" w:usb3="00000000" w:csb0="00040001" w:csb1="00000000"/>
    <w:embedRegular r:id="rId11" w:fontKey="{E4D95B40-EED9-4960-9864-233C5906CC19}"/>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D69D87"/>
    <w:multiLevelType w:val="singleLevel"/>
    <w:tmpl w:val="A8D69D87"/>
    <w:lvl w:ilvl="0" w:tentative="0">
      <w:start w:val="1"/>
      <w:numFmt w:val="decimal"/>
      <w:suff w:val="nothing"/>
      <w:lvlText w:val="%1、"/>
      <w:lvlJc w:val="left"/>
    </w:lvl>
  </w:abstractNum>
  <w:abstractNum w:abstractNumId="1">
    <w:nsid w:val="BA9B5B2E"/>
    <w:multiLevelType w:val="singleLevel"/>
    <w:tmpl w:val="BA9B5B2E"/>
    <w:lvl w:ilvl="0" w:tentative="0">
      <w:start w:val="1"/>
      <w:numFmt w:val="decimal"/>
      <w:suff w:val="nothing"/>
      <w:lvlText w:val="%1、"/>
      <w:lvlJc w:val="left"/>
    </w:lvl>
  </w:abstractNum>
  <w:abstractNum w:abstractNumId="2">
    <w:nsid w:val="C09AA5E6"/>
    <w:multiLevelType w:val="singleLevel"/>
    <w:tmpl w:val="C09AA5E6"/>
    <w:lvl w:ilvl="0" w:tentative="0">
      <w:start w:val="1"/>
      <w:numFmt w:val="decimal"/>
      <w:suff w:val="nothing"/>
      <w:lvlText w:val="%1、"/>
      <w:lvlJc w:val="left"/>
    </w:lvl>
  </w:abstractNum>
  <w:abstractNum w:abstractNumId="3">
    <w:nsid w:val="C1FEA9CE"/>
    <w:multiLevelType w:val="singleLevel"/>
    <w:tmpl w:val="C1FEA9CE"/>
    <w:lvl w:ilvl="0" w:tentative="0">
      <w:start w:val="1"/>
      <w:numFmt w:val="decimal"/>
      <w:suff w:val="nothing"/>
      <w:lvlText w:val="%1、"/>
      <w:lvlJc w:val="left"/>
    </w:lvl>
  </w:abstractNum>
  <w:abstractNum w:abstractNumId="4">
    <w:nsid w:val="FB40126C"/>
    <w:multiLevelType w:val="singleLevel"/>
    <w:tmpl w:val="FB40126C"/>
    <w:lvl w:ilvl="0" w:tentative="0">
      <w:start w:val="1"/>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18F156ED"/>
    <w:multiLevelType w:val="singleLevel"/>
    <w:tmpl w:val="18F156ED"/>
    <w:lvl w:ilvl="0" w:tentative="0">
      <w:start w:val="1"/>
      <w:numFmt w:val="decimal"/>
      <w:suff w:val="nothing"/>
      <w:lvlText w:val="%1、"/>
      <w:lvlJc w:val="left"/>
    </w:lvl>
  </w:abstractNum>
  <w:abstractNum w:abstractNumId="7">
    <w:nsid w:val="32CE34AC"/>
    <w:multiLevelType w:val="singleLevel"/>
    <w:tmpl w:val="32CE34AC"/>
    <w:lvl w:ilvl="0" w:tentative="0">
      <w:start w:val="1"/>
      <w:numFmt w:val="decimal"/>
      <w:suff w:val="nothing"/>
      <w:lvlText w:val="%1、"/>
      <w:lvlJc w:val="left"/>
    </w:lvl>
  </w:abstractNum>
  <w:abstractNum w:abstractNumId="8">
    <w:nsid w:val="5C3716E2"/>
    <w:multiLevelType w:val="singleLevel"/>
    <w:tmpl w:val="5C3716E2"/>
    <w:lvl w:ilvl="0" w:tentative="0">
      <w:start w:val="1"/>
      <w:numFmt w:val="chineseCounting"/>
      <w:suff w:val="nothing"/>
      <w:lvlText w:val="（%1）"/>
      <w:lvlJc w:val="left"/>
      <w:rPr>
        <w:rFonts w:hint="eastAsia"/>
      </w:rPr>
    </w:lvl>
  </w:abstractNum>
  <w:abstractNum w:abstractNumId="9">
    <w:nsid w:val="64024E0B"/>
    <w:multiLevelType w:val="singleLevel"/>
    <w:tmpl w:val="64024E0B"/>
    <w:lvl w:ilvl="0" w:tentative="0">
      <w:start w:val="1"/>
      <w:numFmt w:val="decimal"/>
      <w:suff w:val="nothing"/>
      <w:lvlText w:val="%1、"/>
      <w:lvlJc w:val="left"/>
      <w:pPr>
        <w:ind w:left="480" w:firstLine="0"/>
      </w:pPr>
    </w:lvl>
  </w:abstractNum>
  <w:abstractNum w:abstractNumId="10">
    <w:nsid w:val="6B8994EC"/>
    <w:multiLevelType w:val="singleLevel"/>
    <w:tmpl w:val="6B8994EC"/>
    <w:lvl w:ilvl="0" w:tentative="0">
      <w:start w:val="1"/>
      <w:numFmt w:val="decimal"/>
      <w:suff w:val="nothing"/>
      <w:lvlText w:val="%1、"/>
      <w:lvlJc w:val="left"/>
    </w:lvl>
  </w:abstractNum>
  <w:abstractNum w:abstractNumId="11">
    <w:nsid w:val="742514DE"/>
    <w:multiLevelType w:val="singleLevel"/>
    <w:tmpl w:val="742514DE"/>
    <w:lvl w:ilvl="0" w:tentative="0">
      <w:start w:val="1"/>
      <w:numFmt w:val="decimal"/>
      <w:suff w:val="nothing"/>
      <w:lvlText w:val="%1、"/>
      <w:lvlJc w:val="left"/>
    </w:lvl>
  </w:abstractNum>
  <w:num w:numId="1">
    <w:abstractNumId w:val="8"/>
  </w:num>
  <w:num w:numId="2">
    <w:abstractNumId w:val="11"/>
  </w:num>
  <w:num w:numId="3">
    <w:abstractNumId w:val="6"/>
  </w:num>
  <w:num w:numId="4">
    <w:abstractNumId w:val="7"/>
  </w:num>
  <w:num w:numId="5">
    <w:abstractNumId w:val="3"/>
  </w:num>
  <w:num w:numId="6">
    <w:abstractNumId w:val="0"/>
  </w:num>
  <w:num w:numId="7">
    <w:abstractNumId w:val="2"/>
  </w:num>
  <w:num w:numId="8">
    <w:abstractNumId w:val="10"/>
  </w:num>
  <w:num w:numId="9">
    <w:abstractNumId w:val="1"/>
  </w:num>
  <w:num w:numId="10">
    <w:abstractNumId w:val="9"/>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C84BA2"/>
    <w:rsid w:val="1D435D55"/>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0657D00"/>
    <w:rsid w:val="408B56CD"/>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C0A4C58"/>
    <w:rsid w:val="4C1A34C1"/>
    <w:rsid w:val="4C48041C"/>
    <w:rsid w:val="4C9D1798"/>
    <w:rsid w:val="4CD2031C"/>
    <w:rsid w:val="4D2114D2"/>
    <w:rsid w:val="4DE802FF"/>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D112F"/>
    <w:rsid w:val="6C83741A"/>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0C53C1"/>
    <w:rsid w:val="7646386E"/>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165</Words>
  <Characters>177</Characters>
  <Lines>441</Lines>
  <Paragraphs>124</Paragraphs>
  <TotalTime>321</TotalTime>
  <ScaleCrop>false</ScaleCrop>
  <LinksUpToDate>false</LinksUpToDate>
  <CharactersWithSpaces>216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2026-03-06T07:22:33Z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