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33C7">
      <w:pPr>
        <w:rPr>
          <w:rFonts w:hint="eastAsia" w:ascii="仿宋_GB2312" w:hAnsi="Times New Roman" w:eastAsia="仿宋_GB2312" w:cs="Times New Roman"/>
          <w:b/>
          <w:bCs/>
          <w:color w:val="auto"/>
          <w:sz w:val="30"/>
          <w:szCs w:val="30"/>
          <w:highlight w:val="none"/>
          <w:lang w:val="en-US" w:eastAsia="zh-CN"/>
        </w:rPr>
      </w:pPr>
      <w:bookmarkStart w:id="0" w:name="_GoBack"/>
      <w:r>
        <w:rPr>
          <w:rFonts w:hint="eastAsia" w:ascii="国标黑体" w:hAnsi="国标黑体" w:eastAsia="国标黑体" w:cs="国标黑体"/>
          <w:b w:val="0"/>
          <w:bCs w:val="0"/>
          <w:color w:val="auto"/>
          <w:sz w:val="30"/>
          <w:szCs w:val="30"/>
          <w:highlight w:val="none"/>
          <w:lang w:val="en-US" w:eastAsia="zh-CN"/>
        </w:rPr>
        <w:t>附件四、项目需求书</w:t>
      </w:r>
    </w:p>
    <w:bookmarkEnd w:id="0"/>
    <w:p w14:paraId="218FA1C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left"/>
        <w:textAlignment w:val="auto"/>
        <w:outlineLvl w:val="1"/>
        <w:rPr>
          <w:rFonts w:hint="eastAsia" w:ascii="国标黑体" w:hAnsi="国标黑体" w:eastAsia="国标黑体" w:cs="国标黑体"/>
          <w:b w:val="0"/>
          <w:bCs w:val="0"/>
          <w:kern w:val="2"/>
          <w:sz w:val="32"/>
          <w:szCs w:val="32"/>
          <w:highlight w:val="none"/>
          <w:lang w:val="en-US" w:eastAsia="zh-CN" w:bidi="ar-SA"/>
        </w:rPr>
      </w:pPr>
      <w:r>
        <w:rPr>
          <w:rFonts w:hint="eastAsia" w:ascii="国标黑体" w:hAnsi="国标黑体" w:eastAsia="国标黑体" w:cs="国标黑体"/>
          <w:b w:val="0"/>
          <w:bCs w:val="0"/>
          <w:kern w:val="2"/>
          <w:sz w:val="32"/>
          <w:szCs w:val="32"/>
          <w:highlight w:val="none"/>
          <w:lang w:val="en-US" w:eastAsia="zh-CN" w:bidi="ar-SA"/>
        </w:rPr>
        <w:t>一、项目背景</w:t>
      </w:r>
    </w:p>
    <w:p w14:paraId="429A24FA">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前，全球人工智能竞争已进入以超大规模算力为基石的“基础设施军备竞赛”新阶段。我国在超大规模集群的工程化部署能力、特别是与之匹配的高密度电力供应体系方面仍存在明显短板。算力“卡脖子”不仅体现于高端芯片获取受限，更深层制约来自能源基础设施的支撑能力不足——传统电网难以满足百兆瓦级以上算力中心对供电稳定性、成本可控性与绿色低碳的复合要求。在此背景下，加快构建自主可控、能源友好的超大规模算力体系，已不仅是技术升级问题，更是关乎国家AI产业安全与科技主权的战略命题。</w:t>
      </w:r>
    </w:p>
    <w:p w14:paraId="6A802368">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此背景下，我国在能源—算力协同发展方面具备独特的制度与产业优势。依托全球领先的核电技术研发与装备制造能力，以及电力系统统一规划、集中调度的体制优势，能够前瞻性布局“核电直供”等创新供能模式，实现能源基础设施与超大规模算力集群的高效协同。项目将积极探索一条具有自主特色的算力发展新范式，为人工智能长远发展筑牢能源根基，塑造面向未来的国家竞争新优势。</w:t>
      </w:r>
    </w:p>
    <w:p w14:paraId="310D546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left"/>
        <w:textAlignment w:val="auto"/>
        <w:outlineLvl w:val="1"/>
        <w:rPr>
          <w:rFonts w:hint="eastAsia" w:ascii="国标黑体" w:hAnsi="国标黑体" w:eastAsia="国标黑体" w:cs="国标黑体"/>
          <w:b w:val="0"/>
          <w:bCs w:val="0"/>
          <w:kern w:val="2"/>
          <w:sz w:val="32"/>
          <w:szCs w:val="32"/>
          <w:highlight w:val="none"/>
          <w:lang w:val="en-US" w:eastAsia="zh-CN" w:bidi="ar-SA"/>
        </w:rPr>
      </w:pPr>
      <w:r>
        <w:rPr>
          <w:rFonts w:hint="eastAsia" w:ascii="国标黑体" w:hAnsi="国标黑体" w:eastAsia="国标黑体" w:cs="国标黑体"/>
          <w:b w:val="0"/>
          <w:bCs w:val="0"/>
          <w:kern w:val="2"/>
          <w:sz w:val="32"/>
          <w:szCs w:val="32"/>
          <w:highlight w:val="none"/>
          <w:lang w:val="en-US" w:eastAsia="zh-CN" w:bidi="ar-SA"/>
        </w:rPr>
        <w:t>二、项目服务内容</w:t>
      </w:r>
    </w:p>
    <w:p w14:paraId="631DF4E1">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为深入贯彻落实《中共中央关于制定国民经济和社会发展第十五个五年规划的建议》关于“加快人工智能等数智技术创新，强化算力、算法、数据等高效供给”的战略部署，本项目立足国家算力基础设施自主可控与绿色低碳转型双重目标，拟开展“核电直供的智算中心建设规划研究”专项咨询。课题将聚焦能源—算力深度融合的前沿命题，系统论证以核电直供模式支撑超大规模智算中心建设的技术可行性、经济合理性与战略必要性，为我国构建具有全球竞争力的新一代绿色算力基础设施提供科学决策支撑。为了论证项目的必要性与可行性，现拟开展“核电直供的智算中心建设规划研究课题”咨询服务采购工作。</w:t>
      </w:r>
    </w:p>
    <w:p w14:paraId="79DEF33A">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（一）</w:t>
      </w:r>
      <w:r>
        <w:rPr>
          <w:rFonts w:hint="eastAsia" w:ascii="楷体_GB2312" w:hAnsi="楷体_GB2312" w:eastAsia="楷体_GB2312" w:cs="楷体_GB2312"/>
          <w:b w:val="0"/>
          <w:bCs w:val="0"/>
          <w:sz w:val="32"/>
          <w:szCs w:val="32"/>
          <w:highlight w:val="none"/>
        </w:rPr>
        <w:t>服务目标</w:t>
      </w:r>
    </w:p>
    <w:p w14:paraId="472B689E">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通过聘请具备能源、算力复合背景的高水平第三方咨询单位</w:t>
      </w:r>
      <w:r>
        <w:rPr>
          <w:rFonts w:hint="eastAsia" w:ascii="仿宋_GB2312" w:hAnsi="仿宋_GB2312" w:eastAsia="仿宋_GB2312" w:cs="仿宋_GB2312"/>
          <w:sz w:val="32"/>
          <w:szCs w:val="32"/>
          <w:highlight w:val="none"/>
          <w:lang w:val="en-US" w:eastAsia="zh-CN"/>
        </w:rPr>
        <w:t>开展深度研究，</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咨询</w:t>
      </w:r>
      <w:r>
        <w:rPr>
          <w:rFonts w:hint="eastAsia" w:ascii="仿宋_GB2312" w:hAnsi="仿宋_GB2312" w:eastAsia="仿宋_GB2312" w:cs="仿宋_GB2312"/>
          <w:sz w:val="32"/>
          <w:szCs w:val="32"/>
          <w:highlight w:val="none"/>
        </w:rPr>
        <w:t>服务期从咨询服务合同签订后开始，直至项目</w:t>
      </w:r>
      <w:r>
        <w:rPr>
          <w:rFonts w:hint="eastAsia" w:ascii="仿宋_GB2312" w:hAnsi="仿宋_GB2312" w:eastAsia="仿宋_GB2312" w:cs="仿宋_GB2312"/>
          <w:sz w:val="32"/>
          <w:szCs w:val="32"/>
          <w:highlight w:val="none"/>
          <w:lang w:val="en-US" w:eastAsia="zh-CN"/>
        </w:rPr>
        <w:t>成果通过专家评审</w:t>
      </w:r>
      <w:r>
        <w:rPr>
          <w:rFonts w:hint="eastAsia" w:ascii="仿宋_GB2312" w:hAnsi="仿宋_GB2312" w:eastAsia="仿宋_GB2312" w:cs="仿宋_GB2312"/>
          <w:sz w:val="32"/>
          <w:szCs w:val="32"/>
          <w:highlight w:val="none"/>
        </w:rPr>
        <w:t>为止。</w:t>
      </w:r>
    </w:p>
    <w:p w14:paraId="26A80201">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（二）总体服务内容</w:t>
      </w:r>
    </w:p>
    <w:p w14:paraId="3484D66C">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咨询服务内容主要包括</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前期调研与现状分析、需求分析与目标定位、总体</w:t>
      </w:r>
      <w:r>
        <w:rPr>
          <w:rFonts w:hint="eastAsia" w:ascii="仿宋_GB2312" w:hAnsi="仿宋_GB2312" w:eastAsia="仿宋_GB2312" w:cs="仿宋_GB2312"/>
          <w:sz w:val="32"/>
          <w:szCs w:val="32"/>
          <w:highlight w:val="none"/>
          <w:lang w:val="en-US" w:eastAsia="zh-CN"/>
        </w:rPr>
        <w:t>建设思路和关键技术路线比选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投资分析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重难点分析</w:t>
      </w:r>
      <w:r>
        <w:rPr>
          <w:rFonts w:hint="eastAsia" w:ascii="仿宋_GB2312" w:hAnsi="仿宋_GB2312" w:eastAsia="仿宋_GB2312" w:cs="仿宋_GB2312"/>
          <w:sz w:val="32"/>
          <w:szCs w:val="32"/>
          <w:highlight w:val="none"/>
          <w:lang w:eastAsia="zh-CN"/>
        </w:rPr>
        <w:t>成果编制与评审支撑等。咨询单位需组建专业团队，按照招标人要求系统开展各项工作，形成完整的服务成果，并配合招标人完成成果评审、修改完善等后续工作，</w:t>
      </w:r>
      <w:r>
        <w:rPr>
          <w:rFonts w:hint="eastAsia" w:ascii="仿宋_GB2312" w:hAnsi="仿宋_GB2312" w:eastAsia="仿宋_GB2312" w:cs="仿宋_GB2312"/>
          <w:sz w:val="32"/>
          <w:szCs w:val="32"/>
          <w:highlight w:val="none"/>
          <w:lang w:val="en-US" w:eastAsia="zh-CN"/>
        </w:rPr>
        <w:t>具体如下：</w:t>
      </w:r>
    </w:p>
    <w:p w14:paraId="6796145A">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政策与趋势研究</w:t>
      </w:r>
    </w:p>
    <w:p w14:paraId="1B53FED4">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梳理国家“双碳”战略、新型电力系统建设、算力基础设施布局等政策导向。</w:t>
      </w:r>
    </w:p>
    <w:p w14:paraId="7AA9B380">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需求分析与规模测算</w:t>
      </w:r>
    </w:p>
    <w:p w14:paraId="502C70B2">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基于AI大模型训练、科学计算、城市治理等典型场景，测算百兆瓦级智算中心的算力需求、电力负荷峰值特性，确定集群规模与能源配置基准。</w:t>
      </w:r>
    </w:p>
    <w:p w14:paraId="24F93655">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根据项目总体建设内容对项目投资估摸和后续的运营成本进行初步匡算。</w:t>
      </w:r>
    </w:p>
    <w:p w14:paraId="409EF6D6">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核电直供</w:t>
      </w:r>
      <w:r>
        <w:rPr>
          <w:rFonts w:hint="eastAsia" w:ascii="仿宋_GB2312" w:hAnsi="仿宋_GB2312" w:eastAsia="仿宋_GB2312" w:cs="仿宋_GB2312"/>
          <w:sz w:val="32"/>
          <w:szCs w:val="32"/>
          <w:highlight w:val="none"/>
          <w:lang w:val="en-US" w:eastAsia="zh-CN"/>
        </w:rPr>
        <w:t>解决方案思路及</w:t>
      </w:r>
      <w:r>
        <w:rPr>
          <w:rFonts w:hint="eastAsia" w:ascii="仿宋_GB2312" w:hAnsi="仿宋_GB2312" w:eastAsia="仿宋_GB2312" w:cs="仿宋_GB2312"/>
          <w:sz w:val="32"/>
          <w:szCs w:val="32"/>
          <w:highlight w:val="none"/>
          <w:lang w:eastAsia="zh-CN"/>
        </w:rPr>
        <w:t>技术</w:t>
      </w:r>
      <w:r>
        <w:rPr>
          <w:rFonts w:hint="eastAsia" w:ascii="仿宋_GB2312" w:hAnsi="仿宋_GB2312" w:eastAsia="仿宋_GB2312" w:cs="仿宋_GB2312"/>
          <w:sz w:val="32"/>
          <w:szCs w:val="32"/>
          <w:highlight w:val="none"/>
          <w:lang w:val="en-US" w:eastAsia="zh-CN"/>
        </w:rPr>
        <w:t>路线</w:t>
      </w:r>
    </w:p>
    <w:p w14:paraId="776FC4F0">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研究核电站出线电压等级、输配电架构、负荷调节能力与智算中心用电特性的匹配性；提出“专线直供+储能缓冲+智能调度”三位一体的供能系统架构；开展电磁兼容、网络安全、核安全隔离等专项风险评估。</w:t>
      </w:r>
    </w:p>
    <w:p w14:paraId="6B73EE05">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绿色低碳与经济性分析</w:t>
      </w:r>
    </w:p>
    <w:p w14:paraId="365A6A66">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测算核电直供模式下的碳排放强度、PUE/WUE指标；对比传统电网购电、风光储一体化等方案的全生命周期成本；设计绿电交易、碳资产开发等增值路径。</w:t>
      </w:r>
    </w:p>
    <w:p w14:paraId="660B83BC">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建设与运营</w:t>
      </w:r>
      <w:r>
        <w:rPr>
          <w:rFonts w:hint="eastAsia" w:ascii="仿宋_GB2312" w:hAnsi="仿宋_GB2312" w:eastAsia="仿宋_GB2312" w:cs="仿宋_GB2312"/>
          <w:sz w:val="32"/>
          <w:szCs w:val="32"/>
          <w:highlight w:val="none"/>
          <w:lang w:val="en-US" w:eastAsia="zh-CN"/>
        </w:rPr>
        <w:t>思路</w:t>
      </w:r>
    </w:p>
    <w:p w14:paraId="123F3B32">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编制选址建议、工程分期</w:t>
      </w:r>
      <w:r>
        <w:rPr>
          <w:rFonts w:hint="eastAsia" w:ascii="仿宋_GB2312" w:hAnsi="仿宋_GB2312" w:eastAsia="仿宋_GB2312" w:cs="仿宋_GB2312"/>
          <w:sz w:val="32"/>
          <w:szCs w:val="32"/>
          <w:highlight w:val="none"/>
          <w:lang w:val="en-US" w:eastAsia="zh-CN"/>
        </w:rPr>
        <w:t>建议</w:t>
      </w:r>
      <w:r>
        <w:rPr>
          <w:rFonts w:hint="eastAsia" w:ascii="仿宋_GB2312" w:hAnsi="仿宋_GB2312" w:eastAsia="仿宋_GB2312" w:cs="仿宋_GB2312"/>
          <w:sz w:val="32"/>
          <w:szCs w:val="32"/>
          <w:highlight w:val="none"/>
          <w:lang w:eastAsia="zh-CN"/>
        </w:rPr>
        <w:t>、设备选型</w:t>
      </w:r>
      <w:r>
        <w:rPr>
          <w:rFonts w:hint="eastAsia" w:ascii="仿宋_GB2312" w:hAnsi="仿宋_GB2312" w:eastAsia="仿宋_GB2312" w:cs="仿宋_GB2312"/>
          <w:sz w:val="32"/>
          <w:szCs w:val="32"/>
          <w:highlight w:val="none"/>
          <w:lang w:val="en-US" w:eastAsia="zh-CN"/>
        </w:rPr>
        <w:t>思路、关键技术路线要点</w:t>
      </w:r>
      <w:r>
        <w:rPr>
          <w:rFonts w:hint="eastAsia" w:ascii="仿宋_GB2312" w:hAnsi="仿宋_GB2312" w:eastAsia="仿宋_GB2312" w:cs="仿宋_GB2312"/>
          <w:sz w:val="32"/>
          <w:szCs w:val="32"/>
          <w:highlight w:val="none"/>
          <w:lang w:eastAsia="zh-CN"/>
        </w:rPr>
        <w:t>；提出人才队伍建设与标准规范制定建议。</w:t>
      </w:r>
    </w:p>
    <w:p w14:paraId="0E1DA10A">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6.提交</w:t>
      </w:r>
      <w:r>
        <w:rPr>
          <w:rFonts w:hint="eastAsia" w:ascii="仿宋_GB2312" w:hAnsi="仿宋_GB2312" w:eastAsia="仿宋_GB2312" w:cs="仿宋_GB2312"/>
          <w:sz w:val="32"/>
          <w:szCs w:val="32"/>
          <w:highlight w:val="none"/>
          <w:lang w:eastAsia="zh-CN"/>
        </w:rPr>
        <w:t>成果</w:t>
      </w:r>
      <w:r>
        <w:rPr>
          <w:rFonts w:hint="eastAsia" w:ascii="仿宋_GB2312" w:hAnsi="仿宋_GB2312" w:eastAsia="仿宋_GB2312" w:cs="仿宋_GB2312"/>
          <w:sz w:val="32"/>
          <w:szCs w:val="32"/>
          <w:highlight w:val="none"/>
          <w:lang w:val="en-US" w:eastAsia="zh-CN"/>
        </w:rPr>
        <w:t>并验收</w:t>
      </w:r>
    </w:p>
    <w:p w14:paraId="505CAD53">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编制汇报材料，</w:t>
      </w:r>
      <w:r>
        <w:rPr>
          <w:rFonts w:hint="eastAsia" w:ascii="仿宋_GB2312" w:hAnsi="仿宋_GB2312" w:eastAsia="仿宋_GB2312" w:cs="仿宋_GB2312"/>
          <w:sz w:val="32"/>
          <w:szCs w:val="32"/>
          <w:highlight w:val="none"/>
          <w:lang w:val="en-US" w:eastAsia="zh-CN"/>
        </w:rPr>
        <w:t>向业主以及其他主要关联单位汇报，</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汇报</w:t>
      </w:r>
      <w:r>
        <w:rPr>
          <w:rFonts w:hint="eastAsia" w:ascii="仿宋_GB2312" w:hAnsi="仿宋_GB2312" w:eastAsia="仿宋_GB2312" w:cs="仿宋_GB2312"/>
          <w:sz w:val="32"/>
          <w:szCs w:val="32"/>
          <w:highlight w:val="none"/>
          <w:lang w:eastAsia="zh-CN"/>
        </w:rPr>
        <w:t>意见</w:t>
      </w:r>
      <w:r>
        <w:rPr>
          <w:rFonts w:hint="eastAsia" w:ascii="仿宋_GB2312" w:hAnsi="仿宋_GB2312" w:eastAsia="仿宋_GB2312" w:cs="仿宋_GB2312"/>
          <w:sz w:val="32"/>
          <w:szCs w:val="32"/>
          <w:highlight w:val="none"/>
          <w:lang w:val="en-US" w:eastAsia="zh-CN"/>
        </w:rPr>
        <w:t>进行课题内容</w:t>
      </w:r>
      <w:r>
        <w:rPr>
          <w:rFonts w:hint="eastAsia" w:ascii="仿宋_GB2312" w:hAnsi="仿宋_GB2312" w:eastAsia="仿宋_GB2312" w:cs="仿宋_GB2312"/>
          <w:sz w:val="32"/>
          <w:szCs w:val="32"/>
          <w:highlight w:val="none"/>
          <w:lang w:eastAsia="zh-CN"/>
        </w:rPr>
        <w:t>优化，</w:t>
      </w:r>
      <w:r>
        <w:rPr>
          <w:rFonts w:hint="eastAsia" w:ascii="仿宋_GB2312" w:hAnsi="仿宋_GB2312" w:eastAsia="仿宋_GB2312" w:cs="仿宋_GB2312"/>
          <w:sz w:val="32"/>
          <w:szCs w:val="32"/>
          <w:highlight w:val="none"/>
          <w:lang w:val="en-US" w:eastAsia="zh-CN"/>
        </w:rPr>
        <w:t>提交终稿并完成验收</w:t>
      </w:r>
      <w:r>
        <w:rPr>
          <w:rFonts w:hint="eastAsia" w:ascii="仿宋_GB2312" w:hAnsi="仿宋_GB2312" w:eastAsia="仿宋_GB2312" w:cs="仿宋_GB2312"/>
          <w:sz w:val="32"/>
          <w:szCs w:val="32"/>
          <w:highlight w:val="none"/>
          <w:lang w:eastAsia="zh-CN"/>
        </w:rPr>
        <w:t>。</w:t>
      </w:r>
    </w:p>
    <w:p w14:paraId="0C8C3685">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（三）服务成果</w:t>
      </w:r>
    </w:p>
    <w:p w14:paraId="220F2117">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项目最终交付以下成果，所有文档须符合国家相关标准规范，数据来源可追溯，核心结论须经专家质询验证：</w:t>
      </w:r>
    </w:p>
    <w:p w14:paraId="5C615C9C">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596" w:firstLineChars="200"/>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1.《核电直供智算中心建设规划研究报告》（WORD/PDF，1份）；</w:t>
      </w:r>
    </w:p>
    <w:p w14:paraId="4CC801F2">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2.项目汇报材料（PPT，1份）。</w:t>
      </w:r>
    </w:p>
    <w:p w14:paraId="1143D67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left"/>
        <w:textAlignment w:val="auto"/>
        <w:outlineLvl w:val="1"/>
        <w:rPr>
          <w:rFonts w:hint="eastAsia" w:ascii="国标黑体" w:hAnsi="国标黑体" w:eastAsia="国标黑体" w:cs="国标黑体"/>
          <w:b w:val="0"/>
          <w:bCs w:val="0"/>
          <w:sz w:val="32"/>
          <w:szCs w:val="32"/>
          <w:highlight w:val="none"/>
        </w:rPr>
      </w:pPr>
      <w:r>
        <w:rPr>
          <w:rFonts w:hint="eastAsia" w:ascii="国标黑体" w:hAnsi="国标黑体" w:eastAsia="国标黑体" w:cs="国标黑体"/>
          <w:b w:val="0"/>
          <w:bCs w:val="0"/>
          <w:sz w:val="32"/>
          <w:szCs w:val="32"/>
          <w:highlight w:val="none"/>
          <w:lang w:eastAsia="zh-CN"/>
        </w:rPr>
        <w:t>三、</w:t>
      </w:r>
      <w:r>
        <w:rPr>
          <w:rFonts w:hint="eastAsia" w:ascii="国标黑体" w:hAnsi="国标黑体" w:eastAsia="国标黑体" w:cs="国标黑体"/>
          <w:b w:val="0"/>
          <w:bCs w:val="0"/>
          <w:sz w:val="32"/>
          <w:szCs w:val="32"/>
          <w:highlight w:val="none"/>
        </w:rPr>
        <w:t>项目服务要求</w:t>
      </w:r>
    </w:p>
    <w:p w14:paraId="3F85304C">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（一）服务工作原则</w:t>
      </w:r>
    </w:p>
    <w:p w14:paraId="5F4D575B">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服务团队须遵循独立、科学、专业、公正等四个原则，运用技术功底、业务理解和规划研究等多方面的知识和经验，提供技术支持服务。</w:t>
      </w:r>
    </w:p>
    <w:p w14:paraId="75A9DB4C">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（二）服务团队及人员要求</w:t>
      </w:r>
    </w:p>
    <w:p w14:paraId="7F2E450A">
      <w:pPr>
        <w:pStyle w:val="10"/>
        <w:keepNext w:val="0"/>
        <w:keepLines w:val="0"/>
        <w:pageBreakBefore w:val="0"/>
        <w:kinsoku/>
        <w:wordWrap/>
        <w:overflowPunct/>
        <w:topLinePunct w:val="0"/>
        <w:bidi w:val="0"/>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投标人应成立项目规划咨询服务团队，团队成员专业能力应覆盖建筑、电气、暖通、智算、网络等专业。咨询服务团队人员不少于5名，并根据用户的项目需求配置相应的后端技术专家，协助完成项目。</w:t>
      </w:r>
    </w:p>
    <w:p w14:paraId="2DE7F751">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（三）响应时间要求</w:t>
      </w:r>
    </w:p>
    <w:p w14:paraId="2F0C8C5C">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投标人需承诺提供5*8小时的专业技术业务咨询服务，并有专业的服务团队负责及时解决项目技术问题。</w:t>
      </w:r>
    </w:p>
    <w:p w14:paraId="055DF10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both"/>
        <w:textAlignment w:val="auto"/>
        <w:outlineLvl w:val="1"/>
        <w:rPr>
          <w:rFonts w:hint="eastAsia" w:ascii="国标黑体" w:hAnsi="国标黑体" w:eastAsia="国标黑体" w:cs="国标黑体"/>
          <w:b w:val="0"/>
          <w:bCs w:val="0"/>
          <w:sz w:val="32"/>
          <w:szCs w:val="32"/>
          <w:highlight w:val="none"/>
          <w:lang w:val="en-US" w:eastAsia="zh-CN"/>
        </w:rPr>
      </w:pPr>
      <w:r>
        <w:rPr>
          <w:rFonts w:hint="eastAsia" w:ascii="国标黑体" w:hAnsi="国标黑体" w:eastAsia="国标黑体" w:cs="国标黑体"/>
          <w:b w:val="0"/>
          <w:bCs w:val="0"/>
          <w:sz w:val="32"/>
          <w:szCs w:val="32"/>
          <w:highlight w:val="none"/>
          <w:lang w:val="en-US" w:eastAsia="zh-CN"/>
        </w:rPr>
        <w:t>四、进度计划</w:t>
      </w:r>
    </w:p>
    <w:p w14:paraId="0A2C7086">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本项目的研究周期为合同签订之日起4个月。具体工作进度如下:</w:t>
      </w:r>
    </w:p>
    <w:p w14:paraId="1AB5BD63">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1.第一阶段:完成现场踏勘、资料收集。(第1-2周)</w:t>
      </w:r>
    </w:p>
    <w:p w14:paraId="42A1C0BD">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2.第二阶段:完成关键技术要点研究、提交课题研究报告初稿，组织中期研讨汇报。(第3-6周)</w:t>
      </w:r>
    </w:p>
    <w:p w14:paraId="37918881">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3.第三阶段:根据中期研讨汇报情况完善课题方案，并对关键技术路线进行论证，完善商业模式，撰写最终报告。提交课题研究报告终稿，完成终期汇报。(第7-16周)</w:t>
      </w:r>
    </w:p>
    <w:p w14:paraId="75C1285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B1D43"/>
    <w:rsid w:val="33953C2E"/>
    <w:rsid w:val="4FEF31B4"/>
    <w:rsid w:val="60B5557B"/>
    <w:rsid w:val="767B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3">
    <w:name w:val="Plain Text"/>
    <w:basedOn w:val="1"/>
    <w:next w:val="2"/>
    <w:qFormat/>
    <w:uiPriority w:val="0"/>
    <w:rPr>
      <w:rFonts w:ascii="宋体" w:hAnsi="Courier New"/>
      <w:szCs w:val="21"/>
    </w:r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rPr>
  </w:style>
  <w:style w:type="paragraph" w:customStyle="1" w:styleId="10">
    <w:name w:val="正文-方案"/>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2026-03-12T08:10:20Z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F31499D853C246998CD8FB18BFCB50B0_13</vt:lpwstr>
  </property>
  <property fmtid="{D5CDD505-2E9C-101B-9397-08002B2CF9AE}" pid="4" name="KSOTemplateDocerSaveRecord">
    <vt:lpwstr>eyJoZGlkIjoiZjYxZTUyYjc1MzQwNWRmNjlmMWQyYmQ2NmM1M2U4MmMiLCJ1c2VySWQiOiI2OTk3NTA5NDAifQ==</vt:lpwstr>
  </property>
</Properties>
</file>