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7E4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p>
    <w:p w14:paraId="2CAC26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rPr>
        <w:t>龙岗区教育局</w:t>
      </w:r>
      <w:r>
        <w:rPr>
          <w:rFonts w:hint="eastAsia" w:ascii="方正小标宋简体" w:hAnsi="方正小标宋简体" w:eastAsia="方正小标宋简体" w:cs="方正小标宋简体"/>
          <w:b w:val="0"/>
          <w:bCs w:val="0"/>
          <w:color w:val="auto"/>
          <w:sz w:val="44"/>
          <w:szCs w:val="44"/>
          <w:highlight w:val="none"/>
          <w:lang w:val="en-US" w:eastAsia="zh-CN"/>
        </w:rPr>
        <w:t>2026年民办学校年度</w:t>
      </w:r>
    </w:p>
    <w:p w14:paraId="666E85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审计报告复审服务项目采购需求书</w:t>
      </w:r>
    </w:p>
    <w:bookmarkEnd w:id="0"/>
    <w:p w14:paraId="414B42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b w:val="0"/>
          <w:bCs w:val="0"/>
          <w:color w:val="auto"/>
          <w:sz w:val="44"/>
          <w:szCs w:val="44"/>
          <w:highlight w:val="none"/>
          <w:lang w:val="en-US" w:eastAsia="zh-CN"/>
        </w:rPr>
      </w:pPr>
    </w:p>
    <w:p w14:paraId="7B970466">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项目概况</w:t>
      </w:r>
    </w:p>
    <w:p w14:paraId="3B467750">
      <w:pPr>
        <w:pStyle w:val="4"/>
        <w:keepNext w:val="0"/>
        <w:keepLines w:val="0"/>
        <w:pageBreakBefore w:val="0"/>
        <w:kinsoku/>
        <w:overflowPunct/>
        <w:topLinePunct w:val="0"/>
        <w:autoSpaceDE/>
        <w:autoSpaceDN/>
        <w:bidi w:val="0"/>
        <w:spacing w:before="56" w:line="560" w:lineRule="exact"/>
        <w:ind w:right="35"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根据《中华人民共和国民办教育促进法》《中华人民共和国民办教育促进法实施条例》和《深圳市民办中小学财务管理办法》等相关法律法规和政策，促进民办教育的规范化发展，龙岗区教育局组织开展对</w:t>
      </w:r>
      <w:r>
        <w:rPr>
          <w:rFonts w:hint="eastAsia" w:ascii="仿宋_GB2312" w:hAnsi="仿宋_GB2312" w:eastAsia="仿宋_GB2312" w:cs="仿宋_GB2312"/>
          <w:b w:val="0"/>
          <w:bCs w:val="0"/>
          <w:color w:val="auto"/>
          <w:sz w:val="32"/>
          <w:szCs w:val="32"/>
          <w:highlight w:val="none"/>
          <w:lang w:val="en-US" w:eastAsia="zh-CN"/>
        </w:rPr>
        <w:t>全区民办学校上一年度的财务</w:t>
      </w:r>
      <w:r>
        <w:rPr>
          <w:rFonts w:hint="eastAsia" w:ascii="仿宋_GB2312" w:hAnsi="仿宋_GB2312" w:eastAsia="仿宋_GB2312" w:cs="仿宋_GB2312"/>
          <w:b w:val="0"/>
          <w:bCs w:val="0"/>
          <w:color w:val="auto"/>
          <w:sz w:val="32"/>
          <w:szCs w:val="32"/>
          <w:lang w:val="en-US" w:eastAsia="zh-CN"/>
        </w:rPr>
        <w:t>审计报告</w:t>
      </w:r>
      <w:r>
        <w:rPr>
          <w:rFonts w:hint="eastAsia" w:ascii="仿宋_GB2312" w:eastAsia="仿宋_GB2312"/>
          <w:b w:val="0"/>
          <w:bCs w:val="0"/>
          <w:color w:val="auto"/>
          <w:sz w:val="32"/>
          <w:szCs w:val="32"/>
          <w:highlight w:val="none"/>
          <w:lang w:val="en-US" w:eastAsia="zh-CN"/>
        </w:rPr>
        <w:t>相关内容进行复审。</w:t>
      </w:r>
    </w:p>
    <w:p w14:paraId="3DBBF0F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预算控制金额（包干）</w:t>
      </w:r>
    </w:p>
    <w:p w14:paraId="6754C03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服务费用（包干）控制价为：人民币12万元（所报价格超过预算控制金额作无效投标处理）。</w:t>
      </w:r>
    </w:p>
    <w:p w14:paraId="1A4066F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采购方式        </w:t>
      </w:r>
    </w:p>
    <w:p w14:paraId="35BAB36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自行采购-公开招标</w:t>
      </w:r>
    </w:p>
    <w:p w14:paraId="01FD6B7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评标方法</w:t>
      </w:r>
    </w:p>
    <w:p w14:paraId="75468EE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一</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当符合性审核合格供应商达三家或三家以上的，由区教育局评标小组以综合评分法确定预中标供应商；</w:t>
      </w:r>
    </w:p>
    <w:p w14:paraId="5FACFEF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二</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当符合性审核合格供应商不足三家，则作流标处理。</w:t>
      </w:r>
    </w:p>
    <w:p w14:paraId="0D1A833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（三）</w:t>
      </w:r>
      <w:r>
        <w:rPr>
          <w:rFonts w:hint="eastAsia" w:ascii="仿宋_GB2312" w:hAnsi="仿宋_GB2312" w:eastAsia="仿宋_GB2312" w:cs="仿宋_GB2312"/>
          <w:b w:val="0"/>
          <w:bCs w:val="0"/>
          <w:color w:val="auto"/>
          <w:sz w:val="32"/>
          <w:szCs w:val="32"/>
          <w:lang w:val="en-US" w:eastAsia="zh-CN"/>
        </w:rPr>
        <w:t>具体评分项：</w:t>
      </w:r>
    </w:p>
    <w:tbl>
      <w:tblPr>
        <w:tblStyle w:val="7"/>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81"/>
        <w:gridCol w:w="1108"/>
        <w:gridCol w:w="25"/>
        <w:gridCol w:w="712"/>
        <w:gridCol w:w="7"/>
        <w:gridCol w:w="705"/>
        <w:gridCol w:w="5935"/>
      </w:tblGrid>
      <w:tr w14:paraId="265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48991AC4">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3238" w:type="dxa"/>
            <w:gridSpan w:val="6"/>
            <w:noWrap w:val="0"/>
            <w:vAlign w:val="center"/>
          </w:tcPr>
          <w:p w14:paraId="7FC6E59E">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评分项</w:t>
            </w:r>
          </w:p>
        </w:tc>
        <w:tc>
          <w:tcPr>
            <w:tcW w:w="5935" w:type="dxa"/>
            <w:noWrap w:val="0"/>
            <w:vAlign w:val="center"/>
          </w:tcPr>
          <w:p w14:paraId="101CADB9">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分值</w:t>
            </w:r>
          </w:p>
        </w:tc>
      </w:tr>
      <w:tr w14:paraId="4BD3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32A2259E">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(一)</w:t>
            </w:r>
          </w:p>
        </w:tc>
        <w:tc>
          <w:tcPr>
            <w:tcW w:w="3238" w:type="dxa"/>
            <w:gridSpan w:val="6"/>
            <w:noWrap w:val="0"/>
            <w:vAlign w:val="center"/>
          </w:tcPr>
          <w:p w14:paraId="2F2B3D89">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价格</w:t>
            </w:r>
          </w:p>
        </w:tc>
        <w:tc>
          <w:tcPr>
            <w:tcW w:w="5935" w:type="dxa"/>
            <w:noWrap w:val="0"/>
            <w:vAlign w:val="center"/>
          </w:tcPr>
          <w:p w14:paraId="7277E0A6">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10分</w:t>
            </w:r>
          </w:p>
        </w:tc>
      </w:tr>
      <w:tr w14:paraId="0979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restart"/>
            <w:noWrap w:val="0"/>
            <w:vAlign w:val="center"/>
          </w:tcPr>
          <w:p w14:paraId="67E54558">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p>
        </w:tc>
        <w:tc>
          <w:tcPr>
            <w:tcW w:w="681" w:type="dxa"/>
            <w:noWrap w:val="0"/>
            <w:vAlign w:val="center"/>
          </w:tcPr>
          <w:p w14:paraId="42E87745">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序号</w:t>
            </w:r>
          </w:p>
        </w:tc>
        <w:tc>
          <w:tcPr>
            <w:tcW w:w="1133" w:type="dxa"/>
            <w:gridSpan w:val="2"/>
            <w:noWrap w:val="0"/>
            <w:vAlign w:val="center"/>
          </w:tcPr>
          <w:p w14:paraId="5C1BC9FF">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评分因素</w:t>
            </w:r>
          </w:p>
        </w:tc>
        <w:tc>
          <w:tcPr>
            <w:tcW w:w="719" w:type="dxa"/>
            <w:gridSpan w:val="2"/>
            <w:noWrap w:val="0"/>
            <w:vAlign w:val="center"/>
          </w:tcPr>
          <w:p w14:paraId="65DC136D">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lang w:eastAsia="zh-CN"/>
              </w:rPr>
            </w:pPr>
            <w:r>
              <w:rPr>
                <w:rFonts w:hint="eastAsia" w:ascii="仿宋" w:hAnsi="仿宋" w:eastAsia="仿宋" w:cs="仿宋"/>
                <w:color w:val="auto"/>
                <w:szCs w:val="21"/>
                <w:highlight w:val="none"/>
                <w:lang w:val="en-US" w:eastAsia="zh-CN"/>
              </w:rPr>
              <w:t>分值</w:t>
            </w:r>
          </w:p>
        </w:tc>
        <w:tc>
          <w:tcPr>
            <w:tcW w:w="705" w:type="dxa"/>
            <w:noWrap w:val="0"/>
            <w:vAlign w:val="center"/>
          </w:tcPr>
          <w:p w14:paraId="7A2551BF">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评分方式</w:t>
            </w:r>
          </w:p>
        </w:tc>
        <w:tc>
          <w:tcPr>
            <w:tcW w:w="5935" w:type="dxa"/>
            <w:noWrap w:val="0"/>
            <w:vAlign w:val="center"/>
          </w:tcPr>
          <w:p w14:paraId="1C7402BD">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lang w:val="en-US" w:eastAsia="zh-CN"/>
              </w:rPr>
            </w:pPr>
            <w:r>
              <w:rPr>
                <w:rFonts w:hint="eastAsia" w:ascii="仿宋" w:hAnsi="仿宋" w:eastAsia="仿宋" w:cs="仿宋"/>
                <w:color w:val="auto"/>
                <w:szCs w:val="21"/>
                <w:highlight w:val="none"/>
              </w:rPr>
              <w:t>评分准则</w:t>
            </w:r>
          </w:p>
        </w:tc>
      </w:tr>
      <w:tr w14:paraId="5F44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Merge w:val="continue"/>
            <w:noWrap w:val="0"/>
            <w:vAlign w:val="top"/>
          </w:tcPr>
          <w:p w14:paraId="245B4BE2">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lang w:val="en-US" w:eastAsia="zh-CN"/>
              </w:rPr>
            </w:pPr>
          </w:p>
        </w:tc>
        <w:tc>
          <w:tcPr>
            <w:tcW w:w="681" w:type="dxa"/>
            <w:noWrap w:val="0"/>
            <w:vAlign w:val="center"/>
          </w:tcPr>
          <w:p w14:paraId="6F88E5DB">
            <w:pPr>
              <w:keepNext w:val="0"/>
              <w:keepLines w:val="0"/>
              <w:pageBreakBefore w:val="0"/>
              <w:kinsoku/>
              <w:overflowPunct/>
              <w:topLinePunct w:val="0"/>
              <w:autoSpaceDE/>
              <w:autoSpaceDN/>
              <w:bidi w:val="0"/>
              <w:spacing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1</w:t>
            </w:r>
          </w:p>
        </w:tc>
        <w:tc>
          <w:tcPr>
            <w:tcW w:w="1133" w:type="dxa"/>
            <w:gridSpan w:val="2"/>
            <w:noWrap w:val="0"/>
            <w:vAlign w:val="center"/>
          </w:tcPr>
          <w:p w14:paraId="1916D50F">
            <w:pPr>
              <w:keepNext w:val="0"/>
              <w:keepLines w:val="0"/>
              <w:pageBreakBefore w:val="0"/>
              <w:kinsoku/>
              <w:overflowPunct/>
              <w:topLinePunct w:val="0"/>
              <w:autoSpaceDE/>
              <w:autoSpaceDN/>
              <w:bidi w:val="0"/>
              <w:spacing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价格</w:t>
            </w:r>
          </w:p>
        </w:tc>
        <w:tc>
          <w:tcPr>
            <w:tcW w:w="719" w:type="dxa"/>
            <w:gridSpan w:val="2"/>
            <w:noWrap w:val="0"/>
            <w:vAlign w:val="center"/>
          </w:tcPr>
          <w:p w14:paraId="50630762">
            <w:pPr>
              <w:keepNext w:val="0"/>
              <w:keepLines w:val="0"/>
              <w:pageBreakBefore w:val="0"/>
              <w:kinsoku/>
              <w:overflowPunct/>
              <w:topLinePunct w:val="0"/>
              <w:autoSpaceDE/>
              <w:autoSpaceDN/>
              <w:bidi w:val="0"/>
              <w:spacing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10</w:t>
            </w:r>
          </w:p>
        </w:tc>
        <w:tc>
          <w:tcPr>
            <w:tcW w:w="705" w:type="dxa"/>
            <w:noWrap w:val="0"/>
            <w:vAlign w:val="center"/>
          </w:tcPr>
          <w:p w14:paraId="29FA55C7">
            <w:pPr>
              <w:keepNext w:val="0"/>
              <w:keepLines w:val="0"/>
              <w:pageBreakBefore w:val="0"/>
              <w:kinsoku/>
              <w:overflowPunct/>
              <w:topLinePunct w:val="0"/>
              <w:autoSpaceDE/>
              <w:autoSpaceDN/>
              <w:bidi w:val="0"/>
              <w:spacing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按公式计算</w:t>
            </w:r>
          </w:p>
        </w:tc>
        <w:tc>
          <w:tcPr>
            <w:tcW w:w="5935" w:type="dxa"/>
            <w:noWrap w:val="0"/>
            <w:vAlign w:val="top"/>
          </w:tcPr>
          <w:p w14:paraId="6F0BD445">
            <w:pPr>
              <w:keepNext w:val="0"/>
              <w:keepLines w:val="0"/>
              <w:pageBreakBefore w:val="0"/>
              <w:kinsoku/>
              <w:overflowPunct/>
              <w:topLinePunct w:val="0"/>
              <w:autoSpaceDE/>
              <w:autoSpaceDN/>
              <w:bidi w:val="0"/>
              <w:spacing w:line="560" w:lineRule="exact"/>
              <w:jc w:val="both"/>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价格分计算方法：采用低价优先法计算，即满足招标文件要求且投标价格最低的投标报价为评标基准价，其价格分为满分。其他投标人的价格分统一按照下列公式计算：投标报价得分=(评标基准价／投标报价)×10。</w:t>
            </w:r>
          </w:p>
        </w:tc>
      </w:tr>
      <w:tr w14:paraId="039E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09" w:type="dxa"/>
            <w:noWrap w:val="0"/>
            <w:vAlign w:val="center"/>
          </w:tcPr>
          <w:p w14:paraId="74D93878">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（二）</w:t>
            </w:r>
          </w:p>
        </w:tc>
        <w:tc>
          <w:tcPr>
            <w:tcW w:w="3238" w:type="dxa"/>
            <w:gridSpan w:val="6"/>
            <w:noWrap w:val="0"/>
            <w:vAlign w:val="center"/>
          </w:tcPr>
          <w:p w14:paraId="1EB0C503">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技术服务部分</w:t>
            </w:r>
          </w:p>
        </w:tc>
        <w:tc>
          <w:tcPr>
            <w:tcW w:w="5935" w:type="dxa"/>
            <w:noWrap w:val="0"/>
            <w:vAlign w:val="center"/>
          </w:tcPr>
          <w:p w14:paraId="769795A0">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70分</w:t>
            </w:r>
          </w:p>
        </w:tc>
      </w:tr>
      <w:tr w14:paraId="1994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Merge w:val="restart"/>
            <w:noWrap w:val="0"/>
            <w:vAlign w:val="center"/>
          </w:tcPr>
          <w:p w14:paraId="1DC8DC9E">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p>
        </w:tc>
        <w:tc>
          <w:tcPr>
            <w:tcW w:w="681" w:type="dxa"/>
            <w:noWrap w:val="0"/>
            <w:vAlign w:val="center"/>
          </w:tcPr>
          <w:p w14:paraId="633020D0">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33" w:type="dxa"/>
            <w:gridSpan w:val="2"/>
            <w:noWrap w:val="0"/>
            <w:vAlign w:val="center"/>
          </w:tcPr>
          <w:p w14:paraId="78AE0C61">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w:t>
            </w:r>
          </w:p>
        </w:tc>
        <w:tc>
          <w:tcPr>
            <w:tcW w:w="719" w:type="dxa"/>
            <w:gridSpan w:val="2"/>
            <w:noWrap w:val="0"/>
            <w:vAlign w:val="center"/>
          </w:tcPr>
          <w:p w14:paraId="4FFD5CB0">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分值</w:t>
            </w:r>
          </w:p>
        </w:tc>
        <w:tc>
          <w:tcPr>
            <w:tcW w:w="705" w:type="dxa"/>
            <w:noWrap w:val="0"/>
            <w:vAlign w:val="center"/>
          </w:tcPr>
          <w:p w14:paraId="1851459E">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评分方式</w:t>
            </w:r>
          </w:p>
        </w:tc>
        <w:tc>
          <w:tcPr>
            <w:tcW w:w="5935" w:type="dxa"/>
            <w:noWrap w:val="0"/>
            <w:vAlign w:val="center"/>
          </w:tcPr>
          <w:p w14:paraId="7D981C17">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评分准则</w:t>
            </w:r>
          </w:p>
        </w:tc>
      </w:tr>
      <w:tr w14:paraId="2D19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vMerge w:val="continue"/>
            <w:noWrap w:val="0"/>
            <w:vAlign w:val="top"/>
          </w:tcPr>
          <w:p w14:paraId="1398999D">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0FEEF67B">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133" w:type="dxa"/>
            <w:gridSpan w:val="2"/>
            <w:noWrap w:val="0"/>
            <w:vAlign w:val="center"/>
          </w:tcPr>
          <w:p w14:paraId="23307328">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服务工作方案</w:t>
            </w:r>
          </w:p>
        </w:tc>
        <w:tc>
          <w:tcPr>
            <w:tcW w:w="719" w:type="dxa"/>
            <w:gridSpan w:val="2"/>
            <w:noWrap w:val="0"/>
            <w:vAlign w:val="center"/>
          </w:tcPr>
          <w:p w14:paraId="50C3E79C">
            <w:pPr>
              <w:keepNext w:val="0"/>
              <w:keepLines w:val="0"/>
              <w:pageBreakBefore w:val="0"/>
              <w:kinsoku/>
              <w:overflowPunct/>
              <w:topLinePunct w:val="0"/>
              <w:autoSpaceDE/>
              <w:autoSpaceDN/>
              <w:bidi w:val="0"/>
              <w:spacing w:line="560" w:lineRule="exact"/>
              <w:jc w:val="center"/>
              <w:rPr>
                <w:rFonts w:hint="default"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10</w:t>
            </w:r>
          </w:p>
        </w:tc>
        <w:tc>
          <w:tcPr>
            <w:tcW w:w="705" w:type="dxa"/>
            <w:noWrap w:val="0"/>
            <w:vAlign w:val="center"/>
          </w:tcPr>
          <w:p w14:paraId="5EAF2A17">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专家打分</w:t>
            </w:r>
          </w:p>
        </w:tc>
        <w:tc>
          <w:tcPr>
            <w:tcW w:w="5935" w:type="dxa"/>
            <w:noWrap w:val="0"/>
            <w:vAlign w:val="top"/>
          </w:tcPr>
          <w:p w14:paraId="0C389DDC">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（一）评审内容</w:t>
            </w:r>
          </w:p>
          <w:p w14:paraId="78673E2A">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lang w:val="en-US" w:eastAsia="zh-CN"/>
              </w:rPr>
              <w:t>根据采购需求书，</w:t>
            </w:r>
            <w:r>
              <w:rPr>
                <w:rFonts w:hint="eastAsia" w:ascii="仿宋" w:hAnsi="仿宋" w:eastAsia="仿宋" w:cs="仿宋"/>
                <w:color w:val="auto"/>
                <w:szCs w:val="21"/>
                <w:highlight w:val="none"/>
              </w:rPr>
              <w:t>针对</w:t>
            </w:r>
            <w:r>
              <w:rPr>
                <w:rFonts w:hint="eastAsia" w:ascii="仿宋" w:hAnsi="仿宋" w:eastAsia="仿宋" w:cs="仿宋"/>
                <w:color w:val="auto"/>
                <w:szCs w:val="21"/>
                <w:highlight w:val="none"/>
                <w:lang w:val="en-US" w:eastAsia="zh-CN"/>
              </w:rPr>
              <w:t>性</w:t>
            </w:r>
            <w:r>
              <w:rPr>
                <w:rFonts w:hint="eastAsia" w:ascii="仿宋" w:hAnsi="仿宋" w:eastAsia="仿宋" w:cs="仿宋"/>
                <w:color w:val="auto"/>
                <w:szCs w:val="21"/>
                <w:highlight w:val="none"/>
              </w:rPr>
              <w:t>提供本项目的服务工作方案，内容包含：</w:t>
            </w:r>
          </w:p>
          <w:p w14:paraId="735A5161">
            <w:pPr>
              <w:keepNext w:val="0"/>
              <w:keepLines w:val="0"/>
              <w:pageBreakBefore w:val="0"/>
              <w:numPr>
                <w:ilvl w:val="0"/>
                <w:numId w:val="0"/>
              </w:numPr>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工作内容，应包含</w:t>
            </w:r>
            <w:r>
              <w:rPr>
                <w:rFonts w:hint="eastAsia" w:ascii="仿宋" w:hAnsi="仿宋" w:eastAsia="仿宋" w:cs="仿宋"/>
                <w:color w:val="auto"/>
                <w:szCs w:val="21"/>
                <w:highlight w:val="none"/>
                <w:lang w:val="en-US" w:eastAsia="zh-CN"/>
              </w:rPr>
              <w:t>复审</w:t>
            </w:r>
            <w:r>
              <w:rPr>
                <w:rFonts w:hint="eastAsia" w:ascii="仿宋" w:hAnsi="仿宋" w:eastAsia="仿宋" w:cs="仿宋"/>
                <w:color w:val="auto"/>
                <w:szCs w:val="21"/>
                <w:highlight w:val="none"/>
              </w:rPr>
              <w:t xml:space="preserve">服务工作的整体设想及实施等； </w:t>
            </w:r>
          </w:p>
          <w:p w14:paraId="72C2D51D">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工作方法，应包含进场前的培训</w:t>
            </w:r>
            <w:r>
              <w:rPr>
                <w:rFonts w:hint="eastAsia" w:ascii="仿宋" w:hAnsi="仿宋" w:eastAsia="仿宋" w:cs="仿宋"/>
                <w:color w:val="auto"/>
                <w:szCs w:val="21"/>
                <w:highlight w:val="none"/>
                <w:lang w:val="en-US" w:eastAsia="zh-CN"/>
              </w:rPr>
              <w:t>复审</w:t>
            </w:r>
            <w:r>
              <w:rPr>
                <w:rFonts w:hint="eastAsia" w:ascii="仿宋" w:hAnsi="仿宋" w:eastAsia="仿宋" w:cs="仿宋"/>
                <w:color w:val="auto"/>
                <w:szCs w:val="21"/>
                <w:highlight w:val="none"/>
              </w:rPr>
              <w:t xml:space="preserve">现场的人员管理等； </w:t>
            </w:r>
          </w:p>
          <w:p w14:paraId="76B10903">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工作手段，应包含采用的</w:t>
            </w:r>
            <w:r>
              <w:rPr>
                <w:rFonts w:hint="eastAsia" w:ascii="仿宋" w:hAnsi="仿宋" w:eastAsia="仿宋" w:cs="仿宋"/>
                <w:color w:val="auto"/>
                <w:szCs w:val="21"/>
                <w:highlight w:val="none"/>
                <w:lang w:val="en-US" w:eastAsia="zh-CN"/>
              </w:rPr>
              <w:t>复审及调查</w:t>
            </w:r>
            <w:r>
              <w:rPr>
                <w:rFonts w:hint="eastAsia" w:ascii="仿宋" w:hAnsi="仿宋" w:eastAsia="仿宋" w:cs="仿宋"/>
                <w:color w:val="auto"/>
                <w:szCs w:val="21"/>
                <w:highlight w:val="none"/>
              </w:rPr>
              <w:t xml:space="preserve">方法等； </w:t>
            </w:r>
          </w:p>
          <w:p w14:paraId="7303C595">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工作流程，应包含与采购单位及被</w:t>
            </w:r>
            <w:r>
              <w:rPr>
                <w:rFonts w:hint="eastAsia" w:ascii="仿宋" w:hAnsi="仿宋" w:eastAsia="仿宋" w:cs="仿宋"/>
                <w:color w:val="auto"/>
                <w:szCs w:val="21"/>
                <w:highlight w:val="none"/>
                <w:lang w:val="en-US" w:eastAsia="zh-CN"/>
              </w:rPr>
              <w:t>复审</w:t>
            </w:r>
            <w:r>
              <w:rPr>
                <w:rFonts w:hint="eastAsia" w:ascii="仿宋" w:hAnsi="仿宋" w:eastAsia="仿宋" w:cs="仿宋"/>
                <w:color w:val="auto"/>
                <w:szCs w:val="21"/>
                <w:highlight w:val="none"/>
              </w:rPr>
              <w:t>单位的对接沟通、实施的</w:t>
            </w:r>
            <w:r>
              <w:rPr>
                <w:rFonts w:hint="eastAsia" w:ascii="仿宋" w:hAnsi="仿宋" w:eastAsia="仿宋" w:cs="仿宋"/>
                <w:color w:val="auto"/>
                <w:szCs w:val="21"/>
                <w:highlight w:val="none"/>
                <w:lang w:val="en-US" w:eastAsia="zh-CN"/>
              </w:rPr>
              <w:t>复审</w:t>
            </w:r>
            <w:r>
              <w:rPr>
                <w:rFonts w:hint="eastAsia" w:ascii="仿宋" w:hAnsi="仿宋" w:eastAsia="仿宋" w:cs="仿宋"/>
                <w:color w:val="auto"/>
                <w:szCs w:val="21"/>
                <w:highlight w:val="none"/>
              </w:rPr>
              <w:t xml:space="preserve">程序等。 </w:t>
            </w:r>
          </w:p>
          <w:p w14:paraId="0731E55A">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（二）评分标准</w:t>
            </w:r>
          </w:p>
          <w:p w14:paraId="4EBB006F">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eastAsia="zh-CN"/>
              </w:rPr>
              <w:t>四</w:t>
            </w:r>
            <w:r>
              <w:rPr>
                <w:rFonts w:hint="eastAsia" w:ascii="仿宋" w:hAnsi="仿宋" w:eastAsia="仿宋" w:cs="仿宋"/>
                <w:color w:val="auto"/>
                <w:szCs w:val="21"/>
                <w:highlight w:val="none"/>
              </w:rPr>
              <w:t>项要求得6</w:t>
            </w:r>
            <w:r>
              <w:rPr>
                <w:rFonts w:hint="eastAsia" w:ascii="仿宋" w:hAnsi="仿宋" w:eastAsia="仿宋" w:cs="仿宋"/>
                <w:color w:val="auto"/>
                <w:szCs w:val="21"/>
                <w:highlight w:val="none"/>
                <w:lang w:val="en-US" w:eastAsia="zh-CN"/>
              </w:rPr>
              <w:t>分</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项要求得4</w:t>
            </w:r>
            <w:r>
              <w:rPr>
                <w:rFonts w:hint="eastAsia" w:ascii="仿宋" w:hAnsi="仿宋" w:eastAsia="仿宋" w:cs="仿宋"/>
                <w:color w:val="auto"/>
                <w:szCs w:val="21"/>
                <w:highlight w:val="none"/>
                <w:lang w:val="en-US" w:eastAsia="zh-CN"/>
              </w:rPr>
              <w:t>.5分</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两</w:t>
            </w:r>
            <w:r>
              <w:rPr>
                <w:rFonts w:hint="eastAsia" w:ascii="仿宋" w:hAnsi="仿宋" w:eastAsia="仿宋" w:cs="仿宋"/>
                <w:color w:val="auto"/>
                <w:szCs w:val="21"/>
                <w:highlight w:val="none"/>
              </w:rPr>
              <w:t>项要求得</w:t>
            </w:r>
            <w:r>
              <w:rPr>
                <w:rFonts w:hint="eastAsia" w:ascii="仿宋" w:hAnsi="仿宋" w:eastAsia="仿宋" w:cs="仿宋"/>
                <w:color w:val="auto"/>
                <w:szCs w:val="21"/>
                <w:highlight w:val="none"/>
                <w:lang w:val="en-US" w:eastAsia="zh-CN"/>
              </w:rPr>
              <w:t>3分，</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一</w:t>
            </w:r>
            <w:r>
              <w:rPr>
                <w:rFonts w:hint="eastAsia" w:ascii="仿宋" w:hAnsi="仿宋" w:eastAsia="仿宋" w:cs="仿宋"/>
                <w:color w:val="auto"/>
                <w:szCs w:val="21"/>
                <w:highlight w:val="none"/>
              </w:rPr>
              <w:t>项要求得</w:t>
            </w:r>
            <w:r>
              <w:rPr>
                <w:rFonts w:hint="eastAsia" w:ascii="仿宋" w:hAnsi="仿宋" w:eastAsia="仿宋" w:cs="仿宋"/>
                <w:color w:val="auto"/>
                <w:szCs w:val="21"/>
                <w:highlight w:val="none"/>
                <w:lang w:val="en-US" w:eastAsia="zh-CN"/>
              </w:rPr>
              <w:t>1.5分，其它情况不得分。</w:t>
            </w:r>
          </w:p>
          <w:p w14:paraId="6387C2A5">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在此基础上，评审委员会根据各投标人的具体响应内容进行综合评价：</w:t>
            </w:r>
          </w:p>
          <w:p w14:paraId="2FCE60F9">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（1）评审为优：</w:t>
            </w:r>
            <w:r>
              <w:rPr>
                <w:rFonts w:hint="eastAsia" w:ascii="仿宋" w:hAnsi="仿宋" w:eastAsia="仿宋" w:cs="仿宋"/>
                <w:color w:val="auto"/>
                <w:szCs w:val="21"/>
                <w:highlight w:val="none"/>
                <w:lang w:val="en-US" w:eastAsia="zh-CN"/>
              </w:rPr>
              <w:t>根据民办学校的特点，结合民办学校的法律法规及政策文件，提供的</w:t>
            </w:r>
            <w:r>
              <w:rPr>
                <w:rFonts w:hint="eastAsia" w:ascii="仿宋" w:hAnsi="仿宋" w:eastAsia="仿宋" w:cs="仿宋"/>
                <w:color w:val="auto"/>
                <w:szCs w:val="21"/>
                <w:highlight w:val="none"/>
              </w:rPr>
              <w:t>实施方案的工作内容全面扎实，完全符合项目要求，能够有效达到项目目的；提出的工作方法和手段科学合理，工作流程完整，专业规范，针对性强，具有很好的可行性，</w:t>
            </w:r>
            <w:r>
              <w:rPr>
                <w:rFonts w:hint="eastAsia" w:ascii="仿宋" w:hAnsi="仿宋" w:eastAsia="仿宋" w:cs="仿宋"/>
                <w:color w:val="auto"/>
                <w:szCs w:val="21"/>
                <w:highlight w:val="none"/>
                <w:lang w:val="en-US" w:eastAsia="zh-CN"/>
              </w:rPr>
              <w:t>得4</w:t>
            </w:r>
            <w:r>
              <w:rPr>
                <w:rFonts w:hint="eastAsia" w:ascii="仿宋" w:hAnsi="仿宋" w:eastAsia="仿宋" w:cs="仿宋"/>
                <w:color w:val="auto"/>
                <w:szCs w:val="21"/>
                <w:highlight w:val="none"/>
              </w:rPr>
              <w:t>分；</w:t>
            </w:r>
          </w:p>
          <w:p w14:paraId="60BC2E1B">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（2）评审为良：</w:t>
            </w:r>
            <w:r>
              <w:rPr>
                <w:rFonts w:hint="eastAsia" w:ascii="仿宋" w:hAnsi="仿宋" w:eastAsia="仿宋" w:cs="仿宋"/>
                <w:color w:val="auto"/>
                <w:szCs w:val="21"/>
                <w:highlight w:val="none"/>
                <w:lang w:val="en-US" w:eastAsia="zh-CN"/>
              </w:rPr>
              <w:t>根据民办学校的特点，结合民办学校的法律法规及政策文件，提供的</w:t>
            </w:r>
            <w:r>
              <w:rPr>
                <w:rFonts w:hint="eastAsia" w:ascii="仿宋" w:hAnsi="仿宋" w:eastAsia="仿宋" w:cs="仿宋"/>
                <w:color w:val="auto"/>
                <w:szCs w:val="21"/>
                <w:highlight w:val="none"/>
              </w:rPr>
              <w:t>实施方案的工作内容较为全面，较好地符合了项目要求，能够较好地达到项目目的；提出的工作方法和手段较为科学合理，工作流程较为完整，比较专业规范，具备较好的可行性，</w:t>
            </w:r>
            <w:r>
              <w:rPr>
                <w:rFonts w:hint="eastAsia" w:ascii="仿宋" w:hAnsi="仿宋" w:eastAsia="仿宋" w:cs="仿宋"/>
                <w:color w:val="auto"/>
                <w:szCs w:val="21"/>
                <w:highlight w:val="none"/>
                <w:lang w:val="en-US" w:eastAsia="zh-CN"/>
              </w:rPr>
              <w:t>得2</w:t>
            </w:r>
            <w:r>
              <w:rPr>
                <w:rFonts w:hint="eastAsia" w:ascii="仿宋" w:hAnsi="仿宋" w:eastAsia="仿宋" w:cs="仿宋"/>
                <w:color w:val="auto"/>
                <w:szCs w:val="21"/>
                <w:highlight w:val="none"/>
              </w:rPr>
              <w:t>分；</w:t>
            </w:r>
          </w:p>
          <w:p w14:paraId="6593CBA0">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（3）评审为中：</w:t>
            </w:r>
            <w:r>
              <w:rPr>
                <w:rFonts w:hint="eastAsia" w:ascii="仿宋" w:hAnsi="仿宋" w:eastAsia="仿宋" w:cs="仿宋"/>
                <w:color w:val="auto"/>
                <w:szCs w:val="21"/>
                <w:highlight w:val="none"/>
                <w:lang w:val="en-US" w:eastAsia="zh-CN"/>
              </w:rPr>
              <w:t>根据民办学校的特点，结合民办学校的法律法规及政策文件，提供的</w:t>
            </w:r>
            <w:r>
              <w:rPr>
                <w:rFonts w:hint="eastAsia" w:ascii="仿宋" w:hAnsi="仿宋" w:eastAsia="仿宋" w:cs="仿宋"/>
                <w:color w:val="auto"/>
                <w:szCs w:val="21"/>
                <w:highlight w:val="none"/>
              </w:rPr>
              <w:t>实施方案的工作内容涉及项目的主要方面，基本符合项目要求；提出的工作方法和手段科学合理性一般，工作流程完整性一般，可行性一般的，</w:t>
            </w:r>
            <w:r>
              <w:rPr>
                <w:rFonts w:hint="eastAsia" w:ascii="仿宋" w:hAnsi="仿宋" w:eastAsia="仿宋" w:cs="仿宋"/>
                <w:color w:val="auto"/>
                <w:szCs w:val="21"/>
                <w:highlight w:val="none"/>
                <w:lang w:val="en-US" w:eastAsia="zh-CN"/>
              </w:rPr>
              <w:t>得1</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22174C9D">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（4）评审为差：</w:t>
            </w:r>
            <w:r>
              <w:rPr>
                <w:rFonts w:hint="eastAsia" w:ascii="仿宋" w:hAnsi="仿宋" w:eastAsia="仿宋" w:cs="仿宋"/>
                <w:color w:val="auto"/>
                <w:szCs w:val="21"/>
                <w:highlight w:val="none"/>
                <w:lang w:val="en-US" w:eastAsia="zh-CN"/>
              </w:rPr>
              <w:t>根据民办学校的特点，结合民办学校的法律法规及政策文件，提供的</w:t>
            </w:r>
            <w:r>
              <w:rPr>
                <w:rFonts w:hint="eastAsia" w:ascii="仿宋" w:hAnsi="仿宋" w:eastAsia="仿宋" w:cs="仿宋"/>
                <w:color w:val="auto"/>
                <w:szCs w:val="21"/>
                <w:highlight w:val="none"/>
              </w:rPr>
              <w:t>实施方案的工作内容不完整，不符合项目要求，实施后较难达到项目目的；提出的工作方法和手段科学合理性较差，工作流程不完整，可行性较差，</w:t>
            </w:r>
            <w:r>
              <w:rPr>
                <w:rFonts w:hint="eastAsia" w:ascii="仿宋" w:hAnsi="仿宋" w:eastAsia="仿宋" w:cs="仿宋"/>
                <w:color w:val="auto"/>
                <w:szCs w:val="21"/>
                <w:highlight w:val="none"/>
                <w:lang w:val="en-US" w:eastAsia="zh-CN"/>
              </w:rPr>
              <w:t>得0</w:t>
            </w:r>
            <w:r>
              <w:rPr>
                <w:rFonts w:hint="eastAsia" w:ascii="仿宋" w:hAnsi="仿宋" w:eastAsia="仿宋" w:cs="仿宋"/>
                <w:color w:val="auto"/>
                <w:szCs w:val="21"/>
                <w:highlight w:val="none"/>
              </w:rPr>
              <w:t>分。</w:t>
            </w:r>
          </w:p>
        </w:tc>
      </w:tr>
      <w:tr w14:paraId="6FAA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vMerge w:val="continue"/>
            <w:noWrap w:val="0"/>
            <w:vAlign w:val="top"/>
          </w:tcPr>
          <w:p w14:paraId="57745CD2">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6D80EE65">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133" w:type="dxa"/>
            <w:gridSpan w:val="2"/>
            <w:noWrap w:val="0"/>
            <w:vAlign w:val="center"/>
          </w:tcPr>
          <w:p w14:paraId="4AFF6BB0">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项目重难点分析</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应对措施</w:t>
            </w:r>
            <w:r>
              <w:rPr>
                <w:rFonts w:hint="eastAsia" w:ascii="仿宋" w:hAnsi="仿宋" w:eastAsia="仿宋" w:cs="仿宋"/>
                <w:color w:val="auto"/>
                <w:szCs w:val="21"/>
                <w:highlight w:val="none"/>
                <w:lang w:val="en-US" w:eastAsia="zh-CN"/>
              </w:rPr>
              <w:t>及相关的合理化建议</w:t>
            </w:r>
          </w:p>
        </w:tc>
        <w:tc>
          <w:tcPr>
            <w:tcW w:w="719" w:type="dxa"/>
            <w:gridSpan w:val="2"/>
            <w:noWrap w:val="0"/>
            <w:vAlign w:val="center"/>
          </w:tcPr>
          <w:p w14:paraId="7DF61B93">
            <w:pPr>
              <w:keepNext w:val="0"/>
              <w:keepLines w:val="0"/>
              <w:pageBreakBefore w:val="0"/>
              <w:kinsoku/>
              <w:overflowPunct/>
              <w:topLinePunct w:val="0"/>
              <w:autoSpaceDE/>
              <w:autoSpaceDN/>
              <w:bidi w:val="0"/>
              <w:spacing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10</w:t>
            </w:r>
          </w:p>
        </w:tc>
        <w:tc>
          <w:tcPr>
            <w:tcW w:w="705" w:type="dxa"/>
            <w:noWrap w:val="0"/>
            <w:vAlign w:val="center"/>
          </w:tcPr>
          <w:p w14:paraId="201077ED">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专家打分</w:t>
            </w:r>
          </w:p>
        </w:tc>
        <w:tc>
          <w:tcPr>
            <w:tcW w:w="5935" w:type="dxa"/>
            <w:noWrap w:val="0"/>
            <w:vAlign w:val="top"/>
          </w:tcPr>
          <w:p w14:paraId="7256301D">
            <w:pPr>
              <w:keepNext w:val="0"/>
              <w:keepLines w:val="0"/>
              <w:pageBreakBefore w:val="0"/>
              <w:numPr>
                <w:ilvl w:val="0"/>
                <w:numId w:val="2"/>
              </w:numPr>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p w14:paraId="2375C953">
            <w:pPr>
              <w:keepNext w:val="0"/>
              <w:keepLines w:val="0"/>
              <w:pageBreakBefore w:val="0"/>
              <w:kinsoku/>
              <w:overflowPunct/>
              <w:topLinePunct w:val="0"/>
              <w:autoSpaceDE/>
              <w:autoSpaceDN/>
              <w:bidi w:val="0"/>
              <w:spacing w:line="560" w:lineRule="exact"/>
              <w:jc w:val="both"/>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根据投标人对本项目提供的</w:t>
            </w:r>
            <w:r>
              <w:rPr>
                <w:rFonts w:hint="eastAsia" w:ascii="仿宋" w:hAnsi="仿宋" w:eastAsia="仿宋" w:cs="仿宋"/>
                <w:color w:val="auto"/>
                <w:szCs w:val="21"/>
                <w:highlight w:val="none"/>
                <w:lang w:val="en-US" w:eastAsia="zh-CN"/>
              </w:rPr>
              <w:t>项目重难点、措施及建议</w:t>
            </w:r>
            <w:r>
              <w:rPr>
                <w:rFonts w:hint="eastAsia" w:ascii="仿宋" w:hAnsi="仿宋" w:eastAsia="仿宋" w:cs="仿宋"/>
                <w:color w:val="auto"/>
                <w:szCs w:val="21"/>
                <w:highlight w:val="none"/>
              </w:rPr>
              <w:t>进行评价：</w:t>
            </w:r>
          </w:p>
          <w:p w14:paraId="75C11E20">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阐述项目存在的重点难点；</w:t>
            </w:r>
          </w:p>
          <w:p w14:paraId="7DE7D51E">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根据项目重难点，详细阐述对应的应对措施；</w:t>
            </w:r>
          </w:p>
          <w:p w14:paraId="5D262BEE">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向招标方提出项目实施的合理化建议。</w:t>
            </w:r>
          </w:p>
          <w:p w14:paraId="1B2A7729">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w:t>
            </w:r>
            <w:r>
              <w:rPr>
                <w:rFonts w:hint="eastAsia" w:ascii="仿宋" w:hAnsi="仿宋" w:eastAsia="仿宋" w:cs="仿宋"/>
                <w:b/>
                <w:bCs/>
                <w:color w:val="auto"/>
                <w:szCs w:val="21"/>
                <w:highlight w:val="none"/>
              </w:rPr>
              <w:t>（二）评分标准</w:t>
            </w:r>
          </w:p>
          <w:p w14:paraId="0BE2A35C">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提供的方案满足以上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三</w:t>
            </w:r>
            <w:r>
              <w:rPr>
                <w:rFonts w:hint="eastAsia" w:ascii="仿宋" w:hAnsi="仿宋" w:eastAsia="仿宋" w:cs="仿宋"/>
                <w:color w:val="auto"/>
                <w:szCs w:val="21"/>
                <w:highlight w:val="none"/>
              </w:rPr>
              <w:t>项要求得</w:t>
            </w:r>
            <w:r>
              <w:rPr>
                <w:rFonts w:hint="eastAsia" w:ascii="仿宋" w:hAnsi="仿宋" w:eastAsia="仿宋" w:cs="仿宋"/>
                <w:color w:val="auto"/>
                <w:szCs w:val="21"/>
                <w:highlight w:val="none"/>
                <w:lang w:val="en-US" w:eastAsia="zh-CN"/>
              </w:rPr>
              <w:t>6分</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两</w:t>
            </w:r>
            <w:r>
              <w:rPr>
                <w:rFonts w:hint="eastAsia" w:ascii="仿宋" w:hAnsi="仿宋" w:eastAsia="仿宋" w:cs="仿宋"/>
                <w:color w:val="auto"/>
                <w:szCs w:val="21"/>
                <w:highlight w:val="none"/>
              </w:rPr>
              <w:t>项要求得</w:t>
            </w:r>
            <w:r>
              <w:rPr>
                <w:rFonts w:hint="eastAsia" w:ascii="仿宋" w:hAnsi="仿宋" w:eastAsia="仿宋" w:cs="仿宋"/>
                <w:color w:val="auto"/>
                <w:szCs w:val="21"/>
                <w:highlight w:val="none"/>
                <w:lang w:val="en-US" w:eastAsia="zh-CN"/>
              </w:rPr>
              <w:t>4分，</w:t>
            </w:r>
            <w:r>
              <w:rPr>
                <w:rFonts w:hint="eastAsia" w:ascii="仿宋" w:hAnsi="仿宋" w:eastAsia="仿宋" w:cs="仿宋"/>
                <w:color w:val="auto"/>
                <w:szCs w:val="21"/>
                <w:highlight w:val="none"/>
              </w:rPr>
              <w:t>满足以上</w:t>
            </w:r>
            <w:r>
              <w:rPr>
                <w:rFonts w:hint="eastAsia" w:ascii="仿宋" w:hAnsi="仿宋" w:eastAsia="仿宋" w:cs="仿宋"/>
                <w:color w:val="auto"/>
                <w:szCs w:val="21"/>
                <w:highlight w:val="none"/>
                <w:lang w:val="en-US"/>
              </w:rPr>
              <w:t>任意</w:t>
            </w:r>
            <w:r>
              <w:rPr>
                <w:rFonts w:hint="eastAsia" w:ascii="仿宋" w:hAnsi="仿宋" w:eastAsia="仿宋" w:cs="仿宋"/>
                <w:color w:val="auto"/>
                <w:szCs w:val="21"/>
                <w:highlight w:val="none"/>
                <w:lang w:val="en-US" w:eastAsia="zh-CN"/>
              </w:rPr>
              <w:t>一</w:t>
            </w:r>
            <w:r>
              <w:rPr>
                <w:rFonts w:hint="eastAsia" w:ascii="仿宋" w:hAnsi="仿宋" w:eastAsia="仿宋" w:cs="仿宋"/>
                <w:color w:val="auto"/>
                <w:szCs w:val="21"/>
                <w:highlight w:val="none"/>
              </w:rPr>
              <w:t>项要求得</w:t>
            </w:r>
            <w:r>
              <w:rPr>
                <w:rFonts w:hint="eastAsia" w:ascii="仿宋" w:hAnsi="仿宋" w:eastAsia="仿宋" w:cs="仿宋"/>
                <w:color w:val="auto"/>
                <w:szCs w:val="21"/>
                <w:highlight w:val="none"/>
                <w:lang w:val="en-US" w:eastAsia="zh-CN"/>
              </w:rPr>
              <w:t>2分，其它情况不得分。</w:t>
            </w:r>
          </w:p>
          <w:p w14:paraId="6E56197B">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在此基础上，由评审委员会对具体响应内容进一步评审：</w:t>
            </w:r>
          </w:p>
          <w:p w14:paraId="3F9D7F2F">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（1）评审为优：</w:t>
            </w:r>
            <w:r>
              <w:rPr>
                <w:rFonts w:hint="eastAsia" w:ascii="仿宋" w:hAnsi="仿宋" w:eastAsia="仿宋" w:cs="仿宋"/>
                <w:color w:val="auto"/>
                <w:szCs w:val="21"/>
                <w:highlight w:val="none"/>
                <w:lang w:val="en-US" w:eastAsia="zh-CN"/>
              </w:rPr>
              <w:t>根据民办学校的特点，结合民办学校的法律法规及政策文件，</w:t>
            </w:r>
            <w:r>
              <w:rPr>
                <w:rFonts w:hint="eastAsia" w:ascii="仿宋" w:hAnsi="仿宋" w:eastAsia="仿宋" w:cs="仿宋"/>
                <w:color w:val="auto"/>
                <w:szCs w:val="21"/>
                <w:highlight w:val="none"/>
              </w:rPr>
              <w:t>对项目认识理解透彻，重难点分析合理，对应解决方案可行性强，</w:t>
            </w:r>
            <w:r>
              <w:rPr>
                <w:rFonts w:hint="eastAsia" w:ascii="仿宋" w:hAnsi="仿宋" w:eastAsia="仿宋" w:cs="仿宋"/>
                <w:color w:val="auto"/>
                <w:szCs w:val="21"/>
                <w:highlight w:val="none"/>
                <w:lang w:val="en-US" w:eastAsia="zh-CN"/>
              </w:rPr>
              <w:t>得4</w:t>
            </w:r>
            <w:r>
              <w:rPr>
                <w:rFonts w:hint="eastAsia" w:ascii="仿宋" w:hAnsi="仿宋" w:eastAsia="仿宋" w:cs="仿宋"/>
                <w:color w:val="auto"/>
                <w:szCs w:val="21"/>
                <w:highlight w:val="none"/>
              </w:rPr>
              <w:t>分；</w:t>
            </w:r>
          </w:p>
          <w:p w14:paraId="5E0B4CAA">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（2）评审为良：</w:t>
            </w:r>
            <w:r>
              <w:rPr>
                <w:rFonts w:hint="eastAsia" w:ascii="仿宋" w:hAnsi="仿宋" w:eastAsia="仿宋" w:cs="仿宋"/>
                <w:color w:val="auto"/>
                <w:szCs w:val="21"/>
                <w:highlight w:val="none"/>
                <w:lang w:val="en-US" w:eastAsia="zh-CN"/>
              </w:rPr>
              <w:t>根据民办学校的特点，结合民办学校的法律法规及政策文件，</w:t>
            </w:r>
            <w:r>
              <w:rPr>
                <w:rFonts w:hint="eastAsia" w:ascii="仿宋" w:hAnsi="仿宋" w:eastAsia="仿宋" w:cs="仿宋"/>
                <w:color w:val="auto"/>
                <w:szCs w:val="21"/>
                <w:highlight w:val="none"/>
              </w:rPr>
              <w:t>对项目认识理解较透彻，重难点分析较合理，对应解决方案可行性较强，</w:t>
            </w:r>
            <w:r>
              <w:rPr>
                <w:rFonts w:hint="eastAsia" w:ascii="仿宋" w:hAnsi="仿宋" w:eastAsia="仿宋" w:cs="仿宋"/>
                <w:color w:val="auto"/>
                <w:szCs w:val="21"/>
                <w:highlight w:val="none"/>
                <w:lang w:val="en-US" w:eastAsia="zh-CN"/>
              </w:rPr>
              <w:t>得2</w:t>
            </w:r>
            <w:r>
              <w:rPr>
                <w:rFonts w:hint="eastAsia" w:ascii="仿宋" w:hAnsi="仿宋" w:eastAsia="仿宋" w:cs="仿宋"/>
                <w:color w:val="auto"/>
                <w:szCs w:val="21"/>
                <w:highlight w:val="none"/>
              </w:rPr>
              <w:t>分；</w:t>
            </w:r>
          </w:p>
          <w:p w14:paraId="1E28B96A">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（3）评审为中：</w:t>
            </w:r>
            <w:r>
              <w:rPr>
                <w:rFonts w:hint="eastAsia" w:ascii="仿宋" w:hAnsi="仿宋" w:eastAsia="仿宋" w:cs="仿宋"/>
                <w:color w:val="auto"/>
                <w:szCs w:val="21"/>
                <w:highlight w:val="none"/>
                <w:lang w:val="en-US" w:eastAsia="zh-CN"/>
              </w:rPr>
              <w:t>根据民办学校的特点，结合民办学校的法律法规及政策文件，</w:t>
            </w:r>
            <w:r>
              <w:rPr>
                <w:rFonts w:hint="eastAsia" w:ascii="仿宋" w:hAnsi="仿宋" w:eastAsia="仿宋" w:cs="仿宋"/>
                <w:color w:val="auto"/>
                <w:szCs w:val="21"/>
                <w:highlight w:val="none"/>
              </w:rPr>
              <w:t>对项目认识理解较浅显，重难点分析不够合理，对应解决方案可行性一般，</w:t>
            </w:r>
            <w:r>
              <w:rPr>
                <w:rFonts w:hint="eastAsia" w:ascii="仿宋" w:hAnsi="仿宋" w:eastAsia="仿宋" w:cs="仿宋"/>
                <w:color w:val="auto"/>
                <w:szCs w:val="21"/>
                <w:highlight w:val="none"/>
                <w:lang w:val="en-US" w:eastAsia="zh-CN"/>
              </w:rPr>
              <w:t>得1</w:t>
            </w:r>
            <w:r>
              <w:rPr>
                <w:rFonts w:hint="eastAsia" w:ascii="仿宋" w:hAnsi="仿宋" w:eastAsia="仿宋" w:cs="仿宋"/>
                <w:color w:val="auto"/>
                <w:szCs w:val="21"/>
                <w:highlight w:val="none"/>
              </w:rPr>
              <w:t>分；</w:t>
            </w:r>
          </w:p>
          <w:p w14:paraId="4508E97A">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（4）评审为差：</w:t>
            </w:r>
            <w:r>
              <w:rPr>
                <w:rFonts w:hint="eastAsia" w:ascii="仿宋" w:hAnsi="仿宋" w:eastAsia="仿宋" w:cs="仿宋"/>
                <w:color w:val="auto"/>
                <w:szCs w:val="21"/>
                <w:highlight w:val="none"/>
                <w:lang w:val="en-US" w:eastAsia="zh-CN"/>
              </w:rPr>
              <w:t>根据民办学校的特点，结合民办学校的法律法规及政策文件，</w:t>
            </w:r>
            <w:r>
              <w:rPr>
                <w:rFonts w:hint="eastAsia" w:ascii="仿宋" w:hAnsi="仿宋" w:eastAsia="仿宋" w:cs="仿宋"/>
                <w:color w:val="auto"/>
                <w:szCs w:val="21"/>
                <w:highlight w:val="none"/>
              </w:rPr>
              <w:t>对项目认识理解浅显，重难点分析不合理，对应解决方案可行性差，</w:t>
            </w:r>
            <w:r>
              <w:rPr>
                <w:rFonts w:hint="eastAsia" w:ascii="仿宋" w:hAnsi="仿宋" w:eastAsia="仿宋" w:cs="仿宋"/>
                <w:color w:val="auto"/>
                <w:szCs w:val="21"/>
                <w:highlight w:val="none"/>
                <w:lang w:val="en-US" w:eastAsia="zh-CN"/>
              </w:rPr>
              <w:t>得0分</w:t>
            </w:r>
            <w:r>
              <w:rPr>
                <w:rFonts w:hint="eastAsia" w:ascii="仿宋" w:hAnsi="仿宋" w:eastAsia="仿宋" w:cs="仿宋"/>
                <w:color w:val="auto"/>
                <w:szCs w:val="21"/>
                <w:highlight w:val="none"/>
              </w:rPr>
              <w:t>。</w:t>
            </w:r>
          </w:p>
        </w:tc>
      </w:tr>
      <w:tr w14:paraId="3EB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vMerge w:val="continue"/>
            <w:noWrap w:val="0"/>
            <w:vAlign w:val="top"/>
          </w:tcPr>
          <w:p w14:paraId="37C1B5D9">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3B215495">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133" w:type="dxa"/>
            <w:gridSpan w:val="2"/>
            <w:noWrap w:val="0"/>
            <w:vAlign w:val="center"/>
          </w:tcPr>
          <w:p w14:paraId="6EDD4AF1">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质量保障措施及方案</w:t>
            </w:r>
          </w:p>
        </w:tc>
        <w:tc>
          <w:tcPr>
            <w:tcW w:w="719" w:type="dxa"/>
            <w:gridSpan w:val="2"/>
            <w:noWrap w:val="0"/>
            <w:vAlign w:val="center"/>
          </w:tcPr>
          <w:p w14:paraId="4F33F254">
            <w:pPr>
              <w:keepNext w:val="0"/>
              <w:keepLines w:val="0"/>
              <w:pageBreakBefore w:val="0"/>
              <w:kinsoku/>
              <w:overflowPunct/>
              <w:topLinePunct w:val="0"/>
              <w:autoSpaceDE/>
              <w:autoSpaceDN/>
              <w:bidi w:val="0"/>
              <w:spacing w:line="560" w:lineRule="exact"/>
              <w:jc w:val="center"/>
              <w:rPr>
                <w:rFonts w:hint="default"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10</w:t>
            </w:r>
          </w:p>
        </w:tc>
        <w:tc>
          <w:tcPr>
            <w:tcW w:w="705" w:type="dxa"/>
            <w:noWrap w:val="0"/>
            <w:vAlign w:val="center"/>
          </w:tcPr>
          <w:p w14:paraId="3DB1F78A">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专家打分</w:t>
            </w:r>
          </w:p>
        </w:tc>
        <w:tc>
          <w:tcPr>
            <w:tcW w:w="5935" w:type="dxa"/>
            <w:noWrap w:val="0"/>
            <w:vAlign w:val="top"/>
          </w:tcPr>
          <w:p w14:paraId="65A614F4">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（一）评审内容</w:t>
            </w:r>
          </w:p>
          <w:p w14:paraId="4820220F">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根据投标人对本项目提供的质量保障措施及方案进行评价：</w:t>
            </w:r>
          </w:p>
          <w:p w14:paraId="19960BDD">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分阶段项目时间安排、工作进度与阶段性成果；</w:t>
            </w:r>
          </w:p>
          <w:p w14:paraId="2D135D85">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为保障按时按质完成项目所制定的时间管理制度与措施、质量管理制度与措施；</w:t>
            </w:r>
          </w:p>
          <w:p w14:paraId="15F1A0BD">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突发情况下的应急保障措施及方案</w:t>
            </w:r>
            <w:r>
              <w:rPr>
                <w:rFonts w:hint="eastAsia" w:ascii="仿宋" w:hAnsi="仿宋" w:eastAsia="仿宋" w:cs="仿宋"/>
                <w:color w:val="auto"/>
                <w:szCs w:val="21"/>
                <w:highlight w:val="none"/>
                <w:lang w:eastAsia="zh-CN"/>
              </w:rPr>
              <w:t>。</w:t>
            </w:r>
          </w:p>
          <w:p w14:paraId="15F2D0B7">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（二）评分标准</w:t>
            </w:r>
          </w:p>
          <w:p w14:paraId="5E7754F6">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1、提供的方案满足以上三点的得6分，满足任意两点的得4分，满足任意一点的得2分，其它情况不得分。</w:t>
            </w:r>
          </w:p>
          <w:p w14:paraId="5C4ABB08">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2、在此基础上，由评审委员会对具体响应内容进一步评审：</w:t>
            </w:r>
          </w:p>
          <w:p w14:paraId="12B9BDED">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（1）评审为优：方案全面，科学合理，保证措施可行性强，应急措施全面周到，得4分；</w:t>
            </w:r>
          </w:p>
          <w:p w14:paraId="5A848F84">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（2）评审为良：方案较全面，较科学合理，保证措施可行性较强，应急措施较全面周到，</w:t>
            </w:r>
            <w:r>
              <w:rPr>
                <w:rFonts w:hint="eastAsia" w:ascii="仿宋" w:hAnsi="仿宋" w:eastAsia="仿宋" w:cs="仿宋"/>
                <w:color w:val="auto"/>
                <w:szCs w:val="21"/>
                <w:highlight w:val="none"/>
                <w:lang w:val="en-US" w:eastAsia="zh-CN"/>
              </w:rPr>
              <w:t>得2</w:t>
            </w:r>
            <w:r>
              <w:rPr>
                <w:rFonts w:hint="eastAsia" w:ascii="仿宋" w:hAnsi="仿宋" w:eastAsia="仿宋" w:cs="仿宋"/>
                <w:color w:val="auto"/>
                <w:szCs w:val="21"/>
                <w:highlight w:val="none"/>
              </w:rPr>
              <w:t>分；</w:t>
            </w:r>
          </w:p>
          <w:p w14:paraId="39819BFC">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（3）评审为中：方案不够全面，科学合理性一般，保证措施可行性一般，应急措施基本到位，</w:t>
            </w:r>
            <w:r>
              <w:rPr>
                <w:rFonts w:hint="eastAsia" w:ascii="仿宋" w:hAnsi="仿宋" w:eastAsia="仿宋" w:cs="仿宋"/>
                <w:color w:val="auto"/>
                <w:szCs w:val="21"/>
                <w:highlight w:val="none"/>
                <w:lang w:val="en-US" w:eastAsia="zh-CN"/>
              </w:rPr>
              <w:t>得1</w:t>
            </w:r>
            <w:r>
              <w:rPr>
                <w:rFonts w:hint="eastAsia" w:ascii="仿宋" w:hAnsi="仿宋" w:eastAsia="仿宋" w:cs="仿宋"/>
                <w:color w:val="auto"/>
                <w:szCs w:val="21"/>
                <w:highlight w:val="none"/>
              </w:rPr>
              <w:t>分；</w:t>
            </w:r>
          </w:p>
          <w:p w14:paraId="4C7B1BDD">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（4）评审为差：方案不全面，不科学合理，保证措施可行性差，应急措施不到位，</w:t>
            </w:r>
            <w:r>
              <w:rPr>
                <w:rFonts w:hint="eastAsia" w:ascii="仿宋" w:hAnsi="仿宋" w:eastAsia="仿宋" w:cs="仿宋"/>
                <w:color w:val="auto"/>
                <w:szCs w:val="21"/>
                <w:highlight w:val="none"/>
                <w:lang w:val="en-US" w:eastAsia="zh-CN"/>
              </w:rPr>
              <w:t>得0分</w:t>
            </w:r>
            <w:r>
              <w:rPr>
                <w:rFonts w:hint="eastAsia" w:ascii="仿宋" w:hAnsi="仿宋" w:eastAsia="仿宋" w:cs="仿宋"/>
                <w:color w:val="auto"/>
                <w:szCs w:val="21"/>
                <w:highlight w:val="none"/>
              </w:rPr>
              <w:t>。</w:t>
            </w:r>
          </w:p>
        </w:tc>
      </w:tr>
      <w:tr w14:paraId="49FA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vMerge w:val="continue"/>
            <w:noWrap w:val="0"/>
            <w:vAlign w:val="top"/>
          </w:tcPr>
          <w:p w14:paraId="430CCA23">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0FE046AD">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133" w:type="dxa"/>
            <w:gridSpan w:val="2"/>
            <w:noWrap w:val="0"/>
            <w:vAlign w:val="center"/>
          </w:tcPr>
          <w:p w14:paraId="5DB92AE7">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项目完成（服务期满）后的服务承诺</w:t>
            </w:r>
          </w:p>
        </w:tc>
        <w:tc>
          <w:tcPr>
            <w:tcW w:w="719" w:type="dxa"/>
            <w:gridSpan w:val="2"/>
            <w:noWrap w:val="0"/>
            <w:vAlign w:val="center"/>
          </w:tcPr>
          <w:p w14:paraId="2515A50C">
            <w:pPr>
              <w:keepNext w:val="0"/>
              <w:keepLines w:val="0"/>
              <w:pageBreakBefore w:val="0"/>
              <w:kinsoku/>
              <w:overflowPunct/>
              <w:topLinePunct w:val="0"/>
              <w:autoSpaceDE/>
              <w:autoSpaceDN/>
              <w:bidi w:val="0"/>
              <w:spacing w:line="560" w:lineRule="exact"/>
              <w:jc w:val="center"/>
              <w:rPr>
                <w:rFonts w:hint="default"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5</w:t>
            </w:r>
          </w:p>
        </w:tc>
        <w:tc>
          <w:tcPr>
            <w:tcW w:w="705" w:type="dxa"/>
            <w:noWrap w:val="0"/>
            <w:vAlign w:val="center"/>
          </w:tcPr>
          <w:p w14:paraId="2F744F21">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专家打分</w:t>
            </w:r>
          </w:p>
        </w:tc>
        <w:tc>
          <w:tcPr>
            <w:tcW w:w="5935" w:type="dxa"/>
            <w:noWrap w:val="0"/>
            <w:vAlign w:val="top"/>
          </w:tcPr>
          <w:p w14:paraId="276E5A54">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（一）评审内容</w:t>
            </w:r>
          </w:p>
          <w:p w14:paraId="4AF67922">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根据招标文件要求，投标人提供项目完成（服务期满）后的服务承诺函，承诺函格式自拟，包括以下三项内容：</w:t>
            </w:r>
          </w:p>
          <w:p w14:paraId="033FCC7C">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底稿的存档</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转交及保密</w:t>
            </w:r>
            <w:r>
              <w:rPr>
                <w:rFonts w:hint="eastAsia" w:ascii="仿宋" w:hAnsi="仿宋" w:eastAsia="仿宋" w:cs="仿宋"/>
                <w:color w:val="auto"/>
                <w:szCs w:val="21"/>
                <w:highlight w:val="none"/>
              </w:rPr>
              <w:t>工作；</w:t>
            </w:r>
          </w:p>
          <w:p w14:paraId="06DB6C1E">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做好后续交接配合工作；</w:t>
            </w:r>
          </w:p>
          <w:p w14:paraId="2CC70408">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服务期满，继续</w:t>
            </w:r>
            <w:r>
              <w:rPr>
                <w:rFonts w:hint="eastAsia" w:ascii="仿宋" w:hAnsi="仿宋" w:eastAsia="仿宋" w:cs="仿宋"/>
                <w:color w:val="auto"/>
                <w:szCs w:val="21"/>
                <w:highlight w:val="none"/>
                <w:lang w:val="en-US" w:eastAsia="zh-CN"/>
              </w:rPr>
              <w:t>向采购单位和被复审学校</w:t>
            </w:r>
            <w:r>
              <w:rPr>
                <w:rFonts w:hint="eastAsia" w:ascii="仿宋" w:hAnsi="仿宋" w:eastAsia="仿宋" w:cs="仿宋"/>
                <w:color w:val="auto"/>
                <w:szCs w:val="21"/>
                <w:highlight w:val="none"/>
              </w:rPr>
              <w:t>提供项目相关的服务。</w:t>
            </w:r>
          </w:p>
          <w:p w14:paraId="0E600DC3">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（二）评分标准</w:t>
            </w:r>
          </w:p>
          <w:p w14:paraId="12524725">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提供的承诺包含以上三点的得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分，未包含完整的不得分。</w:t>
            </w:r>
          </w:p>
        </w:tc>
      </w:tr>
      <w:tr w14:paraId="1EE9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noWrap w:val="0"/>
            <w:vAlign w:val="top"/>
          </w:tcPr>
          <w:p w14:paraId="5F078455">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500B47AA">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133" w:type="dxa"/>
            <w:gridSpan w:val="2"/>
            <w:noWrap w:val="0"/>
            <w:vAlign w:val="center"/>
          </w:tcPr>
          <w:p w14:paraId="775F9CD7">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项目负责人资历评价（仅限一人）</w:t>
            </w:r>
          </w:p>
        </w:tc>
        <w:tc>
          <w:tcPr>
            <w:tcW w:w="719" w:type="dxa"/>
            <w:gridSpan w:val="2"/>
            <w:noWrap w:val="0"/>
            <w:vAlign w:val="center"/>
          </w:tcPr>
          <w:p w14:paraId="6B494223">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b w:val="0"/>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10</w:t>
            </w:r>
          </w:p>
        </w:tc>
        <w:tc>
          <w:tcPr>
            <w:tcW w:w="705" w:type="dxa"/>
            <w:noWrap w:val="0"/>
            <w:vAlign w:val="center"/>
          </w:tcPr>
          <w:p w14:paraId="71B44CDD">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color w:val="auto"/>
                <w:szCs w:val="21"/>
                <w:highlight w:val="none"/>
              </w:rPr>
            </w:pPr>
            <w:r>
              <w:rPr>
                <w:rFonts w:hint="eastAsia" w:ascii="仿宋" w:hAnsi="仿宋" w:eastAsia="仿宋" w:cs="仿宋"/>
                <w:bCs/>
                <w:color w:val="auto"/>
                <w:highlight w:val="none"/>
              </w:rPr>
              <w:t>专家打分</w:t>
            </w:r>
          </w:p>
        </w:tc>
        <w:tc>
          <w:tcPr>
            <w:tcW w:w="5935" w:type="dxa"/>
            <w:noWrap w:val="0"/>
            <w:vAlign w:val="top"/>
          </w:tcPr>
          <w:p w14:paraId="56000326">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一）</w:t>
            </w:r>
            <w:r>
              <w:rPr>
                <w:rFonts w:hint="eastAsia" w:ascii="仿宋" w:hAnsi="仿宋" w:eastAsia="仿宋" w:cs="仿宋"/>
                <w:b/>
                <w:bCs/>
                <w:color w:val="auto"/>
                <w:szCs w:val="21"/>
                <w:highlight w:val="none"/>
              </w:rPr>
              <w:t>评审内容</w:t>
            </w:r>
          </w:p>
          <w:p w14:paraId="147C4EC7">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拟安排项目负责人（仅限一人）为投标人自有员工（以社保为准），不满足此项要求的，本项不得分，在此基础上：</w:t>
            </w:r>
          </w:p>
          <w:p w14:paraId="5E1979B9">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具有本科</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rPr>
              <w:t>以上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学历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2分</w:t>
            </w:r>
            <w:r>
              <w:rPr>
                <w:rFonts w:hint="eastAsia" w:ascii="仿宋" w:hAnsi="仿宋" w:eastAsia="仿宋" w:cs="仿宋"/>
                <w:color w:val="auto"/>
                <w:szCs w:val="21"/>
                <w:highlight w:val="none"/>
              </w:rPr>
              <w:t>；</w:t>
            </w:r>
          </w:p>
          <w:p w14:paraId="70F0484F">
            <w:pPr>
              <w:keepNext w:val="0"/>
              <w:keepLines w:val="0"/>
              <w:pageBreakBefore w:val="0"/>
              <w:kinsoku/>
              <w:overflowPunct/>
              <w:topLinePunct w:val="0"/>
              <w:autoSpaceDE/>
              <w:autoSpaceDN/>
              <w:bidi w:val="0"/>
              <w:spacing w:line="5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具</w:t>
            </w:r>
            <w:r>
              <w:rPr>
                <w:rFonts w:hint="eastAsia" w:ascii="仿宋" w:hAnsi="仿宋" w:eastAsia="仿宋" w:cs="仿宋"/>
                <w:color w:val="auto"/>
                <w:szCs w:val="21"/>
                <w:highlight w:val="none"/>
                <w:lang w:eastAsia="zh-CN"/>
              </w:rPr>
              <w:t>有</w:t>
            </w:r>
            <w:r>
              <w:rPr>
                <w:rFonts w:hint="eastAsia" w:ascii="仿宋" w:hAnsi="仿宋" w:eastAsia="仿宋" w:cs="仿宋"/>
                <w:color w:val="auto"/>
                <w:szCs w:val="21"/>
                <w:highlight w:val="none"/>
                <w:lang w:val="en-US" w:eastAsia="zh-CN"/>
              </w:rPr>
              <w:t>注册会计师执业年限：</w:t>
            </w:r>
          </w:p>
          <w:p w14:paraId="60802351">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（1）执业年限＜5年，得2分；</w:t>
            </w:r>
          </w:p>
          <w:p w14:paraId="0A0FF7CE">
            <w:pPr>
              <w:keepNext w:val="0"/>
              <w:keepLines w:val="0"/>
              <w:pageBreakBefore w:val="0"/>
              <w:kinsoku/>
              <w:overflowPunct/>
              <w:topLinePunct w:val="0"/>
              <w:autoSpaceDE/>
              <w:autoSpaceDN/>
              <w:bidi w:val="0"/>
              <w:spacing w:line="5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（2）5年≤执业年限≤10年，得5分；</w:t>
            </w:r>
          </w:p>
          <w:p w14:paraId="1E93A3DB">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（3）执业年限＞10年，得8分；</w:t>
            </w:r>
          </w:p>
          <w:p w14:paraId="5E47BE89">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本小项累计最高得8分。</w:t>
            </w:r>
          </w:p>
          <w:p w14:paraId="76F4C956">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本</w:t>
            </w:r>
            <w:r>
              <w:rPr>
                <w:rFonts w:hint="eastAsia" w:ascii="仿宋" w:hAnsi="仿宋" w:eastAsia="仿宋" w:cs="仿宋"/>
                <w:color w:val="auto"/>
                <w:szCs w:val="21"/>
                <w:highlight w:val="none"/>
              </w:rPr>
              <w:t>项最高得</w:t>
            </w:r>
            <w:r>
              <w:rPr>
                <w:rFonts w:hint="eastAsia" w:ascii="仿宋" w:hAnsi="仿宋" w:eastAsia="仿宋" w:cs="仿宋"/>
                <w:color w:val="auto"/>
                <w:szCs w:val="21"/>
                <w:highlight w:val="none"/>
                <w:lang w:val="en-US" w:eastAsia="zh-CN"/>
              </w:rPr>
              <w:t>10分</w:t>
            </w:r>
            <w:r>
              <w:rPr>
                <w:rFonts w:hint="eastAsia" w:ascii="仿宋" w:hAnsi="仿宋" w:eastAsia="仿宋" w:cs="仿宋"/>
                <w:color w:val="auto"/>
                <w:szCs w:val="21"/>
                <w:highlight w:val="none"/>
              </w:rPr>
              <w:t>。</w:t>
            </w:r>
          </w:p>
          <w:p w14:paraId="78A545F2">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二）</w:t>
            </w:r>
            <w:r>
              <w:rPr>
                <w:rFonts w:hint="eastAsia" w:ascii="仿宋" w:hAnsi="仿宋" w:eastAsia="仿宋" w:cs="仿宋"/>
                <w:b/>
                <w:bCs/>
                <w:color w:val="auto"/>
                <w:szCs w:val="21"/>
                <w:highlight w:val="none"/>
                <w:lang w:eastAsia="zh-CN"/>
              </w:rPr>
              <w:t>评分标准</w:t>
            </w:r>
          </w:p>
          <w:p w14:paraId="091810B8">
            <w:pPr>
              <w:pStyle w:val="4"/>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b w:val="0"/>
                <w:bCs w:val="0"/>
                <w:color w:val="auto"/>
                <w:kern w:val="2"/>
                <w:sz w:val="21"/>
                <w:szCs w:val="21"/>
                <w:highlight w:val="none"/>
                <w:lang w:val="en-US" w:eastAsia="zh-CN" w:bidi="ar-SA"/>
              </w:rPr>
              <w:t>1、</w:t>
            </w:r>
            <w:r>
              <w:rPr>
                <w:rFonts w:hint="eastAsia" w:ascii="仿宋" w:hAnsi="仿宋" w:eastAsia="仿宋" w:cs="仿宋"/>
                <w:b w:val="0"/>
                <w:bCs w:val="0"/>
                <w:color w:val="auto"/>
                <w:kern w:val="2"/>
                <w:sz w:val="21"/>
                <w:szCs w:val="21"/>
                <w:highlight w:val="none"/>
                <w:lang w:val="zh-CN" w:eastAsia="zh-CN" w:bidi="ar-SA"/>
              </w:rPr>
              <w:t>提供学历证书和学信网查询记录（如学信网无法查询的，还需提供毕业院校、人社部门等颁发机构或监管机构等单位出具的证明作为得分依据）。留学归国人员如无法提供学信网查询记录截图，提供国（境）外学历证书（以及中文翻译件）和教育部留学服务中心出具的国外学历学位认证书</w:t>
            </w:r>
            <w:r>
              <w:rPr>
                <w:rFonts w:hint="eastAsia" w:ascii="仿宋" w:hAnsi="仿宋" w:eastAsia="仿宋" w:cs="仿宋"/>
                <w:b w:val="0"/>
                <w:bCs w:val="0"/>
                <w:color w:val="auto"/>
                <w:kern w:val="2"/>
                <w:sz w:val="21"/>
                <w:szCs w:val="21"/>
                <w:highlight w:val="none"/>
                <w:lang w:val="en-US" w:eastAsia="zh-CN" w:bidi="ar-SA"/>
              </w:rPr>
              <w:t>材料</w:t>
            </w:r>
            <w:r>
              <w:rPr>
                <w:rFonts w:hint="eastAsia" w:ascii="仿宋" w:hAnsi="仿宋" w:eastAsia="仿宋" w:cs="仿宋"/>
                <w:b w:val="0"/>
                <w:bCs w:val="0"/>
                <w:color w:val="auto"/>
                <w:kern w:val="2"/>
                <w:sz w:val="21"/>
                <w:szCs w:val="21"/>
                <w:highlight w:val="none"/>
                <w:lang w:val="zh-CN" w:eastAsia="zh-CN" w:bidi="ar-SA"/>
              </w:rPr>
              <w:t>，或教育部留学服务中心网站（http://zwfw.cscse.edu.cn/）在线查询截图也予以认可。</w:t>
            </w:r>
          </w:p>
          <w:p w14:paraId="6F5EDC3A">
            <w:pPr>
              <w:keepNext w:val="0"/>
              <w:keepLines w:val="0"/>
              <w:pageBreakBefore w:val="0"/>
              <w:kinsoku/>
              <w:wordWrap w:val="0"/>
              <w:overflowPunct/>
              <w:topLinePunct w:val="0"/>
              <w:autoSpaceDE/>
              <w:autoSpaceDN/>
              <w:bidi w:val="0"/>
              <w:spacing w:line="560" w:lineRule="exact"/>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b w:val="0"/>
                <w:bCs w:val="0"/>
                <w:color w:val="auto"/>
                <w:kern w:val="2"/>
                <w:sz w:val="21"/>
                <w:szCs w:val="21"/>
                <w:highlight w:val="none"/>
                <w:lang w:val="zh-CN" w:eastAsia="zh-CN" w:bidi="ar-SA"/>
              </w:rPr>
              <w:t>提供</w:t>
            </w:r>
            <w:r>
              <w:rPr>
                <w:rFonts w:hint="eastAsia" w:ascii="仿宋" w:hAnsi="仿宋" w:eastAsia="仿宋" w:cs="仿宋"/>
                <w:b w:val="0"/>
                <w:bCs w:val="0"/>
                <w:color w:val="auto"/>
                <w:kern w:val="2"/>
                <w:sz w:val="21"/>
                <w:szCs w:val="21"/>
                <w:highlight w:val="none"/>
                <w:lang w:val="en-US" w:eastAsia="zh-CN" w:bidi="ar-SA"/>
              </w:rPr>
              <w:t>注册会计师执业</w:t>
            </w:r>
            <w:r>
              <w:rPr>
                <w:rFonts w:hint="eastAsia" w:ascii="仿宋" w:hAnsi="仿宋" w:eastAsia="仿宋" w:cs="仿宋"/>
                <w:b w:val="0"/>
                <w:bCs w:val="0"/>
                <w:color w:val="auto"/>
                <w:kern w:val="2"/>
                <w:sz w:val="21"/>
                <w:szCs w:val="21"/>
                <w:highlight w:val="none"/>
                <w:lang w:val="zh-CN" w:eastAsia="zh-CN" w:bidi="ar-SA"/>
              </w:rPr>
              <w:t>证书</w:t>
            </w:r>
            <w:r>
              <w:rPr>
                <w:rFonts w:hint="eastAsia" w:ascii="仿宋" w:hAnsi="仿宋" w:eastAsia="仿宋" w:cs="仿宋"/>
                <w:b w:val="0"/>
                <w:bCs w:val="0"/>
                <w:color w:val="auto"/>
                <w:kern w:val="2"/>
                <w:sz w:val="21"/>
                <w:szCs w:val="21"/>
                <w:highlight w:val="none"/>
                <w:lang w:val="en-US" w:eastAsia="zh-CN" w:bidi="ar-SA"/>
              </w:rPr>
              <w:t>和</w:t>
            </w:r>
            <w:r>
              <w:rPr>
                <w:rFonts w:hint="eastAsia" w:ascii="仿宋" w:hAnsi="仿宋" w:eastAsia="仿宋" w:cs="仿宋"/>
                <w:b w:val="0"/>
                <w:bCs w:val="0"/>
                <w:color w:val="auto"/>
                <w:kern w:val="2"/>
                <w:sz w:val="21"/>
                <w:szCs w:val="21"/>
                <w:highlight w:val="none"/>
                <w:lang w:val="zh-CN" w:eastAsia="zh-CN" w:bidi="ar-SA"/>
              </w:rPr>
              <w:t>“中国注册会计师协会行业管理信息系统”中“注册会计师信息”查询结果（查询网址：</w:t>
            </w:r>
            <w:r>
              <w:rPr>
                <w:rFonts w:hint="eastAsia" w:ascii="仿宋" w:hAnsi="仿宋" w:eastAsia="仿宋" w:cs="仿宋"/>
                <w:b w:val="0"/>
                <w:bCs w:val="0"/>
                <w:color w:val="auto"/>
                <w:kern w:val="2"/>
                <w:sz w:val="21"/>
                <w:szCs w:val="21"/>
                <w:highlight w:val="none"/>
                <w:lang w:val="zh-CN" w:eastAsia="zh-CN" w:bidi="ar-SA"/>
              </w:rPr>
              <w:fldChar w:fldCharType="begin"/>
            </w:r>
            <w:r>
              <w:rPr>
                <w:rFonts w:hint="eastAsia" w:ascii="仿宋" w:hAnsi="仿宋" w:eastAsia="仿宋" w:cs="仿宋"/>
                <w:b w:val="0"/>
                <w:bCs w:val="0"/>
                <w:color w:val="auto"/>
                <w:kern w:val="2"/>
                <w:sz w:val="21"/>
                <w:szCs w:val="21"/>
                <w:highlight w:val="none"/>
                <w:lang w:val="zh-CN" w:eastAsia="zh-CN" w:bidi="ar-SA"/>
              </w:rPr>
              <w:instrText xml:space="preserve"> HYPERLINK "https://cmis.cicpa.org.cn/#/login），原件备查。" </w:instrText>
            </w:r>
            <w:r>
              <w:rPr>
                <w:rFonts w:hint="eastAsia" w:ascii="仿宋" w:hAnsi="仿宋" w:eastAsia="仿宋" w:cs="仿宋"/>
                <w:b w:val="0"/>
                <w:bCs w:val="0"/>
                <w:color w:val="auto"/>
                <w:kern w:val="2"/>
                <w:sz w:val="21"/>
                <w:szCs w:val="21"/>
                <w:highlight w:val="none"/>
                <w:lang w:val="zh-CN" w:eastAsia="zh-CN" w:bidi="ar-SA"/>
              </w:rPr>
              <w:fldChar w:fldCharType="separate"/>
            </w:r>
            <w:r>
              <w:rPr>
                <w:rFonts w:hint="eastAsia" w:ascii="仿宋" w:hAnsi="仿宋" w:eastAsia="仿宋" w:cs="仿宋"/>
                <w:b w:val="0"/>
                <w:bCs w:val="0"/>
                <w:color w:val="auto"/>
                <w:kern w:val="2"/>
                <w:sz w:val="21"/>
                <w:szCs w:val="21"/>
                <w:highlight w:val="none"/>
                <w:lang w:val="zh-CN" w:eastAsia="zh-CN" w:bidi="ar-SA"/>
              </w:rPr>
              <w:t>https://cmis.cicpa.org.cn/#/login）。</w:t>
            </w:r>
            <w:r>
              <w:rPr>
                <w:rFonts w:hint="eastAsia" w:ascii="仿宋" w:hAnsi="仿宋" w:eastAsia="仿宋" w:cs="仿宋"/>
                <w:b w:val="0"/>
                <w:bCs w:val="0"/>
                <w:color w:val="auto"/>
                <w:kern w:val="2"/>
                <w:sz w:val="21"/>
                <w:szCs w:val="21"/>
                <w:highlight w:val="none"/>
                <w:lang w:val="zh-CN" w:eastAsia="zh-CN" w:bidi="ar-SA"/>
              </w:rPr>
              <w:fldChar w:fldCharType="end"/>
            </w:r>
          </w:p>
          <w:p w14:paraId="385C02D8">
            <w:pPr>
              <w:keepNext w:val="0"/>
              <w:keepLines w:val="0"/>
              <w:pageBreakBefore w:val="0"/>
              <w:kinsoku/>
              <w:wordWrap w:val="0"/>
              <w:overflowPunct/>
              <w:topLinePunct w:val="0"/>
              <w:autoSpaceDE/>
              <w:autoSpaceDN/>
              <w:bidi w:val="0"/>
              <w:spacing w:line="560" w:lineRule="exact"/>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b w:val="0"/>
                <w:bCs w:val="0"/>
                <w:color w:val="auto"/>
                <w:kern w:val="2"/>
                <w:sz w:val="21"/>
                <w:szCs w:val="21"/>
                <w:highlight w:val="none"/>
                <w:lang w:val="en-US" w:eastAsia="zh-CN" w:bidi="ar-SA"/>
              </w:rPr>
              <w:t>备注：</w:t>
            </w:r>
            <w:r>
              <w:rPr>
                <w:rFonts w:hint="eastAsia" w:ascii="仿宋" w:hAnsi="仿宋" w:eastAsia="仿宋" w:cs="仿宋"/>
                <w:b w:val="0"/>
                <w:bCs w:val="0"/>
                <w:color w:val="auto"/>
                <w:kern w:val="2"/>
                <w:sz w:val="21"/>
                <w:szCs w:val="21"/>
                <w:highlight w:val="none"/>
                <w:lang w:val="zh-CN" w:eastAsia="zh-CN" w:bidi="ar-SA"/>
              </w:rPr>
              <w:t>关于注册会计师执业年限执业证明材料，如注册会计师执业证发证日期年限满足评分要求则提供注册会计师执业证即可；如注册会计师执业证因换新证原因发证日期变动则须同时提供由区级（含区级）以上行政主管或相关协会出具的相关年限证明文件。注册会计师执业年限以执业证发证时间计算。</w:t>
            </w:r>
          </w:p>
          <w:p w14:paraId="1B7C04EC">
            <w:pPr>
              <w:keepNext w:val="0"/>
              <w:keepLines w:val="0"/>
              <w:pageBreakBefore w:val="0"/>
              <w:kinsoku/>
              <w:wordWrap w:val="0"/>
              <w:overflowPunct/>
              <w:topLinePunct w:val="0"/>
              <w:autoSpaceDE/>
              <w:autoSpaceDN/>
              <w:bidi w:val="0"/>
              <w:spacing w:line="560" w:lineRule="exact"/>
              <w:rPr>
                <w:rFonts w:hint="eastAsia" w:ascii="宋体" w:hAnsi="宋体" w:eastAsia="宋体" w:cs="宋体"/>
                <w:color w:val="auto"/>
                <w:sz w:val="24"/>
                <w:szCs w:val="24"/>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rPr>
              <w:t>提供近一个月投标人为其购买的社保证明材料，</w:t>
            </w:r>
            <w:r>
              <w:rPr>
                <w:rFonts w:hint="eastAsia" w:ascii="仿宋" w:hAnsi="仿宋" w:eastAsia="仿宋" w:cs="仿宋"/>
                <w:color w:val="auto"/>
                <w:szCs w:val="21"/>
                <w:highlight w:val="none"/>
              </w:rPr>
              <w:t>（证明资料可为社保收缴部门盖章证明资料、社保窗口打印资料或社保官网截图）。如投标截止日上一个月的社保材料因社保部门原因暂时无法取得，则可以往前顺延一个月，</w:t>
            </w:r>
            <w:r>
              <w:rPr>
                <w:rFonts w:hint="eastAsia" w:ascii="仿宋" w:hAnsi="仿宋" w:eastAsia="仿宋" w:cs="仿宋"/>
                <w:color w:val="auto"/>
                <w:szCs w:val="21"/>
                <w:highlight w:val="none"/>
                <w:lang w:val="zh-CN"/>
              </w:rPr>
              <w:t>如投标人注册成立时间不足一个月的，可提供承诺函（格式自拟）。</w:t>
            </w:r>
          </w:p>
          <w:p w14:paraId="65CA284C">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以上证明材料原件备查，未按要求提供或提供不清晰导致专家无法判断的不得分。</w:t>
            </w:r>
          </w:p>
        </w:tc>
      </w:tr>
      <w:tr w14:paraId="10F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noWrap w:val="0"/>
            <w:vAlign w:val="top"/>
          </w:tcPr>
          <w:p w14:paraId="3FF61DED">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4830A095">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133" w:type="dxa"/>
            <w:gridSpan w:val="2"/>
            <w:noWrap w:val="0"/>
            <w:vAlign w:val="center"/>
          </w:tcPr>
          <w:p w14:paraId="04AFA817">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复审小组长资历评价（项目负责人除外）</w:t>
            </w:r>
          </w:p>
        </w:tc>
        <w:tc>
          <w:tcPr>
            <w:tcW w:w="719" w:type="dxa"/>
            <w:gridSpan w:val="2"/>
            <w:noWrap w:val="0"/>
            <w:vAlign w:val="center"/>
          </w:tcPr>
          <w:p w14:paraId="024FBC8D">
            <w:pPr>
              <w:keepNext w:val="0"/>
              <w:keepLines w:val="0"/>
              <w:pageBreakBefore w:val="0"/>
              <w:kinsoku/>
              <w:overflowPunct/>
              <w:topLinePunct w:val="0"/>
              <w:autoSpaceDE/>
              <w:autoSpaceDN/>
              <w:bidi w:val="0"/>
              <w:spacing w:after="60" w:line="560" w:lineRule="exact"/>
              <w:jc w:val="center"/>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15</w:t>
            </w:r>
          </w:p>
        </w:tc>
        <w:tc>
          <w:tcPr>
            <w:tcW w:w="705" w:type="dxa"/>
            <w:noWrap w:val="0"/>
            <w:vAlign w:val="center"/>
          </w:tcPr>
          <w:p w14:paraId="5A254124">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专家打分</w:t>
            </w:r>
          </w:p>
        </w:tc>
        <w:tc>
          <w:tcPr>
            <w:tcW w:w="5935" w:type="dxa"/>
            <w:noWrap w:val="0"/>
            <w:vAlign w:val="top"/>
          </w:tcPr>
          <w:p w14:paraId="55A0F113">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一）评审内容</w:t>
            </w:r>
          </w:p>
          <w:p w14:paraId="00957924">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拟安排复审</w:t>
            </w:r>
            <w:r>
              <w:rPr>
                <w:rFonts w:hint="eastAsia" w:ascii="仿宋" w:hAnsi="仿宋" w:eastAsia="仿宋" w:cs="仿宋"/>
                <w:color w:val="auto"/>
                <w:szCs w:val="21"/>
                <w:highlight w:val="none"/>
                <w:lang w:val="zh-CN"/>
              </w:rPr>
              <w:t>小组长</w:t>
            </w:r>
            <w:r>
              <w:rPr>
                <w:rFonts w:hint="eastAsia" w:ascii="仿宋" w:hAnsi="仿宋" w:eastAsia="仿宋" w:cs="仿宋"/>
                <w:color w:val="auto"/>
                <w:szCs w:val="21"/>
                <w:highlight w:val="none"/>
                <w:lang w:val="en-US" w:eastAsia="zh-CN"/>
              </w:rPr>
              <w:t>及团队成员为</w:t>
            </w:r>
            <w:r>
              <w:rPr>
                <w:rFonts w:hint="eastAsia" w:ascii="仿宋" w:hAnsi="仿宋" w:eastAsia="仿宋" w:cs="仿宋"/>
                <w:color w:val="auto"/>
                <w:szCs w:val="21"/>
                <w:highlight w:val="none"/>
                <w:lang w:val="zh-CN"/>
              </w:rPr>
              <w:t>投标人自有员工（</w:t>
            </w:r>
            <w:r>
              <w:rPr>
                <w:rFonts w:hint="eastAsia" w:ascii="仿宋" w:hAnsi="仿宋" w:eastAsia="仿宋" w:cs="仿宋"/>
                <w:color w:val="auto"/>
                <w:szCs w:val="21"/>
                <w:highlight w:val="none"/>
                <w:lang w:val="en-US" w:eastAsia="zh-CN"/>
              </w:rPr>
              <w:t>以</w:t>
            </w:r>
            <w:r>
              <w:rPr>
                <w:rFonts w:hint="eastAsia" w:ascii="仿宋" w:hAnsi="仿宋" w:eastAsia="仿宋" w:cs="仿宋"/>
                <w:color w:val="auto"/>
                <w:szCs w:val="21"/>
                <w:highlight w:val="none"/>
                <w:lang w:val="zh-CN"/>
              </w:rPr>
              <w:t>社保</w:t>
            </w:r>
            <w:r>
              <w:rPr>
                <w:rFonts w:hint="eastAsia" w:ascii="仿宋" w:hAnsi="仿宋" w:eastAsia="仿宋" w:cs="仿宋"/>
                <w:color w:val="auto"/>
                <w:szCs w:val="21"/>
                <w:highlight w:val="none"/>
                <w:lang w:val="en-US" w:eastAsia="zh-CN"/>
              </w:rPr>
              <w:t>为准</w:t>
            </w:r>
            <w:r>
              <w:rPr>
                <w:rFonts w:hint="eastAsia" w:ascii="仿宋" w:hAnsi="仿宋" w:eastAsia="仿宋" w:cs="仿宋"/>
                <w:color w:val="auto"/>
                <w:szCs w:val="21"/>
                <w:highlight w:val="none"/>
                <w:lang w:val="zh-CN"/>
              </w:rPr>
              <w:t>），不满足此项要求的，本项不得分，在此基础上：</w:t>
            </w:r>
          </w:p>
          <w:p w14:paraId="65944D4B">
            <w:pPr>
              <w:keepNext w:val="0"/>
              <w:keepLines w:val="0"/>
              <w:pageBreakBefore w:val="0"/>
              <w:kinsoku/>
              <w:wordWrap w:val="0"/>
              <w:overflowPunct/>
              <w:topLinePunct w:val="0"/>
              <w:autoSpaceDE/>
              <w:autoSpaceDN/>
              <w:bidi w:val="0"/>
              <w:spacing w:line="5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复审小组长：</w:t>
            </w:r>
          </w:p>
          <w:p w14:paraId="77DF2BF5">
            <w:pPr>
              <w:keepNext w:val="0"/>
              <w:keepLines w:val="0"/>
              <w:pageBreakBefore w:val="0"/>
              <w:numPr>
                <w:ilvl w:val="0"/>
                <w:numId w:val="0"/>
              </w:numPr>
              <w:kinsoku/>
              <w:wordWrap w:val="0"/>
              <w:overflowPunct/>
              <w:topLinePunct w:val="0"/>
              <w:autoSpaceDE/>
              <w:autoSpaceDN/>
              <w:bidi w:val="0"/>
              <w:spacing w:line="560" w:lineRule="exac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rPr>
              <w:t>每</w:t>
            </w:r>
            <w:r>
              <w:rPr>
                <w:rFonts w:hint="eastAsia" w:ascii="仿宋" w:hAnsi="仿宋" w:eastAsia="仿宋" w:cs="仿宋"/>
                <w:color w:val="auto"/>
                <w:szCs w:val="21"/>
                <w:highlight w:val="none"/>
                <w:lang w:val="en-US" w:eastAsia="zh-CN"/>
              </w:rPr>
              <w:t>具有1</w:t>
            </w:r>
            <w:r>
              <w:rPr>
                <w:rFonts w:hint="eastAsia" w:ascii="仿宋" w:hAnsi="仿宋" w:eastAsia="仿宋" w:cs="仿宋"/>
                <w:color w:val="auto"/>
                <w:szCs w:val="21"/>
                <w:highlight w:val="none"/>
                <w:lang w:val="zh-CN"/>
              </w:rPr>
              <w:t>名执业注册会计师</w:t>
            </w:r>
            <w:r>
              <w:rPr>
                <w:rFonts w:hint="eastAsia" w:ascii="仿宋" w:hAnsi="仿宋" w:eastAsia="仿宋" w:cs="仿宋"/>
                <w:color w:val="auto"/>
                <w:szCs w:val="21"/>
                <w:highlight w:val="none"/>
                <w:lang w:val="zh-CN" w:eastAsia="zh-CN"/>
              </w:rPr>
              <w:t>或</w:t>
            </w:r>
            <w:r>
              <w:rPr>
                <w:rFonts w:hint="eastAsia" w:ascii="仿宋" w:hAnsi="仿宋" w:eastAsia="仿宋" w:cs="仿宋"/>
                <w:color w:val="auto"/>
                <w:szCs w:val="21"/>
                <w:highlight w:val="none"/>
                <w:lang w:val="zh-CN"/>
              </w:rPr>
              <w:t>高级职称</w:t>
            </w:r>
            <w:r>
              <w:rPr>
                <w:rFonts w:hint="eastAsia" w:ascii="仿宋" w:hAnsi="仿宋" w:eastAsia="仿宋" w:cs="仿宋"/>
                <w:color w:val="auto"/>
                <w:szCs w:val="21"/>
                <w:highlight w:val="none"/>
                <w:lang w:val="en-US" w:eastAsia="zh-CN"/>
              </w:rPr>
              <w:t>或中级职称</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lang w:val="en-US" w:eastAsia="zh-CN"/>
              </w:rPr>
              <w:t>审计</w:t>
            </w:r>
            <w:r>
              <w:rPr>
                <w:rFonts w:hint="eastAsia" w:ascii="仿宋" w:hAnsi="仿宋" w:eastAsia="仿宋" w:cs="仿宋"/>
                <w:color w:val="auto"/>
                <w:szCs w:val="21"/>
                <w:highlight w:val="none"/>
                <w:lang w:val="zh-CN"/>
              </w:rPr>
              <w:t>师</w:t>
            </w:r>
            <w:r>
              <w:rPr>
                <w:rFonts w:hint="eastAsia" w:ascii="仿宋" w:hAnsi="仿宋" w:eastAsia="仿宋" w:cs="仿宋"/>
                <w:color w:val="auto"/>
                <w:szCs w:val="21"/>
                <w:highlight w:val="none"/>
                <w:lang w:val="en-US" w:eastAsia="zh-CN"/>
              </w:rPr>
              <w:t>或会计师根据其工作年限按以下标准得分</w:t>
            </w:r>
            <w:r>
              <w:rPr>
                <w:rFonts w:hint="eastAsia" w:ascii="仿宋" w:hAnsi="仿宋" w:eastAsia="仿宋" w:cs="仿宋"/>
                <w:color w:val="auto"/>
                <w:szCs w:val="21"/>
                <w:highlight w:val="none"/>
                <w:lang w:val="zh-CN" w:eastAsia="zh-CN"/>
              </w:rPr>
              <w:t>：</w:t>
            </w:r>
          </w:p>
          <w:p w14:paraId="4AEB8FD2">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执业（工作）年限＜3年，不得分；</w:t>
            </w:r>
          </w:p>
          <w:p w14:paraId="66B000B1">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（2）3年</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执业（工作）</w:t>
            </w:r>
            <w:r>
              <w:rPr>
                <w:rFonts w:hint="eastAsia" w:ascii="仿宋" w:hAnsi="仿宋" w:eastAsia="仿宋" w:cs="仿宋"/>
                <w:color w:val="auto"/>
                <w:szCs w:val="21"/>
                <w:highlight w:val="none"/>
                <w:lang w:val="zh-CN"/>
              </w:rPr>
              <w:t>年限≤</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得</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val="zh-CN"/>
              </w:rPr>
              <w:t>分；</w:t>
            </w:r>
          </w:p>
          <w:p w14:paraId="7B23C16B">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（3）执业（工作）</w:t>
            </w:r>
            <w:r>
              <w:rPr>
                <w:rFonts w:hint="eastAsia" w:ascii="仿宋" w:hAnsi="仿宋" w:eastAsia="仿宋" w:cs="仿宋"/>
                <w:color w:val="auto"/>
                <w:szCs w:val="21"/>
                <w:highlight w:val="none"/>
                <w:lang w:val="zh-CN"/>
              </w:rPr>
              <w:t>年限＞</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rPr>
              <w:t>分；</w:t>
            </w:r>
          </w:p>
          <w:p w14:paraId="17CCB985">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同一人员具备两份证书及以上的，只计算一项执业（工作）年限最长的证书得分。</w:t>
            </w:r>
          </w:p>
          <w:p w14:paraId="49415C71">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本小项累计最高得</w:t>
            </w:r>
            <w:r>
              <w:rPr>
                <w:rFonts w:hint="eastAsia"/>
                <w:color w:val="auto"/>
                <w:lang w:val="en-US" w:eastAsia="zh-CN"/>
              </w:rPr>
              <w:t>15</w:t>
            </w:r>
            <w:r>
              <w:rPr>
                <w:rFonts w:hint="eastAsia" w:ascii="仿宋" w:hAnsi="仿宋" w:eastAsia="仿宋" w:cs="仿宋"/>
                <w:color w:val="auto"/>
                <w:szCs w:val="21"/>
                <w:highlight w:val="none"/>
                <w:lang w:val="en-US" w:eastAsia="zh-CN"/>
              </w:rPr>
              <w:t>分。</w:t>
            </w:r>
          </w:p>
          <w:p w14:paraId="1139F534">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（二）评分标准</w:t>
            </w:r>
          </w:p>
          <w:p w14:paraId="64E441FB">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注册会计师执业</w:t>
            </w:r>
            <w:r>
              <w:rPr>
                <w:rFonts w:hint="eastAsia" w:ascii="仿宋" w:hAnsi="仿宋" w:eastAsia="仿宋" w:cs="仿宋"/>
                <w:color w:val="auto"/>
                <w:szCs w:val="21"/>
                <w:highlight w:val="none"/>
              </w:rPr>
              <w:t>证书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提供证书材料和</w:t>
            </w:r>
            <w:r>
              <w:rPr>
                <w:rFonts w:hint="eastAsia" w:ascii="仿宋" w:hAnsi="仿宋" w:eastAsia="仿宋" w:cs="仿宋"/>
                <w:color w:val="auto"/>
                <w:szCs w:val="21"/>
                <w:highlight w:val="none"/>
              </w:rPr>
              <w:t>“中国注册会计师协会行业管理信息系统”中“注册会计师信息”查询结果（查询网址：</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"https://cmis.cicpa.org.cn/#/login），原件备查。"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https://cmis.cicpa.org.cn/#/login）。</w:t>
            </w:r>
            <w:r>
              <w:rPr>
                <w:rFonts w:hint="eastAsia" w:ascii="仿宋" w:hAnsi="仿宋" w:eastAsia="仿宋" w:cs="仿宋"/>
                <w:color w:val="auto"/>
                <w:szCs w:val="21"/>
                <w:highlight w:val="none"/>
              </w:rPr>
              <w:fldChar w:fldCharType="end"/>
            </w:r>
          </w:p>
          <w:p w14:paraId="1D09E4D1">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注册会计师执业年限执业证明材料，如注册会计师执业证发证日期年限满足评分要求则提供注册会计师执业证即可；如注册会计师执业证因换新证原因发证日期变动则须同时提供由区级（含区级）以上行政主管或相关协会出具的相关年限证明文件。</w:t>
            </w:r>
          </w:p>
          <w:p w14:paraId="262595DE">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职称证书。</w:t>
            </w:r>
            <w:r>
              <w:rPr>
                <w:rFonts w:hint="eastAsia" w:ascii="仿宋" w:hAnsi="仿宋" w:eastAsia="仿宋" w:cs="仿宋"/>
                <w:color w:val="auto"/>
                <w:szCs w:val="21"/>
                <w:highlight w:val="none"/>
              </w:rPr>
              <w:t>提供会计类</w:t>
            </w:r>
            <w:r>
              <w:rPr>
                <w:rFonts w:hint="eastAsia" w:ascii="仿宋" w:hAnsi="仿宋" w:eastAsia="仿宋" w:cs="仿宋"/>
                <w:color w:val="auto"/>
                <w:szCs w:val="21"/>
                <w:highlight w:val="none"/>
                <w:lang w:val="en-US" w:eastAsia="zh-CN"/>
              </w:rPr>
              <w:t>或审计类高级职称或中级</w:t>
            </w:r>
            <w:r>
              <w:rPr>
                <w:rFonts w:hint="eastAsia" w:ascii="仿宋" w:hAnsi="仿宋" w:eastAsia="仿宋" w:cs="仿宋"/>
                <w:color w:val="auto"/>
                <w:szCs w:val="21"/>
                <w:highlight w:val="none"/>
              </w:rPr>
              <w:t>职称</w:t>
            </w:r>
            <w:r>
              <w:rPr>
                <w:rFonts w:hint="eastAsia" w:ascii="仿宋" w:hAnsi="仿宋" w:eastAsia="仿宋" w:cs="仿宋"/>
                <w:color w:val="auto"/>
                <w:szCs w:val="21"/>
                <w:highlight w:val="none"/>
                <w:lang w:val="en-US" w:eastAsia="zh-CN"/>
              </w:rPr>
              <w:t>或初级职称证书复印件</w:t>
            </w:r>
            <w:r>
              <w:rPr>
                <w:rFonts w:hint="eastAsia" w:ascii="仿宋" w:hAnsi="仿宋" w:eastAsia="仿宋" w:cs="仿宋"/>
                <w:color w:val="auto"/>
                <w:szCs w:val="21"/>
                <w:highlight w:val="none"/>
                <w:lang w:eastAsia="zh-CN"/>
              </w:rPr>
              <w:t>。</w:t>
            </w:r>
          </w:p>
          <w:p w14:paraId="2FED6AF5">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提供近一个月投标人为其购买的社保证明材料，（证明资料可为社保收缴部门盖章证明资料、社保窗口打印资料或社保官网截图）。如投标截止日上一个月的社保材料因社保部门原因暂时无法取得，则可以往前顺延一个月，如投标人注册成立时间不足一个月的，可提供承诺函（格式自拟）。若为退休返聘人员，需提供说明函（格式自拟），无需提供相关人员社保，亦可得分。</w:t>
            </w:r>
          </w:p>
          <w:p w14:paraId="5DDAF56C">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以上证明材料原件备查，未按要求提供或提供不清晰导致专家无法判断的不得分。</w:t>
            </w:r>
          </w:p>
          <w:p w14:paraId="373572B4">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注：执业（工作）</w:t>
            </w:r>
            <w:r>
              <w:rPr>
                <w:rFonts w:hint="eastAsia" w:ascii="仿宋" w:hAnsi="仿宋" w:eastAsia="仿宋" w:cs="仿宋"/>
                <w:color w:val="auto"/>
                <w:szCs w:val="21"/>
                <w:highlight w:val="none"/>
              </w:rPr>
              <w:t>年限以执业证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职称证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发证时间计算</w:t>
            </w:r>
            <w:r>
              <w:rPr>
                <w:rFonts w:hint="eastAsia" w:ascii="仿宋" w:hAnsi="仿宋" w:eastAsia="仿宋" w:cs="仿宋"/>
                <w:color w:val="auto"/>
                <w:szCs w:val="21"/>
                <w:highlight w:val="none"/>
                <w:lang w:eastAsia="zh-CN"/>
              </w:rPr>
              <w:t>。</w:t>
            </w:r>
          </w:p>
        </w:tc>
      </w:tr>
      <w:tr w14:paraId="7A59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09" w:type="dxa"/>
            <w:noWrap w:val="0"/>
            <w:vAlign w:val="top"/>
          </w:tcPr>
          <w:p w14:paraId="43C1CAB6">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7DF9F1F3">
            <w:pPr>
              <w:keepNext w:val="0"/>
              <w:keepLines w:val="0"/>
              <w:pageBreakBefore w:val="0"/>
              <w:kinsoku/>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133" w:type="dxa"/>
            <w:gridSpan w:val="2"/>
            <w:noWrap w:val="0"/>
            <w:vAlign w:val="center"/>
          </w:tcPr>
          <w:p w14:paraId="3326B4F7">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团队成员资历评价（项目负责人除外）</w:t>
            </w:r>
          </w:p>
        </w:tc>
        <w:tc>
          <w:tcPr>
            <w:tcW w:w="719" w:type="dxa"/>
            <w:gridSpan w:val="2"/>
            <w:noWrap w:val="0"/>
            <w:vAlign w:val="center"/>
          </w:tcPr>
          <w:p w14:paraId="0EEDE35A">
            <w:pPr>
              <w:keepNext w:val="0"/>
              <w:keepLines w:val="0"/>
              <w:pageBreakBefore w:val="0"/>
              <w:kinsoku/>
              <w:overflowPunct/>
              <w:topLinePunct w:val="0"/>
              <w:autoSpaceDE/>
              <w:autoSpaceDN/>
              <w:bidi w:val="0"/>
              <w:spacing w:after="60" w:line="560" w:lineRule="exact"/>
              <w:jc w:val="center"/>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10</w:t>
            </w:r>
          </w:p>
        </w:tc>
        <w:tc>
          <w:tcPr>
            <w:tcW w:w="705" w:type="dxa"/>
            <w:noWrap w:val="0"/>
            <w:vAlign w:val="center"/>
          </w:tcPr>
          <w:p w14:paraId="495EACBA">
            <w:pPr>
              <w:keepNext w:val="0"/>
              <w:keepLines w:val="0"/>
              <w:pageBreakBefore w:val="0"/>
              <w:kinsoku/>
              <w:overflowPunct/>
              <w:topLinePunct w:val="0"/>
              <w:autoSpaceDE/>
              <w:autoSpaceDN/>
              <w:bidi w:val="0"/>
              <w:spacing w:after="60" w:line="5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专家打分</w:t>
            </w:r>
          </w:p>
        </w:tc>
        <w:tc>
          <w:tcPr>
            <w:tcW w:w="5935" w:type="dxa"/>
            <w:noWrap w:val="0"/>
            <w:vAlign w:val="top"/>
          </w:tcPr>
          <w:p w14:paraId="4A86BB92">
            <w:pPr>
              <w:keepNext w:val="0"/>
              <w:keepLines w:val="0"/>
              <w:pageBreakBefore w:val="0"/>
              <w:kinsoku/>
              <w:wordWrap w:val="0"/>
              <w:overflowPunct/>
              <w:topLinePunct w:val="0"/>
              <w:autoSpaceDE/>
              <w:autoSpaceDN/>
              <w:bidi w:val="0"/>
              <w:spacing w:line="5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复审小组团队成员：</w:t>
            </w:r>
          </w:p>
          <w:p w14:paraId="540DA672">
            <w:pPr>
              <w:keepNext w:val="0"/>
              <w:keepLines w:val="0"/>
              <w:pageBreakBefore w:val="0"/>
              <w:numPr>
                <w:ilvl w:val="0"/>
                <w:numId w:val="0"/>
              </w:numPr>
              <w:kinsoku/>
              <w:wordWrap w:val="0"/>
              <w:overflowPunct/>
              <w:topLinePunct w:val="0"/>
              <w:autoSpaceDE/>
              <w:autoSpaceDN/>
              <w:bidi w:val="0"/>
              <w:spacing w:line="560" w:lineRule="exac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rPr>
              <w:t>每</w:t>
            </w:r>
            <w:r>
              <w:rPr>
                <w:rFonts w:hint="eastAsia" w:ascii="仿宋" w:hAnsi="仿宋" w:eastAsia="仿宋" w:cs="仿宋"/>
                <w:color w:val="auto"/>
                <w:szCs w:val="21"/>
                <w:highlight w:val="none"/>
                <w:lang w:val="en-US" w:eastAsia="zh-CN"/>
              </w:rPr>
              <w:t>具有</w:t>
            </w:r>
            <w:r>
              <w:rPr>
                <w:rFonts w:hint="eastAsia" w:ascii="仿宋" w:hAnsi="仿宋" w:eastAsia="仿宋" w:cs="仿宋"/>
                <w:color w:val="auto"/>
                <w:szCs w:val="21"/>
                <w:highlight w:val="none"/>
                <w:lang w:val="zh-CN"/>
              </w:rPr>
              <w:t>一名</w:t>
            </w:r>
            <w:r>
              <w:rPr>
                <w:rFonts w:hint="eastAsia" w:ascii="仿宋" w:hAnsi="仿宋" w:eastAsia="仿宋" w:cs="仿宋"/>
                <w:color w:val="auto"/>
                <w:szCs w:val="21"/>
                <w:highlight w:val="none"/>
                <w:lang w:val="en-US" w:eastAsia="zh-CN"/>
              </w:rPr>
              <w:t>初级</w:t>
            </w:r>
            <w:r>
              <w:rPr>
                <w:rFonts w:hint="eastAsia" w:ascii="仿宋" w:hAnsi="仿宋" w:eastAsia="仿宋" w:cs="仿宋"/>
                <w:color w:val="auto"/>
                <w:szCs w:val="21"/>
                <w:highlight w:val="none"/>
                <w:lang w:val="zh-CN"/>
              </w:rPr>
              <w:t>职称</w:t>
            </w:r>
            <w:r>
              <w:rPr>
                <w:rFonts w:hint="eastAsia" w:ascii="仿宋" w:hAnsi="仿宋" w:eastAsia="仿宋" w:cs="仿宋"/>
                <w:color w:val="auto"/>
                <w:szCs w:val="21"/>
                <w:highlight w:val="none"/>
                <w:lang w:val="en-US" w:eastAsia="zh-CN"/>
              </w:rPr>
              <w:t>审计</w:t>
            </w:r>
            <w:r>
              <w:rPr>
                <w:rFonts w:hint="eastAsia" w:ascii="仿宋" w:hAnsi="仿宋" w:eastAsia="仿宋" w:cs="仿宋"/>
                <w:color w:val="auto"/>
                <w:szCs w:val="21"/>
                <w:highlight w:val="none"/>
                <w:lang w:val="zh-CN"/>
              </w:rPr>
              <w:t>师</w:t>
            </w:r>
            <w:r>
              <w:rPr>
                <w:rFonts w:hint="eastAsia" w:ascii="仿宋" w:hAnsi="仿宋" w:eastAsia="仿宋" w:cs="仿宋"/>
                <w:color w:val="auto"/>
                <w:szCs w:val="21"/>
                <w:highlight w:val="none"/>
                <w:lang w:val="en-US" w:eastAsia="zh-CN"/>
              </w:rPr>
              <w:t>或会计师及以上职称或注册会计师根据其工作年限按以下标准得分</w:t>
            </w:r>
            <w:r>
              <w:rPr>
                <w:rFonts w:hint="eastAsia" w:ascii="仿宋" w:hAnsi="仿宋" w:eastAsia="仿宋" w:cs="仿宋"/>
                <w:color w:val="auto"/>
                <w:szCs w:val="21"/>
                <w:highlight w:val="none"/>
                <w:lang w:val="zh-CN" w:eastAsia="zh-CN"/>
              </w:rPr>
              <w:t>：</w:t>
            </w:r>
          </w:p>
          <w:p w14:paraId="21DD786B">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执业（工作）年限＜2年，不得分；</w:t>
            </w:r>
          </w:p>
          <w:p w14:paraId="6FA4AE89">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（2）3年</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执业（工作）</w:t>
            </w:r>
            <w:r>
              <w:rPr>
                <w:rFonts w:hint="eastAsia" w:ascii="仿宋" w:hAnsi="仿宋" w:eastAsia="仿宋" w:cs="仿宋"/>
                <w:color w:val="auto"/>
                <w:szCs w:val="21"/>
                <w:highlight w:val="none"/>
                <w:lang w:val="zh-CN"/>
              </w:rPr>
              <w:t>年限≤</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zh-CN"/>
              </w:rPr>
              <w:t>分；</w:t>
            </w:r>
          </w:p>
          <w:p w14:paraId="7F3B47F8">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（3）执业（工作）</w:t>
            </w:r>
            <w:r>
              <w:rPr>
                <w:rFonts w:hint="eastAsia" w:ascii="仿宋" w:hAnsi="仿宋" w:eastAsia="仿宋" w:cs="仿宋"/>
                <w:color w:val="auto"/>
                <w:szCs w:val="21"/>
                <w:highlight w:val="none"/>
                <w:lang w:val="zh-CN"/>
              </w:rPr>
              <w:t>年限＞</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rPr>
              <w:t>分；</w:t>
            </w:r>
          </w:p>
          <w:p w14:paraId="65C54155">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同一人员具备两份证书及以上的，只计算一项执业（工作）年限最长的证书得分。</w:t>
            </w:r>
          </w:p>
          <w:p w14:paraId="6B1966D9">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本项最高得</w:t>
            </w:r>
            <w:r>
              <w:rPr>
                <w:rFonts w:hint="eastAsia"/>
                <w:color w:val="auto"/>
                <w:lang w:val="en-US" w:eastAsia="zh-CN"/>
              </w:rPr>
              <w:t>10</w:t>
            </w:r>
            <w:r>
              <w:rPr>
                <w:rFonts w:hint="eastAsia" w:ascii="仿宋" w:hAnsi="仿宋" w:eastAsia="仿宋" w:cs="仿宋"/>
                <w:color w:val="auto"/>
                <w:szCs w:val="21"/>
                <w:highlight w:val="none"/>
                <w:lang w:val="en-US" w:eastAsia="zh-CN"/>
              </w:rPr>
              <w:t>分。</w:t>
            </w:r>
          </w:p>
          <w:p w14:paraId="51B0945F">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（二）评分标准</w:t>
            </w:r>
          </w:p>
          <w:p w14:paraId="6B9E13F6">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注册会计师执业</w:t>
            </w:r>
            <w:r>
              <w:rPr>
                <w:rFonts w:hint="eastAsia" w:ascii="仿宋" w:hAnsi="仿宋" w:eastAsia="仿宋" w:cs="仿宋"/>
                <w:color w:val="auto"/>
                <w:szCs w:val="21"/>
                <w:highlight w:val="none"/>
              </w:rPr>
              <w:t>证书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提供证书材料和</w:t>
            </w:r>
            <w:r>
              <w:rPr>
                <w:rFonts w:hint="eastAsia" w:ascii="仿宋" w:hAnsi="仿宋" w:eastAsia="仿宋" w:cs="仿宋"/>
                <w:color w:val="auto"/>
                <w:szCs w:val="21"/>
                <w:highlight w:val="none"/>
              </w:rPr>
              <w:t>“中国注册会计师协会行业管理信息系统”中“注册会计师信息”查询结果（查询网址：</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"https://cmis.cicpa.org.cn/#/login），原件备查。"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https://cmis.cicpa.org.cn/#/login）。</w:t>
            </w:r>
            <w:r>
              <w:rPr>
                <w:rFonts w:hint="eastAsia" w:ascii="仿宋" w:hAnsi="仿宋" w:eastAsia="仿宋" w:cs="仿宋"/>
                <w:color w:val="auto"/>
                <w:szCs w:val="21"/>
                <w:highlight w:val="none"/>
              </w:rPr>
              <w:fldChar w:fldCharType="end"/>
            </w:r>
          </w:p>
          <w:p w14:paraId="5130E631">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注册会计师执业年限执业证明材料，如注册会计师执业证发证日期年限满足评分要求则提供注册会计师执业证即可；如注册会计师执业证因换新证原因发证日期变动则须同时提供由区级（含区级）以上行政主管或相关协会出具的相关年限证明文件。</w:t>
            </w:r>
          </w:p>
          <w:p w14:paraId="53810C40">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职称证书。</w:t>
            </w:r>
            <w:r>
              <w:rPr>
                <w:rFonts w:hint="eastAsia" w:ascii="仿宋" w:hAnsi="仿宋" w:eastAsia="仿宋" w:cs="仿宋"/>
                <w:color w:val="auto"/>
                <w:szCs w:val="21"/>
                <w:highlight w:val="none"/>
              </w:rPr>
              <w:t>提供会计类</w:t>
            </w:r>
            <w:r>
              <w:rPr>
                <w:rFonts w:hint="eastAsia" w:ascii="仿宋" w:hAnsi="仿宋" w:eastAsia="仿宋" w:cs="仿宋"/>
                <w:color w:val="auto"/>
                <w:szCs w:val="21"/>
                <w:highlight w:val="none"/>
                <w:lang w:val="en-US" w:eastAsia="zh-CN"/>
              </w:rPr>
              <w:t>或审计类高级职称或中级</w:t>
            </w:r>
            <w:r>
              <w:rPr>
                <w:rFonts w:hint="eastAsia" w:ascii="仿宋" w:hAnsi="仿宋" w:eastAsia="仿宋" w:cs="仿宋"/>
                <w:color w:val="auto"/>
                <w:szCs w:val="21"/>
                <w:highlight w:val="none"/>
              </w:rPr>
              <w:t>职称</w:t>
            </w:r>
            <w:r>
              <w:rPr>
                <w:rFonts w:hint="eastAsia" w:ascii="仿宋" w:hAnsi="仿宋" w:eastAsia="仿宋" w:cs="仿宋"/>
                <w:color w:val="auto"/>
                <w:szCs w:val="21"/>
                <w:highlight w:val="none"/>
                <w:lang w:val="en-US" w:eastAsia="zh-CN"/>
              </w:rPr>
              <w:t>或初级职称证书复印件</w:t>
            </w:r>
            <w:r>
              <w:rPr>
                <w:rFonts w:hint="eastAsia" w:ascii="仿宋" w:hAnsi="仿宋" w:eastAsia="仿宋" w:cs="仿宋"/>
                <w:color w:val="auto"/>
                <w:szCs w:val="21"/>
                <w:highlight w:val="none"/>
                <w:lang w:eastAsia="zh-CN"/>
              </w:rPr>
              <w:t>。</w:t>
            </w:r>
          </w:p>
          <w:p w14:paraId="2C959BE2">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提供近一个月投标人为其购买的社保证明材料，（证明资料可为社保收缴部门盖章证明资料、社保窗口打印资料或社保官网截图）。如投标截止日上一个月的社保材料因社保部门原因暂时无法取得，则可以往前顺延一个月，如投标人注册成立时间不足一个月的，可提供承诺函（格式自拟）。若为退休返聘人员，需提供说明函（格式自拟），无需提供相关人员社保，亦可得分。</w:t>
            </w:r>
          </w:p>
          <w:p w14:paraId="77A7C7DE">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以上证明材料原件备查，未按要求提供或提供不清晰导致专家无法判断的不得分。</w:t>
            </w:r>
          </w:p>
          <w:p w14:paraId="0BE7684F">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注：执业（工作）</w:t>
            </w:r>
            <w:r>
              <w:rPr>
                <w:rFonts w:hint="eastAsia" w:ascii="仿宋" w:hAnsi="仿宋" w:eastAsia="仿宋" w:cs="仿宋"/>
                <w:color w:val="auto"/>
                <w:szCs w:val="21"/>
                <w:highlight w:val="none"/>
              </w:rPr>
              <w:t>年限以执业证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职称证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发证时间计算</w:t>
            </w:r>
            <w:r>
              <w:rPr>
                <w:rFonts w:hint="eastAsia" w:ascii="仿宋" w:hAnsi="仿宋" w:eastAsia="仿宋" w:cs="仿宋"/>
                <w:color w:val="auto"/>
                <w:szCs w:val="21"/>
                <w:highlight w:val="none"/>
                <w:lang w:eastAsia="zh-CN"/>
              </w:rPr>
              <w:t>。</w:t>
            </w:r>
          </w:p>
        </w:tc>
      </w:tr>
      <w:tr w14:paraId="7F89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5E02774C">
            <w:pPr>
              <w:keepNext w:val="0"/>
              <w:keepLines w:val="0"/>
              <w:pageBreakBefore w:val="0"/>
              <w:kinsoku/>
              <w:overflowPunct/>
              <w:topLinePunct w:val="0"/>
              <w:autoSpaceDE/>
              <w:autoSpaceDN/>
              <w:bidi w:val="0"/>
              <w:spacing w:line="560" w:lineRule="exact"/>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（三）</w:t>
            </w:r>
          </w:p>
        </w:tc>
        <w:tc>
          <w:tcPr>
            <w:tcW w:w="3238" w:type="dxa"/>
            <w:gridSpan w:val="6"/>
            <w:noWrap w:val="0"/>
            <w:vAlign w:val="center"/>
          </w:tcPr>
          <w:p w14:paraId="59C42346">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综合实力部分</w:t>
            </w:r>
          </w:p>
        </w:tc>
        <w:tc>
          <w:tcPr>
            <w:tcW w:w="5935" w:type="dxa"/>
            <w:noWrap w:val="0"/>
            <w:vAlign w:val="center"/>
          </w:tcPr>
          <w:p w14:paraId="296E0FB8">
            <w:pPr>
              <w:keepNext w:val="0"/>
              <w:keepLines w:val="0"/>
              <w:pageBreakBefore w:val="0"/>
              <w:kinsoku/>
              <w:overflowPunct/>
              <w:topLinePunct w:val="0"/>
              <w:autoSpaceDE/>
              <w:autoSpaceDN/>
              <w:bidi w:val="0"/>
              <w:spacing w:line="560" w:lineRule="exact"/>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20分</w:t>
            </w:r>
          </w:p>
        </w:tc>
      </w:tr>
      <w:tr w14:paraId="3455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09" w:type="dxa"/>
            <w:vMerge w:val="restart"/>
            <w:noWrap w:val="0"/>
            <w:vAlign w:val="top"/>
          </w:tcPr>
          <w:p w14:paraId="36CFA9DC">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335D05BF">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08" w:type="dxa"/>
            <w:noWrap w:val="0"/>
            <w:vAlign w:val="center"/>
          </w:tcPr>
          <w:p w14:paraId="12B61CA6">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w:t>
            </w:r>
          </w:p>
        </w:tc>
        <w:tc>
          <w:tcPr>
            <w:tcW w:w="737" w:type="dxa"/>
            <w:gridSpan w:val="2"/>
            <w:noWrap w:val="0"/>
            <w:vAlign w:val="center"/>
          </w:tcPr>
          <w:p w14:paraId="27E416EC">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分值</w:t>
            </w:r>
          </w:p>
        </w:tc>
        <w:tc>
          <w:tcPr>
            <w:tcW w:w="712" w:type="dxa"/>
            <w:gridSpan w:val="2"/>
            <w:noWrap w:val="0"/>
            <w:vAlign w:val="top"/>
          </w:tcPr>
          <w:p w14:paraId="0A2AF90A">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评分方式</w:t>
            </w:r>
          </w:p>
        </w:tc>
        <w:tc>
          <w:tcPr>
            <w:tcW w:w="5935" w:type="dxa"/>
            <w:noWrap w:val="0"/>
            <w:vAlign w:val="center"/>
          </w:tcPr>
          <w:p w14:paraId="49EE0569">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评分准则</w:t>
            </w:r>
          </w:p>
        </w:tc>
      </w:tr>
      <w:tr w14:paraId="59D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09" w:type="dxa"/>
            <w:vMerge w:val="continue"/>
            <w:noWrap w:val="0"/>
            <w:vAlign w:val="top"/>
          </w:tcPr>
          <w:p w14:paraId="1537D10E">
            <w:pPr>
              <w:keepNext w:val="0"/>
              <w:keepLines w:val="0"/>
              <w:pageBreakBefore w:val="0"/>
              <w:kinsoku/>
              <w:overflowPunct/>
              <w:topLinePunct w:val="0"/>
              <w:autoSpaceDE/>
              <w:autoSpaceDN/>
              <w:bidi w:val="0"/>
              <w:spacing w:line="560" w:lineRule="exact"/>
              <w:jc w:val="both"/>
              <w:rPr>
                <w:rFonts w:hint="eastAsia" w:ascii="仿宋" w:hAnsi="仿宋" w:eastAsia="仿宋" w:cs="仿宋"/>
                <w:color w:val="auto"/>
                <w:szCs w:val="21"/>
                <w:highlight w:val="none"/>
              </w:rPr>
            </w:pPr>
          </w:p>
        </w:tc>
        <w:tc>
          <w:tcPr>
            <w:tcW w:w="681" w:type="dxa"/>
            <w:noWrap w:val="0"/>
            <w:vAlign w:val="center"/>
          </w:tcPr>
          <w:p w14:paraId="5412C61D">
            <w:pPr>
              <w:keepNext w:val="0"/>
              <w:keepLines w:val="0"/>
              <w:pageBreakBefore w:val="0"/>
              <w:kinsoku/>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108" w:type="dxa"/>
            <w:noWrap w:val="0"/>
            <w:vAlign w:val="center"/>
          </w:tcPr>
          <w:p w14:paraId="46EC3405">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开展</w:t>
            </w:r>
            <w:r>
              <w:rPr>
                <w:rFonts w:hint="eastAsia" w:ascii="仿宋" w:hAnsi="仿宋" w:eastAsia="仿宋" w:cs="仿宋"/>
                <w:color w:val="auto"/>
                <w:szCs w:val="21"/>
                <w:highlight w:val="none"/>
              </w:rPr>
              <w:t>同类项目业绩</w:t>
            </w:r>
          </w:p>
        </w:tc>
        <w:tc>
          <w:tcPr>
            <w:tcW w:w="737" w:type="dxa"/>
            <w:gridSpan w:val="2"/>
            <w:noWrap w:val="0"/>
            <w:vAlign w:val="center"/>
          </w:tcPr>
          <w:p w14:paraId="5FE892FB">
            <w:pPr>
              <w:keepNext w:val="0"/>
              <w:keepLines w:val="0"/>
              <w:pageBreakBefore w:val="0"/>
              <w:kinsoku/>
              <w:wordWrap w:val="0"/>
              <w:overflowPunct/>
              <w:topLinePunct w:val="0"/>
              <w:autoSpaceDE/>
              <w:autoSpaceDN/>
              <w:bidi w:val="0"/>
              <w:spacing w:line="5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w:t>
            </w:r>
          </w:p>
        </w:tc>
        <w:tc>
          <w:tcPr>
            <w:tcW w:w="712" w:type="dxa"/>
            <w:gridSpan w:val="2"/>
            <w:noWrap w:val="0"/>
            <w:vAlign w:val="center"/>
          </w:tcPr>
          <w:p w14:paraId="4ED95EB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专家打分</w:t>
            </w:r>
          </w:p>
        </w:tc>
        <w:tc>
          <w:tcPr>
            <w:tcW w:w="5935" w:type="dxa"/>
            <w:noWrap w:val="0"/>
            <w:vAlign w:val="top"/>
          </w:tcPr>
          <w:p w14:paraId="6932E72F">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（一）评审内容</w:t>
            </w:r>
          </w:p>
          <w:p w14:paraId="26E721A7">
            <w:pPr>
              <w:keepNext w:val="0"/>
              <w:keepLines w:val="0"/>
              <w:pageBreakBefore w:val="0"/>
              <w:kinsoku/>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投标人自202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年1月1日至本项目投标截止日，以合同签订日期为准： </w:t>
            </w:r>
          </w:p>
          <w:p w14:paraId="3958F7C7">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rPr>
              <w:t>每提供一项</w:t>
            </w:r>
            <w:r>
              <w:rPr>
                <w:rFonts w:hint="eastAsia" w:ascii="仿宋" w:hAnsi="仿宋" w:eastAsia="仿宋" w:cs="仿宋"/>
                <w:color w:val="auto"/>
                <w:szCs w:val="21"/>
                <w:highlight w:val="none"/>
                <w:lang w:val="en-US" w:eastAsia="zh-CN"/>
              </w:rPr>
              <w:t>行政事业单位组织对民办学校（幼儿园）进行的专项审计或财务监管的</w:t>
            </w:r>
            <w:r>
              <w:rPr>
                <w:rFonts w:hint="eastAsia" w:ascii="仿宋" w:hAnsi="仿宋" w:eastAsia="仿宋" w:cs="仿宋"/>
                <w:color w:val="auto"/>
                <w:szCs w:val="21"/>
                <w:highlight w:val="none"/>
              </w:rPr>
              <w:t>同类项目，且经采购单位或被服务单位总体履约评价结果为“优”或“满意”的得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分，本项累计最高得</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eastAsia="zh-CN"/>
              </w:rPr>
              <w:t>。</w:t>
            </w:r>
          </w:p>
          <w:p w14:paraId="0EC7E35E">
            <w:pPr>
              <w:keepNext w:val="0"/>
              <w:keepLines w:val="0"/>
              <w:pageBreakBefore w:val="0"/>
              <w:kinsoku/>
              <w:overflowPunct/>
              <w:topLinePunct w:val="0"/>
              <w:autoSpaceDE/>
              <w:autoSpaceDN/>
              <w:bidi w:val="0"/>
              <w:spacing w:line="56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 xml:space="preserve">（二）评分标准 </w:t>
            </w:r>
          </w:p>
          <w:p w14:paraId="4155F687">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投标人提供的每项业绩须按以下要求提供完整准确的证明文件，如未按以下要求提供完整证明文件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即3项证明文件必须提供，缺一不可）</w:t>
            </w:r>
            <w:r>
              <w:rPr>
                <w:rFonts w:hint="eastAsia" w:ascii="仿宋" w:hAnsi="仿宋" w:eastAsia="仿宋" w:cs="仿宋"/>
                <w:color w:val="auto"/>
                <w:szCs w:val="21"/>
                <w:highlight w:val="none"/>
              </w:rPr>
              <w:t xml:space="preserve">的业绩不计分，一年一签的长期服务续签合同只计算一个业绩： </w:t>
            </w:r>
          </w:p>
          <w:p w14:paraId="37351C86">
            <w:pPr>
              <w:keepNext w:val="0"/>
              <w:keepLines w:val="0"/>
              <w:pageBreakBefore w:val="0"/>
              <w:kinsoku/>
              <w:wordWrap w:val="0"/>
              <w:overflowPunct/>
              <w:topLinePunct w:val="0"/>
              <w:autoSpaceDE/>
              <w:autoSpaceDN/>
              <w:bidi w:val="0"/>
              <w:spacing w:line="5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 xml:space="preserve">合同关键页（关键信息包括但不仅限于合同的项目名称、服务内容、签订日期等）； </w:t>
            </w:r>
          </w:p>
          <w:p w14:paraId="47EFE3F3">
            <w:pPr>
              <w:keepNext w:val="0"/>
              <w:keepLines w:val="0"/>
              <w:pageBreakBefore w:val="0"/>
              <w:kinsoku/>
              <w:wordWrap w:val="0"/>
              <w:overflowPunct/>
              <w:topLinePunct w:val="0"/>
              <w:autoSpaceDE/>
              <w:autoSpaceDN/>
              <w:bidi w:val="0"/>
              <w:spacing w:line="560" w:lineRule="exact"/>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采购单位或被服务单位总体履约评价为“优”或“满意”或的相关证明文件，加盖合同甲方公章（或业务章）。证明文件的内容必须包括但不仅限于合同的项目名称、总体履约评价结果、出具证明的签署日期等相关内容,如提交的证明材料其评价结果没有结论而仅是打分的（比如打100分、98分、95分、85分等的）不计分，通过上述资料无法判断是否得分的，也可以同时提供能证明得分的其它资料，如项目报告或采购单位（或被服务单位）出具的证明文件等。</w:t>
            </w:r>
          </w:p>
          <w:p w14:paraId="4EB6C76C">
            <w:pPr>
              <w:keepNext w:val="0"/>
              <w:keepLines w:val="0"/>
              <w:pageBreakBefore w:val="0"/>
              <w:kinsoku/>
              <w:wordWrap w:val="0"/>
              <w:overflowPunct/>
              <w:topLinePunct w:val="0"/>
              <w:autoSpaceDE/>
              <w:autoSpaceDN/>
              <w:bidi w:val="0"/>
              <w:spacing w:line="560" w:lineRule="exact"/>
              <w:jc w:val="both"/>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以上证明材料原件备查，未按要求提供或提供不清晰导致专家无法判断的不得分。</w:t>
            </w:r>
          </w:p>
        </w:tc>
      </w:tr>
    </w:tbl>
    <w:p w14:paraId="24806ED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项目需求</w:t>
      </w:r>
    </w:p>
    <w:p w14:paraId="150DC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(一)项目内容</w:t>
      </w:r>
    </w:p>
    <w:p w14:paraId="78809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本次对全区民办学校进行上年度</w:t>
      </w:r>
      <w:r>
        <w:rPr>
          <w:rFonts w:hint="eastAsia" w:ascii="仿宋_GB2312" w:hAnsi="仿宋_GB2312" w:eastAsia="仿宋_GB2312" w:cs="仿宋_GB2312"/>
          <w:b w:val="0"/>
          <w:bCs w:val="0"/>
          <w:color w:val="auto"/>
          <w:sz w:val="32"/>
          <w:szCs w:val="32"/>
          <w:highlight w:val="none"/>
          <w:lang w:val="en-US" w:eastAsia="zh-CN"/>
        </w:rPr>
        <w:t>财务审计报告复审</w:t>
      </w:r>
      <w:r>
        <w:rPr>
          <w:rFonts w:hint="eastAsia" w:ascii="仿宋_GB2312" w:hAnsi="仿宋_GB2312" w:eastAsia="仿宋_GB2312" w:cs="仿宋_GB2312"/>
          <w:color w:val="auto"/>
          <w:sz w:val="32"/>
          <w:szCs w:val="32"/>
          <w:highlight w:val="none"/>
          <w:lang w:val="en-US" w:eastAsia="zh-CN"/>
        </w:rPr>
        <w:t>，在年度委托项目总数现有80所民办学校上下浮动5％的范围内采取包干制，根据每年度实际工作需要确定检查民办学校数量。</w:t>
      </w:r>
    </w:p>
    <w:p w14:paraId="6B8719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2025年度具体复审名单如下：</w:t>
      </w:r>
    </w:p>
    <w:tbl>
      <w:tblPr>
        <w:tblStyle w:val="7"/>
        <w:tblW w:w="7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3456"/>
        <w:gridCol w:w="1965"/>
        <w:gridCol w:w="1680"/>
      </w:tblGrid>
      <w:tr w14:paraId="0BD6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ABC1D6">
            <w:pPr>
              <w:keepNext w:val="0"/>
              <w:keepLines w:val="0"/>
              <w:pageBreakBefore w:val="0"/>
              <w:widowControl/>
              <w:suppressLineNumbers w:val="0"/>
              <w:kinsoku/>
              <w:overflowPunct/>
              <w:topLinePunct w:val="0"/>
              <w:autoSpaceDE/>
              <w:autoSpaceDN/>
              <w:bidi w:val="0"/>
              <w:spacing w:line="560" w:lineRule="exact"/>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E61753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学校名称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86E0A4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复审期限</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7F237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类型</w:t>
            </w:r>
          </w:p>
        </w:tc>
      </w:tr>
      <w:tr w14:paraId="464F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63C55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1F49DF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深圳市龙岗区东升学校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A4C9E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3E9434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4E98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B84BE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4A98C51">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深圳市龙岗区龙岭学校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563F0B">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27C59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25E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DB144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9232021">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深圳市龙岗区龙岭初级中学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F632EF">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73F9B9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初中</w:t>
            </w:r>
          </w:p>
        </w:tc>
      </w:tr>
      <w:tr w14:paraId="1E30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CFE1D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567008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深圳市龙岗区爱义学校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E24201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0EFB56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904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6DB81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8B48B5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深圳市龙岗区智民实验学校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6C0E9D">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4FBB6E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AEF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794BE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B4FFCB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深圳市龙岗区科城实验学校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FD1FD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6A7A6B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4CE0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D342A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AA70047">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深圳市龙岗区木棉湾实验学校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68AFA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792F71">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D68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7A3F8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A5383B7">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深圳市承翰学校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80DB8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1EA1FC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07F5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2F1381">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D85F87">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深圳市龙岗区百合外国语学校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ECD280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65332F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初中</w:t>
            </w:r>
          </w:p>
        </w:tc>
      </w:tr>
      <w:tr w14:paraId="5CDF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FB04D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348BDA">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深圳市龙岗区启元学校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C08DF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71390D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5A10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9BA00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F017CFD">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深圳市龙岗区东方半岛小学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59E9C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211D3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7295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11DD9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830024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深圳市龙岗区中兴小学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C2FED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8871E7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7B7D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690E4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07A1D5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深圳市龙岗区百外春蕾小学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C67DF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0B90D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3C47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7EDC0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634578">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深圳市龙岗区百外世纪小学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E0703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57811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16C3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EBC68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4DE4F3E">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深圳市龙岗区时代学校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6E8A6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EE53F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7F5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32817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071FBD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深圳市龙岗区三联储运学校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DDFE5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70F1B5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576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CD2DC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432E6B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深圳市龙岗区华龙学校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47616D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B0ADF3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A20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18E84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83AE59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深圳市龙岗区丽湖学校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82A692">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37002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0A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F34D9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19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86485AA">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深圳市龙岗区翠枫学校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A23EA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B483D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CEE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DF4C3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F0AB061">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深圳市龙岗区吉华爱爱学校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F1E4F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A89B5F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5106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6C60A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7ED2B4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深圳市龙岗区百外世纪初级中学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D7F68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280BC4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初中</w:t>
            </w:r>
          </w:p>
        </w:tc>
      </w:tr>
      <w:tr w14:paraId="4A74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E69DA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9F70BA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深圳市龙岗区雪象学校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0AB44F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7FC0E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3C9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05838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609656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深圳市龙岗区宏扬学校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51E4F8">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93208A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0CA5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6E526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31DB70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深圳市龙岗区坂田爱爱学校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7C8AE72">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26B1C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6C0A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E55E7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EDF7C9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深圳市龙岗区育英小学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EA134E">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03C1E3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1F37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D0A45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56DF88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深圳市龙岗区沙湾实验学校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5E0FF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FB626C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F65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F6CB7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2E1AAC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深圳市龙岗区南芳学校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5C691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D9335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4C2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D4696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28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381C10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深圳市龙岗区龙湖学校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931928">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53BE8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BE3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3F9C10">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29</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27E503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深圳市龙岗区平南学校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30FDD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C52CC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516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BED36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30</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3A8B84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深圳市龙岗区兴文学校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3CEC9B">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2383F9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EC2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D2A92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85745B4">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深圳市龙岗区爱文学校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561C3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A4B6D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07C2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71244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59D485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深圳市龙岗区南园学校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76CB0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CD7D84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960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69277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FCFED80">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深圳市龙岗区新南小学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94174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8F51F6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7641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F298B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874AE9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深圳市龙岗区新木小学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32D2A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0AE40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656E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F4D77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41C718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深圳市龙岗区金稻田学校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3E55E0">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3B787A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5E9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03E70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7C8C52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深圳市龙岗区华德学校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740449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87624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2AB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8B983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37739C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深圳菁华中英文实验中学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F2EAF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E144E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高中</w:t>
            </w:r>
          </w:p>
        </w:tc>
      </w:tr>
      <w:tr w14:paraId="10C3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8C891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73852E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深圳晟才高级中学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BC79AD">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6D399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高中</w:t>
            </w:r>
          </w:p>
        </w:tc>
      </w:tr>
      <w:tr w14:paraId="5A3B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A1837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39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32C74C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深圳市龙岗区嘉联学校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190942">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AB98531">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5CB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AB72E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74EB84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深圳市龙岗区康乐学校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FF420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84BA9B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1E1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2885A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898D95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深圳市龙岗区康乐小学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CE775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0C17A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7E17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11040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42</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F6D560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深圳市龙岗区联邦学校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FEDB8C8">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167745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AB7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77ED5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E90ED47">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深圳市龙岗区南芳塘坑学校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83136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3A8C2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5B1A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41488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854889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深圳市龙岗区德龙学校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4EC1FF">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F95177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019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505DF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61597E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深圳市龙岗区康艺学校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9A94E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22E4B7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192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0F645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EE398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深圳市龙岗区融美学校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27CA6B">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8CD12C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4BE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F4ECC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47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0BD142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深圳市龙岗区安康学校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3F444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ACB8E6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5C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CFF48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48</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662D422">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深圳市龙岗区弘文学校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75117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947B35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0FF5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65D14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49</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CB2920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深圳市龙岗区简壹学校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3F1FE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04393A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C3A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A5175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7661F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深圳市龙岗区金安小学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92681A">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C1A52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161B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B167C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ACFF75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深圳市龙岗区龙鹏小学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D6ECD1">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6C9201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5D1B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2E580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D5ECB2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深圳市龙岗区龙盛学校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0CB0E0">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E16D7B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4BE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056D3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47A787A">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深圳市龙岗区爱华学校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515A41">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95BAED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FC8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ED272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36B716D">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深圳市龙岗区华城学校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6807E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F2E055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87E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356A3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6FB6A5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深圳市龙岗区兴泰实验学校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4AD6A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5B24D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44F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26F17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8F8DDF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深圳市龙岗区文龙学校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7852CB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F4C86C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F78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6CDFFB">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57</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98E2EFE">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深圳市龙岗区龙联学校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4E69C1">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976209D">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6A02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60409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8C83F8D">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深圳市龙岗区英才小学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42F5B8">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8E230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3E8F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6C7ED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59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E137010">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深圳市龙岗区鹏达学校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A35E2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FD9EF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2A7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9A3FD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689ADC4">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深圳市龙岗区丰丽学校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564A7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D6AEDA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4BA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05B7C5">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61</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F9B596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深圳市龙岗区华升学校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E5C11E">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788CCA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3785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3E566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82C3E9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深圳市龙岗区惠民小学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FA3FA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DB039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3686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9B9906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8761DF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深圳市德邦高级中学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B1A927">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F44DA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高中</w:t>
            </w:r>
          </w:p>
        </w:tc>
      </w:tr>
      <w:tr w14:paraId="1CFC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C4E0C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0354E6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深圳市龙岗区五联崇和学校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24992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9DF3C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623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FCAEB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65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CE142E7">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深圳市建文外国语学校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59421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7398C0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3F5E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C554E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77E3044">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深圳市龙岗区龙洲学校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9363E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EB818E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58E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85F20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542710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深圳市龙岗区名星学校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50639F">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F8E2B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5CA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1E0B6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2C1FB95">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深圳市龙岗区建文小学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4643B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700E2D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1B43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1A640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69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F5CE33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深圳市龙岗区东珠学校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FC7B5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FF92BC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79F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8624B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70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4D805A0">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深圳市龙岗区才德小学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2C857E">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FB54C5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小学</w:t>
            </w:r>
          </w:p>
        </w:tc>
      </w:tr>
      <w:tr w14:paraId="79FF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77FC9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71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4133AA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深圳市龙岗区珊蒂泉外国语学校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17CC5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0A667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1AF1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20549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72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526349A">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深圳市枫叶学校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0740C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7A42F5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6A48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1E617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73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DF07901">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深圳市鹏达高级中学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1E6879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CFF203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高中</w:t>
            </w:r>
          </w:p>
        </w:tc>
      </w:tr>
      <w:tr w14:paraId="5F3E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9E9091">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74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40D890E">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深圳市龙岗区凯瑞特学校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7862463">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BD8EA1">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96C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1F9DC9">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75</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803080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深圳市龙岗区坪东学校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BFAC5E">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F464B38">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1CEE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BC66F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76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5BD1D20">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深圳市龙岗区坪地惠华学校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3F039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06444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5FCD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A21A7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77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F993316">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深圳市龙岗区坪地坪西学校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8E023F">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93C180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23D1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D5AC8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78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281A5DB">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深圳市龙岗区同兴学校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CDA606">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9E1103">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九年一贯制</w:t>
            </w:r>
          </w:p>
        </w:tc>
      </w:tr>
      <w:tr w14:paraId="4741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72E984">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 xml:space="preserve">79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032FCE0">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深圳市龙岗区德琳学校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8855A1">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4345169">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十二年一贯制</w:t>
            </w:r>
          </w:p>
        </w:tc>
      </w:tr>
      <w:tr w14:paraId="587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04056C">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80</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40ACAF">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深圳市中荟高级中学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843A24">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000000"/>
                <w:kern w:val="0"/>
                <w:sz w:val="22"/>
                <w:szCs w:val="22"/>
                <w:highlight w:val="none"/>
                <w:u w:val="none"/>
                <w:lang w:eastAsia="zh-CN" w:bidi="ar"/>
              </w:rPr>
            </w:pPr>
            <w:r>
              <w:rPr>
                <w:rFonts w:hint="default" w:ascii="仿宋" w:hAnsi="仿宋" w:eastAsia="仿宋" w:cs="仿宋"/>
                <w:i w:val="0"/>
                <w:color w:val="000000"/>
                <w:kern w:val="0"/>
                <w:sz w:val="22"/>
                <w:szCs w:val="22"/>
                <w:highlight w:val="none"/>
                <w:u w:val="none"/>
                <w:lang w:eastAsia="zh-CN" w:bidi="ar"/>
              </w:rPr>
              <w:t>2025.1-2025.12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48195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高中</w:t>
            </w:r>
          </w:p>
        </w:tc>
      </w:tr>
    </w:tbl>
    <w:p w14:paraId="33D85906">
      <w:pPr>
        <w:pStyle w:val="6"/>
        <w:ind w:firstLine="562" w:firstLineChars="200"/>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注：本项目为长期服务项目，如发生续约，在项目数量不变的前提下，学校、复审项目及复审期间会根据实际情况做相应调整。</w:t>
      </w:r>
    </w:p>
    <w:p w14:paraId="76032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（二）复审内容</w:t>
      </w:r>
    </w:p>
    <w:p w14:paraId="791EF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本次对</w:t>
      </w:r>
      <w:r>
        <w:rPr>
          <w:rFonts w:hint="eastAsia" w:ascii="仿宋_GB2312" w:hAnsi="仿宋_GB2312" w:eastAsia="仿宋_GB2312" w:cs="仿宋_GB2312"/>
          <w:b w:val="0"/>
          <w:bCs w:val="0"/>
          <w:color w:val="auto"/>
          <w:sz w:val="32"/>
          <w:szCs w:val="32"/>
          <w:lang w:val="en-US" w:eastAsia="zh-CN"/>
        </w:rPr>
        <w:t>全区民办学校的年度财务审计报告</w:t>
      </w:r>
      <w:r>
        <w:rPr>
          <w:rFonts w:hint="eastAsia" w:ascii="仿宋_GB2312" w:eastAsia="仿宋_GB2312"/>
          <w:b w:val="0"/>
          <w:bCs w:val="0"/>
          <w:color w:val="auto"/>
          <w:sz w:val="32"/>
          <w:szCs w:val="32"/>
          <w:highlight w:val="none"/>
          <w:lang w:val="en-US" w:eastAsia="zh-CN"/>
        </w:rPr>
        <w:t>进行复审，主要对学校的财务审计报告数据波动较大的情况进行复审，整体概况并对波动较大原因进行分析，确保审计结果的准确性和可靠性；</w:t>
      </w:r>
      <w:r>
        <w:rPr>
          <w:rFonts w:hint="eastAsia" w:ascii="仿宋_GB2312" w:hAnsi="仿宋_GB2312" w:eastAsia="仿宋_GB2312" w:cs="仿宋_GB2312"/>
          <w:b w:val="0"/>
          <w:bCs w:val="0"/>
          <w:color w:val="auto"/>
          <w:sz w:val="32"/>
          <w:szCs w:val="32"/>
          <w:lang w:val="en-US" w:eastAsia="zh-CN"/>
        </w:rPr>
        <w:t>重点内容</w:t>
      </w:r>
      <w:r>
        <w:rPr>
          <w:rFonts w:hint="eastAsia" w:ascii="仿宋_GB2312" w:hAnsi="仿宋_GB2312" w:eastAsia="仿宋_GB2312" w:cs="仿宋_GB2312"/>
          <w:b w:val="0"/>
          <w:bCs w:val="0"/>
          <w:color w:val="auto"/>
          <w:sz w:val="32"/>
          <w:szCs w:val="32"/>
          <w:lang w:eastAsia="zh-CN"/>
        </w:rPr>
        <w:t>包</w:t>
      </w:r>
      <w:r>
        <w:rPr>
          <w:rFonts w:hint="eastAsia" w:ascii="仿宋_GB2312" w:hAnsi="仿宋_GB2312" w:eastAsia="仿宋_GB2312" w:cs="仿宋_GB2312"/>
          <w:b w:val="0"/>
          <w:bCs w:val="0"/>
          <w:color w:val="auto"/>
          <w:sz w:val="32"/>
          <w:szCs w:val="32"/>
          <w:lang w:val="en-US" w:eastAsia="zh-CN"/>
        </w:rPr>
        <w:t>括</w:t>
      </w:r>
      <w:r>
        <w:rPr>
          <w:rFonts w:hint="eastAsia" w:ascii="仿宋_GB2312" w:hAnsi="仿宋_GB2312" w:eastAsia="仿宋_GB2312" w:cs="仿宋_GB2312"/>
          <w:b w:val="0"/>
          <w:bCs w:val="0"/>
          <w:color w:val="auto"/>
          <w:sz w:val="32"/>
          <w:szCs w:val="32"/>
          <w:lang w:eastAsia="zh-CN"/>
        </w:rPr>
        <w:t>但不限于以下方面：</w:t>
      </w:r>
    </w:p>
    <w:p w14:paraId="19C8DBB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学校收入和支出是否符合法规和政策要求，财务收支的真实、合法和效益情况。</w:t>
      </w:r>
    </w:p>
    <w:p w14:paraId="7898140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是否按照会计制度、会计准则的要求，对有关经济业务事项进行会计核算，财务报告及有关的会计账簿、会计凭证等会计资料是否完整、真实、合法。</w:t>
      </w:r>
    </w:p>
    <w:p w14:paraId="0E7BA7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债权债务的管理情况，复审其内容的合法性、合理性和真实性。</w:t>
      </w:r>
    </w:p>
    <w:p w14:paraId="1CA1443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政府专项资金的申报、使用情况，是否遵守相关法律法规和资金拨付文件要求，是否符合效益性要求。</w:t>
      </w:r>
    </w:p>
    <w:p w14:paraId="508FD9A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学校的关联交易情况，是否通过关联交易或关联方等方式转移办学收益等。</w:t>
      </w:r>
    </w:p>
    <w:p w14:paraId="1E29083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其他事项，以实际要求及相关规定为准。</w:t>
      </w:r>
    </w:p>
    <w:p w14:paraId="2FF38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（三）商务需求</w:t>
      </w:r>
    </w:p>
    <w:p w14:paraId="46DA8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1.服务期限：自合同签订之日起一年。</w:t>
      </w:r>
    </w:p>
    <w:p w14:paraId="797EC0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2.服务费用：本项目复审服务费用实行包干制，包含复审费、业务费、差旅费、餐费等所有与本次复审有关费用，中标单位在中标后不得以任何理由增加其他费用。</w:t>
      </w:r>
    </w:p>
    <w:p w14:paraId="2B344D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3.项目人员需求一览表</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11"/>
        <w:gridCol w:w="1110"/>
        <w:gridCol w:w="3069"/>
        <w:gridCol w:w="2231"/>
      </w:tblGrid>
      <w:tr w14:paraId="1922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noWrap w:val="0"/>
            <w:vAlign w:val="center"/>
          </w:tcPr>
          <w:p w14:paraId="0FF46F1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序号</w:t>
            </w:r>
          </w:p>
        </w:tc>
        <w:tc>
          <w:tcPr>
            <w:tcW w:w="1611" w:type="dxa"/>
            <w:noWrap w:val="0"/>
            <w:vAlign w:val="center"/>
          </w:tcPr>
          <w:p w14:paraId="493FC30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人员类别</w:t>
            </w:r>
          </w:p>
        </w:tc>
        <w:tc>
          <w:tcPr>
            <w:tcW w:w="1110" w:type="dxa"/>
            <w:noWrap w:val="0"/>
            <w:vAlign w:val="center"/>
          </w:tcPr>
          <w:p w14:paraId="1E743A8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★数量</w:t>
            </w:r>
          </w:p>
        </w:tc>
        <w:tc>
          <w:tcPr>
            <w:tcW w:w="3069" w:type="dxa"/>
            <w:noWrap w:val="0"/>
            <w:vAlign w:val="center"/>
          </w:tcPr>
          <w:p w14:paraId="61CBD5A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★人员必须具备条件</w:t>
            </w:r>
          </w:p>
        </w:tc>
        <w:tc>
          <w:tcPr>
            <w:tcW w:w="2231" w:type="dxa"/>
            <w:noWrap w:val="0"/>
            <w:vAlign w:val="center"/>
          </w:tcPr>
          <w:p w14:paraId="0DC76C2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备注</w:t>
            </w:r>
          </w:p>
        </w:tc>
      </w:tr>
      <w:tr w14:paraId="5034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8" w:type="dxa"/>
            <w:noWrap w:val="0"/>
            <w:vAlign w:val="center"/>
          </w:tcPr>
          <w:p w14:paraId="48644B2F">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1611" w:type="dxa"/>
            <w:noWrap w:val="0"/>
            <w:vAlign w:val="center"/>
          </w:tcPr>
          <w:p w14:paraId="060538D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项目负责人</w:t>
            </w:r>
          </w:p>
        </w:tc>
        <w:tc>
          <w:tcPr>
            <w:tcW w:w="1110" w:type="dxa"/>
            <w:noWrap w:val="0"/>
            <w:vAlign w:val="center"/>
          </w:tcPr>
          <w:p w14:paraId="3612854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w:t>
            </w:r>
          </w:p>
        </w:tc>
        <w:tc>
          <w:tcPr>
            <w:tcW w:w="3069" w:type="dxa"/>
            <w:noWrap w:val="0"/>
            <w:vAlign w:val="center"/>
          </w:tcPr>
          <w:p w14:paraId="4002D9D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注册会计师（CPA）</w:t>
            </w:r>
          </w:p>
        </w:tc>
        <w:tc>
          <w:tcPr>
            <w:tcW w:w="2231" w:type="dxa"/>
            <w:noWrap w:val="0"/>
            <w:vAlign w:val="center"/>
          </w:tcPr>
          <w:p w14:paraId="18F04F06">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可不常驻采购单位</w:t>
            </w:r>
          </w:p>
        </w:tc>
      </w:tr>
      <w:tr w14:paraId="2EDA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noWrap w:val="0"/>
            <w:vAlign w:val="center"/>
          </w:tcPr>
          <w:p w14:paraId="11E2867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w:t>
            </w:r>
          </w:p>
        </w:tc>
        <w:tc>
          <w:tcPr>
            <w:tcW w:w="1611" w:type="dxa"/>
            <w:noWrap w:val="0"/>
            <w:vAlign w:val="center"/>
          </w:tcPr>
          <w:p w14:paraId="50DC9DA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复审小组长</w:t>
            </w:r>
          </w:p>
        </w:tc>
        <w:tc>
          <w:tcPr>
            <w:tcW w:w="1110" w:type="dxa"/>
            <w:noWrap w:val="0"/>
            <w:vAlign w:val="center"/>
          </w:tcPr>
          <w:p w14:paraId="533FEEAE">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3069" w:type="dxa"/>
            <w:noWrap w:val="0"/>
            <w:vAlign w:val="center"/>
          </w:tcPr>
          <w:p w14:paraId="11861449">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注册会计师（CPA）或高级会计师或中级会计师或中级审计师</w:t>
            </w:r>
          </w:p>
        </w:tc>
        <w:tc>
          <w:tcPr>
            <w:tcW w:w="2231" w:type="dxa"/>
            <w:noWrap w:val="0"/>
            <w:vAlign w:val="center"/>
          </w:tcPr>
          <w:p w14:paraId="6C3025C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p>
        </w:tc>
      </w:tr>
      <w:tr w14:paraId="754D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08" w:type="dxa"/>
            <w:noWrap w:val="0"/>
            <w:vAlign w:val="center"/>
          </w:tcPr>
          <w:p w14:paraId="3064E382">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w:t>
            </w:r>
          </w:p>
        </w:tc>
        <w:tc>
          <w:tcPr>
            <w:tcW w:w="1611" w:type="dxa"/>
            <w:noWrap w:val="0"/>
            <w:vAlign w:val="center"/>
          </w:tcPr>
          <w:p w14:paraId="0D01D9E5">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复审人员</w:t>
            </w:r>
          </w:p>
        </w:tc>
        <w:tc>
          <w:tcPr>
            <w:tcW w:w="1110" w:type="dxa"/>
            <w:noWrap w:val="0"/>
            <w:vAlign w:val="center"/>
          </w:tcPr>
          <w:p w14:paraId="0B00641B">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w:t>
            </w:r>
          </w:p>
        </w:tc>
        <w:tc>
          <w:tcPr>
            <w:tcW w:w="3069" w:type="dxa"/>
            <w:noWrap w:val="0"/>
            <w:vAlign w:val="center"/>
          </w:tcPr>
          <w:p w14:paraId="38C80FE3">
            <w:pPr>
              <w:keepNext w:val="0"/>
              <w:keepLines w:val="0"/>
              <w:pageBreakBefore w:val="0"/>
              <w:widowControl/>
              <w:suppressLineNumbers w:val="0"/>
              <w:kinsoku/>
              <w:overflowPunct/>
              <w:topLinePunct w:val="0"/>
              <w:autoSpaceDE/>
              <w:autoSpaceDN/>
              <w:bidi w:val="0"/>
              <w:spacing w:line="560" w:lineRule="exact"/>
              <w:jc w:val="left"/>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初级会计师或初级审计师</w:t>
            </w:r>
          </w:p>
        </w:tc>
        <w:tc>
          <w:tcPr>
            <w:tcW w:w="2231" w:type="dxa"/>
            <w:noWrap w:val="0"/>
            <w:vAlign w:val="center"/>
          </w:tcPr>
          <w:p w14:paraId="7501335C">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p>
        </w:tc>
      </w:tr>
      <w:tr w14:paraId="41DE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119" w:type="dxa"/>
            <w:gridSpan w:val="2"/>
            <w:noWrap w:val="0"/>
            <w:vAlign w:val="center"/>
          </w:tcPr>
          <w:p w14:paraId="2D232240">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合计</w:t>
            </w:r>
          </w:p>
        </w:tc>
        <w:tc>
          <w:tcPr>
            <w:tcW w:w="1110" w:type="dxa"/>
            <w:noWrap w:val="0"/>
            <w:vAlign w:val="center"/>
          </w:tcPr>
          <w:p w14:paraId="5A4C20DD">
            <w:pPr>
              <w:keepNext w:val="0"/>
              <w:keepLines w:val="0"/>
              <w:pageBreakBefore w:val="0"/>
              <w:widowControl/>
              <w:suppressLineNumbers w:val="0"/>
              <w:kinsoku/>
              <w:overflowPunct/>
              <w:topLinePunct w:val="0"/>
              <w:autoSpaceDE/>
              <w:autoSpaceDN/>
              <w:bidi w:val="0"/>
              <w:spacing w:line="560" w:lineRule="exact"/>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11</w:t>
            </w:r>
          </w:p>
        </w:tc>
        <w:tc>
          <w:tcPr>
            <w:tcW w:w="3069" w:type="dxa"/>
            <w:noWrap w:val="0"/>
            <w:vAlign w:val="center"/>
          </w:tcPr>
          <w:p w14:paraId="18841877">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w:t>
            </w:r>
          </w:p>
        </w:tc>
        <w:tc>
          <w:tcPr>
            <w:tcW w:w="2231" w:type="dxa"/>
            <w:noWrap w:val="0"/>
            <w:vAlign w:val="center"/>
          </w:tcPr>
          <w:p w14:paraId="3756529A">
            <w:pPr>
              <w:keepNext w:val="0"/>
              <w:keepLines w:val="0"/>
              <w:pageBreakBefore w:val="0"/>
              <w:widowControl/>
              <w:suppressLineNumbers w:val="0"/>
              <w:kinsoku/>
              <w:overflowPunct/>
              <w:topLinePunct w:val="0"/>
              <w:autoSpaceDE/>
              <w:autoSpaceDN/>
              <w:bidi w:val="0"/>
              <w:spacing w:line="560" w:lineRule="exact"/>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w:t>
            </w:r>
          </w:p>
        </w:tc>
      </w:tr>
    </w:tbl>
    <w:p w14:paraId="4C3CA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特别说明：</w:t>
      </w:r>
    </w:p>
    <w:p w14:paraId="28961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①拟安排的“项目负责人”及“复审小组长”中标后原则上不能变更。</w:t>
      </w:r>
    </w:p>
    <w:p w14:paraId="4EDCA3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1名项目负责人(需专业人员，非复审小组长，非事务所负责人)做好项目的沟通协调、计划总结及质量把控工作，复审小组长和复审人员均分成5组，每组2人由复审小组长和复审人员组成复审小组，在指定时间陪同采购单位指定人员前往复审点。</w:t>
      </w:r>
    </w:p>
    <w:p w14:paraId="0ED1C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w:t>
      </w:r>
      <w:r>
        <w:rPr>
          <w:rFonts w:hint="eastAsia" w:ascii="仿宋_GB2312" w:hAnsi="仿宋_GB2312" w:eastAsia="仿宋_GB2312" w:cs="仿宋_GB2312"/>
          <w:color w:val="auto"/>
          <w:sz w:val="28"/>
          <w:szCs w:val="28"/>
          <w:highlight w:val="none"/>
          <w:lang w:val="en-US"/>
        </w:rPr>
        <w:t>仅限</w:t>
      </w: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lang w:val="en-US"/>
        </w:rPr>
        <w:t>人，</w:t>
      </w:r>
      <w:r>
        <w:rPr>
          <w:rFonts w:hint="eastAsia" w:ascii="仿宋_GB2312" w:hAnsi="仿宋_GB2312" w:eastAsia="仿宋_GB2312" w:cs="仿宋_GB2312"/>
          <w:color w:val="auto"/>
          <w:sz w:val="28"/>
          <w:szCs w:val="28"/>
          <w:highlight w:val="none"/>
          <w:lang w:val="en-US" w:eastAsia="zh-CN"/>
        </w:rPr>
        <w:t>退休返聘人员不得高于二人，</w:t>
      </w:r>
      <w:r>
        <w:rPr>
          <w:rFonts w:hint="eastAsia" w:ascii="仿宋_GB2312" w:hAnsi="仿宋_GB2312" w:eastAsia="仿宋_GB2312" w:cs="仿宋_GB2312"/>
          <w:color w:val="auto"/>
          <w:sz w:val="28"/>
          <w:szCs w:val="28"/>
          <w:highlight w:val="none"/>
          <w:lang w:val="en-US"/>
        </w:rPr>
        <w:t>项目负责人</w:t>
      </w:r>
      <w:r>
        <w:rPr>
          <w:rFonts w:hint="eastAsia" w:ascii="仿宋_GB2312" w:hAnsi="仿宋_GB2312" w:eastAsia="仿宋_GB2312" w:cs="仿宋_GB2312"/>
          <w:color w:val="auto"/>
          <w:sz w:val="28"/>
          <w:szCs w:val="28"/>
          <w:highlight w:val="none"/>
          <w:lang w:val="en-US" w:eastAsia="zh-CN"/>
        </w:rPr>
        <w:t>不得担任复审小组长。</w:t>
      </w:r>
    </w:p>
    <w:p w14:paraId="755492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“★”号为实质性要求，投标人必须满足。投标人应提供相关证明材料（相关证书），否则按无效标处理。</w:t>
      </w:r>
    </w:p>
    <w:p w14:paraId="3E743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jc w:val="left"/>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“★”投标人应承诺拟派本项目复审人员人数、最低专业技术资格满足招标文件要求（提供承诺函，格式自拟）。</w:t>
      </w:r>
    </w:p>
    <w:p w14:paraId="1D184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4.项目验收要求</w:t>
      </w:r>
    </w:p>
    <w:p w14:paraId="40718870">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Chars="20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标方完成规定的民办学校全部复审工作，按照国家会计标准以及龙岗区教育局的要求编制复审报告，分别出具：（1）一份涵盖全区民办学校的年度报告复审情况汇总报告（一式四份），（2）复审报告附上一份针对各学校情况的复审问题及建议清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中标方需跟进整改情况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，待全部问题整改完成后再整理、移交工作底稿，并制成档案。</w:t>
      </w:r>
    </w:p>
    <w:p w14:paraId="75F57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（四）工作要求</w:t>
      </w:r>
    </w:p>
    <w:p w14:paraId="19D7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本次复审工作共有三个重要阶段：复审外勤阶段（外勤具体时间为9:00-18:00）、复审情况意见反馈阶段和复审情况报告阶段。本次复审工作具体要求如下：</w:t>
      </w:r>
    </w:p>
    <w:p w14:paraId="601EE3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1.中标单位需服从工作安排，在规定的时间到指定的工作地点开展工作；整个复审过程，中标单位要保持同龙岗区教育局和各街道教育办该项目工作人员联系、沟通。</w:t>
      </w:r>
    </w:p>
    <w:p w14:paraId="31736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复审人员对其在开展复审过程中知悉的被复审单位的商业秘密负有保密责任，不得利用其为自己或他人谋取利益；复审人员不得滥用职权、徇私舞弊、玩忽职守，不得接收被复审单位的财物及宴请，做到客观公正复审。</w:t>
      </w:r>
    </w:p>
    <w:p w14:paraId="627F2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3.能够严格按照龙岗区教育局的工作规范、程序和要求开展工作，对相关复审人员进行事前培训，并接受相关的业务指导。</w:t>
      </w:r>
    </w:p>
    <w:p w14:paraId="0FE21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按照独立、客观、公正的原则，在注册会计师执业准则的指导下，根据本次复审的程序，对被复审单位进行复审，并核对账务；在充分调查论证的基础上进行职业推断和客观评判，拟出财务专项复审报告。复审报告经龙岗区教育局审核及征求被复审单位意见后，出具正式</w:t>
      </w:r>
      <w:r>
        <w:rPr>
          <w:rFonts w:hint="eastAsia" w:ascii="仿宋_GB2312" w:hAnsi="仿宋_GB2312" w:eastAsia="仿宋_GB2312" w:cs="仿宋_GB2312"/>
          <w:b w:val="0"/>
          <w:bCs w:val="0"/>
          <w:color w:val="auto"/>
          <w:sz w:val="32"/>
          <w:szCs w:val="32"/>
          <w:lang w:val="en-US" w:eastAsia="zh-CN"/>
        </w:rPr>
        <w:t>年度财务审计报告复审</w:t>
      </w:r>
      <w:r>
        <w:rPr>
          <w:rFonts w:hint="eastAsia" w:ascii="仿宋_GB2312" w:hAnsi="仿宋_GB2312" w:eastAsia="仿宋_GB2312" w:cs="仿宋_GB2312"/>
          <w:color w:val="auto"/>
          <w:sz w:val="32"/>
          <w:szCs w:val="32"/>
          <w:highlight w:val="none"/>
          <w:lang w:val="en-US" w:eastAsia="zh-CN"/>
        </w:rPr>
        <w:t>报告，报告中财务数据、经济业务事实、引用法规依据不得出现错误。对于与本次复审相关的工作事宜不得另行收取费用。</w:t>
      </w:r>
    </w:p>
    <w:p w14:paraId="0120E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5.根据要求编制、整理、移交工作底稿（存储于U盘或光盘等移交），并制成档案。</w:t>
      </w:r>
    </w:p>
    <w:p w14:paraId="5C7313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6.针对复审过程中发现的问题提出整改意见，并对违法违纪事项提出处理意见等。</w:t>
      </w:r>
    </w:p>
    <w:p w14:paraId="0F2C1B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 w:val="0"/>
          <w:bCs/>
          <w:color w:val="auto"/>
          <w:sz w:val="32"/>
          <w:szCs w:val="32"/>
          <w:highlight w:val="none"/>
        </w:rPr>
        <w:t>双方的权利和义务</w:t>
      </w:r>
    </w:p>
    <w:p w14:paraId="455B6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（一）采购人的权利和义务</w:t>
      </w:r>
    </w:p>
    <w:p w14:paraId="4B558184">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1.督促学校及时为中标单位的财务专项</w:t>
      </w:r>
      <w:r>
        <w:rPr>
          <w:rFonts w:hint="eastAsia" w:ascii="仿宋_GB2312" w:hAnsi="仿宋_GB2312" w:eastAsia="仿宋_GB2312" w:cs="仿宋_GB2312"/>
          <w:color w:val="auto"/>
          <w:sz w:val="32"/>
          <w:szCs w:val="32"/>
          <w:highlight w:val="none"/>
          <w:lang w:val="en-US" w:eastAsia="zh-CN"/>
        </w:rPr>
        <w:t>复审</w:t>
      </w:r>
      <w:r>
        <w:rPr>
          <w:rFonts w:hint="eastAsia" w:ascii="仿宋_GB2312" w:hAnsi="仿宋_GB2312" w:eastAsia="仿宋_GB2312" w:cs="仿宋_GB2312"/>
          <w:color w:val="auto"/>
          <w:kern w:val="2"/>
          <w:sz w:val="32"/>
          <w:szCs w:val="32"/>
          <w:highlight w:val="none"/>
          <w:lang w:val="en-US" w:eastAsia="zh-CN" w:bidi="ar-SA"/>
        </w:rPr>
        <w:t>工作提供其所要求的全部会计资料和其他有关资料。</w:t>
      </w:r>
    </w:p>
    <w:p w14:paraId="38CFDABA">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2.为中标单位委派的</w:t>
      </w:r>
      <w:r>
        <w:rPr>
          <w:rFonts w:hint="eastAsia" w:ascii="仿宋_GB2312" w:hAnsi="仿宋_GB2312" w:eastAsia="仿宋_GB2312" w:cs="仿宋_GB2312"/>
          <w:color w:val="auto"/>
          <w:sz w:val="32"/>
          <w:szCs w:val="32"/>
          <w:highlight w:val="none"/>
          <w:lang w:val="en-US" w:eastAsia="zh-CN"/>
        </w:rPr>
        <w:t>复审</w:t>
      </w:r>
      <w:r>
        <w:rPr>
          <w:rFonts w:hint="eastAsia" w:ascii="仿宋_GB2312" w:hAnsi="仿宋_GB2312" w:eastAsia="仿宋_GB2312" w:cs="仿宋_GB2312"/>
          <w:color w:val="auto"/>
          <w:kern w:val="2"/>
          <w:sz w:val="32"/>
          <w:szCs w:val="32"/>
          <w:highlight w:val="none"/>
          <w:lang w:val="en-US" w:eastAsia="zh-CN" w:bidi="ar-SA"/>
        </w:rPr>
        <w:t>工作人员提供必要的工作条件和协助。</w:t>
      </w:r>
    </w:p>
    <w:p w14:paraId="44663252">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3.有权要求中标单位在规定的时间内提供</w:t>
      </w:r>
      <w:r>
        <w:rPr>
          <w:rFonts w:hint="eastAsia" w:ascii="仿宋_GB2312" w:hAnsi="仿宋_GB2312" w:eastAsia="仿宋_GB2312" w:cs="仿宋_GB2312"/>
          <w:b w:val="0"/>
          <w:bCs w:val="0"/>
          <w:color w:val="auto"/>
          <w:sz w:val="32"/>
          <w:szCs w:val="32"/>
          <w:lang w:val="en-US" w:eastAsia="zh-CN"/>
        </w:rPr>
        <w:t>年度财务审计报告复审</w:t>
      </w:r>
      <w:r>
        <w:rPr>
          <w:rFonts w:hint="eastAsia" w:ascii="仿宋_GB2312" w:hAnsi="仿宋_GB2312" w:eastAsia="仿宋_GB2312" w:cs="仿宋_GB2312"/>
          <w:color w:val="auto"/>
          <w:kern w:val="2"/>
          <w:sz w:val="32"/>
          <w:szCs w:val="32"/>
          <w:highlight w:val="none"/>
          <w:lang w:val="en-US" w:eastAsia="zh-CN" w:bidi="ar-SA"/>
        </w:rPr>
        <w:t>工作计划、工作方案、情况报告和复审档案资料等。</w:t>
      </w:r>
    </w:p>
    <w:p w14:paraId="3BA69AD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4.有权要求中标供应商适当调整委派人员。</w:t>
      </w:r>
    </w:p>
    <w:p w14:paraId="16E8514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5.如中标方未经采购人允许对外泄露相关财务资料，造成不良影响，采购方有权向中标单位追索经济赔偿并追究相关法律责任。</w:t>
      </w:r>
    </w:p>
    <w:p w14:paraId="66568E78">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6.提供复审单位联系人和辖区内街道教育办相关负责人联系方式。</w:t>
      </w:r>
    </w:p>
    <w:p w14:paraId="48EF941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7.项目跟进付款工作。</w:t>
      </w:r>
    </w:p>
    <w:p w14:paraId="65B18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（二）中标供应商的权利和义务</w:t>
      </w:r>
    </w:p>
    <w:p w14:paraId="223C3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按照《中华人民共和国民办教育促进法》《中华人民共和国民办教育促进法实施条例》、《深圳市民办中小学财务管理办法》等相关法律法规进行复审，按时出具真实、合法的复审情况报告。情况报告格式总体保持一致，因复审情况报告中出现法规引用不当、表达错误等原因导致多次反复修改，第一次口头警告，第二次书面整改，第三次将书面报区财政局处理。</w:t>
      </w:r>
    </w:p>
    <w:p w14:paraId="36B89323">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2.复审过程中恪守实事求是、客观公正。</w:t>
      </w:r>
    </w:p>
    <w:p w14:paraId="76C6FA7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3.按国家规定的程序实施复审过程，制定实施方案编制复审工作记录和复审底稿，按照国家的</w:t>
      </w:r>
      <w:r>
        <w:rPr>
          <w:rFonts w:hint="eastAsia" w:ascii="仿宋_GB2312" w:hAnsi="仿宋_GB2312" w:eastAsia="仿宋_GB2312" w:cs="仿宋_GB2312"/>
          <w:b w:val="0"/>
          <w:bCs w:val="0"/>
          <w:color w:val="auto"/>
          <w:kern w:val="2"/>
          <w:sz w:val="32"/>
          <w:szCs w:val="32"/>
          <w:highlight w:val="none"/>
          <w:lang w:val="en-US" w:eastAsia="zh-CN" w:bidi="ar-SA"/>
        </w:rPr>
        <w:t>相关财务管理准则和</w:t>
      </w:r>
      <w:r>
        <w:rPr>
          <w:rFonts w:hint="eastAsia" w:ascii="仿宋_GB2312" w:hAnsi="仿宋_GB2312" w:eastAsia="仿宋_GB2312" w:cs="仿宋_GB2312"/>
          <w:color w:val="auto"/>
          <w:kern w:val="2"/>
          <w:sz w:val="32"/>
          <w:szCs w:val="32"/>
          <w:highlight w:val="none"/>
          <w:lang w:val="en-US" w:eastAsia="zh-CN" w:bidi="ar-SA"/>
        </w:rPr>
        <w:t>采购方复审指引要求实施复审。</w:t>
      </w:r>
    </w:p>
    <w:p w14:paraId="361F9C10">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中标供应商项目负责人要定期与采购单位项目负责人进行沟通交流，同时中标供应商做好阶段性（初期、中期及后期）的计划总结工作，并形成书面总结材料送采购方，总结内容包含但不限于以下内容：复审进度情况、下一步工作计划等。</w:t>
      </w:r>
    </w:p>
    <w:p w14:paraId="301D19D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5.该项目复审人员必须是中标方事务所供职人员，中标方如实提供复审人员专业水平状况，并保证复审人员的复审工作水准，若复审人员无法胜任工作，须按采购方要求更换人员。</w:t>
      </w:r>
    </w:p>
    <w:p w14:paraId="33F2EAA0">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该项目复审人员应遵守审计署审计纪律“八不准”规定，遵守职业道德和需方规定的纪律；服务期间不得以采购方名义从事与复审工作无关的活动；对复审过程中知悉的商业秘密负有保密责任，除法律另有规定外，未经采购方或被复审单位书面同意，中标方及复审人员不得将被复审单位提供的资料对外泄露。否则，中标方承担由此产生的一切责任与后果，若因此给采购方造成损失的，中标方应予以全部赔偿。</w:t>
      </w:r>
    </w:p>
    <w:p w14:paraId="481215DE">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7.复审项目结束后，中标方要如数归还被复审单位的会计资料，并及时整理复审资料，装订复审档案并移交采购方。</w:t>
      </w:r>
    </w:p>
    <w:p w14:paraId="76041F1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8.中标方不得将复审项目非法分包或转包给任何单位和个人。否则，采购方有权即刻终止合同，并要求中标供应商赔偿相应损失。</w:t>
      </w:r>
    </w:p>
    <w:p w14:paraId="30BFA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（三）违约责任</w:t>
      </w:r>
    </w:p>
    <w:p w14:paraId="3913D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标供应商必须严格按照招标文件项目服务要求，按时安排足够数量并符合“人员配置要求”（见“商务需求”内容）的复审人员，进驻采购单位开展复审服务工作任务。如中标供应商未按要求安排足够数量并符合“人员相关要求”的复审人员到采购单位开展</w:t>
      </w:r>
      <w:r>
        <w:rPr>
          <w:rFonts w:hint="eastAsia" w:ascii="仿宋_GB2312" w:hAnsi="仿宋_GB2312" w:eastAsia="仿宋_GB2312" w:cs="仿宋_GB2312"/>
          <w:b w:val="0"/>
          <w:bCs w:val="0"/>
          <w:color w:val="auto"/>
          <w:sz w:val="32"/>
          <w:szCs w:val="32"/>
          <w:lang w:val="en-US" w:eastAsia="zh-CN"/>
        </w:rPr>
        <w:t>年度财务审计报告复审</w:t>
      </w:r>
      <w:r>
        <w:rPr>
          <w:rFonts w:hint="eastAsia" w:ascii="仿宋_GB2312" w:hAnsi="仿宋_GB2312" w:eastAsia="仿宋_GB2312" w:cs="仿宋_GB2312"/>
          <w:color w:val="auto"/>
          <w:kern w:val="2"/>
          <w:sz w:val="32"/>
          <w:szCs w:val="32"/>
          <w:highlight w:val="none"/>
          <w:lang w:val="en-US" w:eastAsia="zh-CN" w:bidi="ar-SA"/>
        </w:rPr>
        <w:t>服务工作任务，导致采购方无法正常完成复审服务工作任务，采购方严格按《深圳市政府采购供应商诚信管理暂行办法》第六条，书面报请财政部门记入供应商诚信档案。</w:t>
      </w:r>
    </w:p>
    <w:p w14:paraId="7B4CC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履约期间，如有审复审人员离职等情况导致无法完成采购单位复审服务工作任务，中标供应商按要求安排符合条件的复审人员接替其相关复审服务工作。一经出现缺岗情况，限3个日历日整改完毕，未按要求整改或者履约期间出现二次缺岗导致采购人无法完成会计服务工作，采购单位直接书面报告财政部门记入供应商诚信档案。</w:t>
      </w:r>
    </w:p>
    <w:p w14:paraId="518CC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3.中标供应商在履约期间，如果因在岗的复审人员疏忽造成采购人的损失（包括经济与名誉等方面的损失），应当由中标供应商赔偿采购人的所有损失。</w:t>
      </w:r>
    </w:p>
    <w:p w14:paraId="24C3F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（四）投标响应承诺</w:t>
      </w:r>
    </w:p>
    <w:p w14:paraId="34161C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 w:firstLineChars="5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b/>
          <w:bCs/>
          <w:color w:val="auto"/>
          <w:kern w:val="2"/>
          <w:sz w:val="32"/>
          <w:szCs w:val="32"/>
          <w:highlight w:val="none"/>
          <w:lang w:val="en-US" w:eastAsia="zh-CN" w:bidi="ar-SA"/>
        </w:rPr>
        <w:t xml:space="preserve"> 供应商参与投标的，视为已完全理解和接受项目需求的所有要求，并能做出实质性响应承诺。</w:t>
      </w:r>
    </w:p>
    <w:p w14:paraId="0797D5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t>投标人资质要求</w:t>
      </w:r>
    </w:p>
    <w:p w14:paraId="2B09F3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（一）具有独立法人资格；</w:t>
      </w:r>
    </w:p>
    <w:p w14:paraId="7832E9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（二）本项目不接受联合体投标，不允许分包；</w:t>
      </w:r>
    </w:p>
    <w:p w14:paraId="5A45A1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（三）投标人为具备营业执照和执业许可的会计师事务所；</w:t>
      </w:r>
    </w:p>
    <w:p w14:paraId="1553F1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（四）参与本项目投标前三年内，在经营活动中没有重大违法记录（由供应商在《政府采购投标及履约承诺函》中作出声明）；</w:t>
      </w:r>
    </w:p>
    <w:p w14:paraId="0583EA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（五）参与本项目政府采购活动时不存在被有关部门禁止参与政府采购活动且在有效期内的情况（由供应商在《政府采购投标及履约承诺函》中作出声明）；</w:t>
      </w:r>
    </w:p>
    <w:p w14:paraId="0A53CE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（六）具备《中华人民共和国政府采购法》第二十二条第一款的条件（由供应商在《政府采购投标及履约承诺函》中作出声明）；</w:t>
      </w:r>
    </w:p>
    <w:p w14:paraId="691EA6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（七）未被列入失信被执行人、重大税收违法案件当事人名单、政府采购严重违法失信行为记录名单（由供应商在《政府采购投标及履约承诺函》中作出声明）。</w:t>
      </w:r>
    </w:p>
    <w:p w14:paraId="19A13E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注：“信用中国”“中国政府采购网”“深圳信用网”以及“深圳市政府采购监管网”为供应商信用信息的查询渠道，相关信息以开标当日的查询结果为准。</w:t>
      </w:r>
    </w:p>
    <w:p w14:paraId="462D50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t>付款方式</w:t>
      </w:r>
    </w:p>
    <w:p w14:paraId="2DDF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按深圳市龙岗区财政局有关规定付款。</w:t>
      </w:r>
    </w:p>
    <w:p w14:paraId="356981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t>项目续签</w:t>
      </w:r>
    </w:p>
    <w:p w14:paraId="43A91444">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本项目为年度服务项目，每年度均会开展相关复查，属于长期服务项目，年度服务结束后，采购人将对中标供应商服务情况进行履约评价，评价为良及以上的将可续签合同，长期服务项目政府采购合同履行期限最长不得超过三十六个月，如采购人对履约情况不满意或工作安排需要，采购人不再续约。</w:t>
      </w:r>
      <w:r>
        <w:rPr>
          <w:rFonts w:hint="eastAsia" w:ascii="宋体" w:hAnsi="宋体" w:eastAsia="宋体"/>
        </w:rPr>
        <w:t xml:space="preserve">      </w:t>
      </w:r>
    </w:p>
    <w:p w14:paraId="4E2D01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t>投标要求和评标时间</w:t>
      </w:r>
    </w:p>
    <w:p w14:paraId="0AB085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2026年3月19日12:00前</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应标公司到</w:t>
      </w:r>
      <w:r>
        <w:rPr>
          <w:rFonts w:hint="eastAsia" w:ascii="仿宋_GB2312" w:hAnsi="仿宋_GB2312" w:eastAsia="仿宋_GB2312" w:cs="仿宋_GB2312"/>
          <w:bCs/>
          <w:color w:val="auto"/>
          <w:sz w:val="32"/>
          <w:szCs w:val="32"/>
          <w:highlight w:val="none"/>
        </w:rPr>
        <w:t>深圳市龙岗区教育局</w:t>
      </w:r>
      <w:r>
        <w:rPr>
          <w:rFonts w:hint="eastAsia" w:ascii="仿宋_GB2312" w:hAnsi="仿宋_GB2312" w:eastAsia="仿宋_GB2312" w:cs="仿宋_GB2312"/>
          <w:bCs/>
          <w:color w:val="auto"/>
          <w:sz w:val="32"/>
          <w:szCs w:val="32"/>
          <w:highlight w:val="none"/>
          <w:lang w:val="en-US" w:eastAsia="zh-CN"/>
        </w:rPr>
        <w:t>310室</w:t>
      </w:r>
      <w:r>
        <w:rPr>
          <w:rFonts w:hint="eastAsia" w:ascii="仿宋_GB2312" w:hAnsi="仿宋_GB2312" w:eastAsia="仿宋_GB2312" w:cs="仿宋_GB2312"/>
          <w:color w:val="auto"/>
          <w:sz w:val="32"/>
          <w:szCs w:val="32"/>
          <w:highlight w:val="none"/>
          <w:lang w:val="en-US" w:eastAsia="zh-CN"/>
        </w:rPr>
        <w:t>提交投标文件</w:t>
      </w:r>
      <w:r>
        <w:rPr>
          <w:rFonts w:hint="eastAsia" w:ascii="仿宋_GB2312" w:hAnsi="仿宋_GB2312" w:eastAsia="仿宋_GB2312" w:cs="仿宋_GB2312"/>
          <w:b/>
          <w:bCs/>
          <w:color w:val="auto"/>
          <w:sz w:val="32"/>
          <w:szCs w:val="32"/>
          <w:highlight w:val="none"/>
          <w:lang w:val="en-US" w:eastAsia="zh-CN"/>
        </w:rPr>
        <w:t>（一式五份）</w:t>
      </w:r>
      <w:r>
        <w:rPr>
          <w:rFonts w:hint="eastAsia" w:ascii="仿宋_GB2312" w:hAnsi="仿宋_GB2312" w:eastAsia="仿宋_GB2312" w:cs="仿宋_GB2312"/>
          <w:color w:val="auto"/>
          <w:sz w:val="32"/>
          <w:szCs w:val="32"/>
          <w:highlight w:val="none"/>
          <w:lang w:val="en-US" w:eastAsia="zh-CN"/>
        </w:rPr>
        <w:t>，逾期提交将不予受理。</w:t>
      </w:r>
    </w:p>
    <w:p w14:paraId="42211A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特别提醒：（1）由公司法人代表参加应标的须提供身份证复印件（现场验原件）；（2）由公司授权委托代理人参加应标的须交身份证复印件（现场验原件）和法人代表签署的授权委托书原件；（3）提交标书时请现场签到确认。</w:t>
      </w:r>
    </w:p>
    <w:p w14:paraId="5DE498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lang w:val="en-US" w:eastAsia="zh-CN"/>
        </w:rPr>
        <w:t>月19</w:t>
      </w:r>
      <w:r>
        <w:rPr>
          <w:rFonts w:hint="eastAsia"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color w:val="auto"/>
          <w:sz w:val="32"/>
          <w:szCs w:val="32"/>
          <w:highlight w:val="none"/>
          <w:lang w:val="en-US" w:eastAsia="zh-CN"/>
        </w:rPr>
        <w:t>15:00，区教育局评标小组公开开标，确认预中标公司及中标价格。</w:t>
      </w:r>
    </w:p>
    <w:p w14:paraId="02021E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最终中标公司及中标价格通过龙岗政府在线的龙岗区教育局“阳光采购”栏目对结果进行公示，并发出中标通知书。</w:t>
      </w:r>
    </w:p>
    <w:p w14:paraId="714CBC4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t>业务咨询</w:t>
      </w:r>
    </w:p>
    <w:p w14:paraId="47F5AA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业务联系人：赖老师</w:t>
      </w:r>
    </w:p>
    <w:p w14:paraId="43018A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联系电话：</w:t>
      </w:r>
      <w:r>
        <w:rPr>
          <w:rFonts w:hint="eastAsia" w:ascii="仿宋_GB2312" w:hAnsi="仿宋_GB2312" w:eastAsia="仿宋_GB2312" w:cs="仿宋_GB2312"/>
          <w:color w:val="auto"/>
          <w:sz w:val="32"/>
          <w:szCs w:val="32"/>
          <w:highlight w:val="none"/>
          <w:lang w:val="en-US" w:eastAsia="zh-CN"/>
        </w:rPr>
        <w:t>89551985</w:t>
      </w:r>
    </w:p>
    <w:p w14:paraId="601C22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地址：龙岗区中心城清林中路213号教育综合大厦310室。</w:t>
      </w:r>
    </w:p>
    <w:p w14:paraId="65D9AD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4B02143A">
      <w:pPr>
        <w:keepNext w:val="0"/>
        <w:keepLines w:val="0"/>
        <w:pageBreakBefore w:val="0"/>
        <w:numPr>
          <w:ilvl w:val="0"/>
          <w:numId w:val="0"/>
        </w:numPr>
        <w:kinsoku/>
        <w:overflowPunct/>
        <w:topLinePunct w:val="0"/>
        <w:autoSpaceDE/>
        <w:autoSpaceDN/>
        <w:bidi w:val="0"/>
        <w:spacing w:line="560" w:lineRule="exact"/>
        <w:ind w:leftChars="0"/>
        <w:jc w:val="right"/>
        <w:rPr>
          <w:rFonts w:hint="eastAsia" w:ascii="仿宋" w:hAnsi="仿宋" w:eastAsia="仿宋" w:cs="仿宋"/>
          <w:bCs/>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龙岗区教育局</w:t>
      </w:r>
    </w:p>
    <w:p w14:paraId="3DC3F35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b w:val="0"/>
          <w:bCs w:val="0"/>
          <w:color w:val="auto"/>
          <w:sz w:val="32"/>
          <w:szCs w:val="32"/>
          <w:highlight w:val="yellow"/>
          <w:lang w:val="en-US" w:eastAsia="zh-CN"/>
        </w:rPr>
      </w:pPr>
      <w:r>
        <w:rPr>
          <w:rFonts w:hint="eastAsia" w:ascii="仿宋" w:hAnsi="仿宋" w:eastAsia="仿宋" w:cs="仿宋"/>
          <w:bCs/>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2026年3月11日</w:t>
      </w:r>
    </w:p>
    <w:p w14:paraId="2F95BB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p>
    <w:p w14:paraId="24C085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CA20"/>
    <w:multiLevelType w:val="singleLevel"/>
    <w:tmpl w:val="A43DCA20"/>
    <w:lvl w:ilvl="0" w:tentative="0">
      <w:start w:val="1"/>
      <w:numFmt w:val="chineseCounting"/>
      <w:suff w:val="nothing"/>
      <w:lvlText w:val="%1、"/>
      <w:lvlJc w:val="left"/>
      <w:rPr>
        <w:rFonts w:hint="eastAsia"/>
        <w:sz w:val="32"/>
        <w:szCs w:val="32"/>
      </w:rPr>
    </w:lvl>
  </w:abstractNum>
  <w:abstractNum w:abstractNumId="1">
    <w:nsid w:val="34FCD1E6"/>
    <w:multiLevelType w:val="singleLevel"/>
    <w:tmpl w:val="34FCD1E6"/>
    <w:lvl w:ilvl="0" w:tentative="0">
      <w:start w:val="1"/>
      <w:numFmt w:val="chineseCounting"/>
      <w:suff w:val="nothing"/>
      <w:lvlText w:val="（%1）"/>
      <w:lvlJc w:val="left"/>
      <w:rPr>
        <w:rFonts w:hint="eastAsia"/>
      </w:rPr>
    </w:lvl>
  </w:abstractNum>
  <w:abstractNum w:abstractNumId="2">
    <w:nsid w:val="652D12B6"/>
    <w:multiLevelType w:val="singleLevel"/>
    <w:tmpl w:val="652D12B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1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qFormat/>
    <w:uiPriority w:val="0"/>
    <w:pPr>
      <w:spacing w:line="360" w:lineRule="auto"/>
    </w:pPr>
    <w:rPr>
      <w:b/>
      <w:bCs/>
      <w:sz w:val="24"/>
    </w:rPr>
  </w:style>
  <w:style w:type="paragraph" w:styleId="5">
    <w:name w:val="annotation text"/>
    <w:basedOn w:val="1"/>
    <w:qFormat/>
    <w:uiPriority w:val="0"/>
    <w:pPr>
      <w:jc w:val="left"/>
    </w:pPr>
  </w:style>
  <w:style w:type="paragraph" w:styleId="6">
    <w:name w:val="Title"/>
    <w:basedOn w:val="1"/>
    <w:next w:val="1"/>
    <w:qFormat/>
    <w:uiPriority w:val="0"/>
    <w:pPr>
      <w:spacing w:before="240" w:after="60"/>
      <w:jc w:val="center"/>
      <w:outlineLvl w:val="0"/>
    </w:pPr>
    <w:rPr>
      <w:rFonts w:ascii="Arial" w:hAnsi="Arial" w:eastAsia="隶书"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caroline</cp:lastModifiedBy>
  <dcterms:modified xsi:type="dcterms:W3CDTF">2026-03-11T02:50:36Z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eyJoZGlkIjoiMGM1NGViYjZlOTU5OWIwN2RlODY3ZGJlYWQwZWQzNWYiLCJ1c2VySWQiOiIxMDEwNjI3Nzc4In0=</vt:lpwstr>
  </property>
  <property fmtid="{D5CDD505-2E9C-101B-9397-08002B2CF9AE}" pid="4" name="ICV">
    <vt:lpwstr>E841282747254E5BAC2E4BC45749D6E7_12</vt:lpwstr>
  </property>
</Properties>
</file>