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55B65">
      <w:pPr>
        <w:spacing w:line="360" w:lineRule="auto"/>
        <w:jc w:val="center"/>
        <w:rPr>
          <w:rFonts w:ascii="宋体" w:hAnsi="宋体"/>
          <w:b/>
          <w:sz w:val="32"/>
          <w:szCs w:val="32"/>
        </w:rPr>
      </w:pPr>
      <w:bookmarkStart w:id="5" w:name="_GoBack"/>
      <w:bookmarkEnd w:id="5"/>
      <w:r>
        <w:rPr>
          <w:rFonts w:hint="eastAsia" w:ascii="宋体" w:hAnsi="宋体"/>
          <w:b/>
          <w:sz w:val="32"/>
          <w:szCs w:val="32"/>
          <w:lang w:val="en-US" w:eastAsia="zh-CN"/>
        </w:rPr>
        <w:t>龙岗区妇幼保健院互联网诊疗平台运维服务项目</w:t>
      </w:r>
      <w:r>
        <w:rPr>
          <w:rFonts w:hint="eastAsia" w:ascii="宋体" w:hAnsi="宋体"/>
          <w:b/>
          <w:sz w:val="32"/>
          <w:szCs w:val="32"/>
        </w:rPr>
        <w:t>需求文件</w:t>
      </w:r>
    </w:p>
    <w:p w14:paraId="6ACD41C9">
      <w:pPr>
        <w:pStyle w:val="3"/>
        <w:numPr>
          <w:ilvl w:val="-1"/>
          <w:numId w:val="0"/>
        </w:numPr>
        <w:ind w:left="0" w:firstLine="0"/>
      </w:pPr>
      <w:bookmarkStart w:id="0" w:name="_Toc361780468"/>
    </w:p>
    <w:p w14:paraId="5A08FC45">
      <w:pPr>
        <w:pStyle w:val="4"/>
        <w:numPr>
          <w:ilvl w:val="0"/>
          <w:numId w:val="1"/>
        </w:numPr>
        <w:spacing w:before="156" w:beforeLines="50" w:after="156" w:afterLines="50"/>
        <w:rPr>
          <w:rFonts w:hint="eastAsia" w:cs="宋体"/>
          <w:sz w:val="28"/>
          <w:szCs w:val="28"/>
        </w:rPr>
      </w:pPr>
      <w:r>
        <w:rPr>
          <w:rFonts w:hint="eastAsia" w:cs="宋体"/>
          <w:sz w:val="28"/>
          <w:szCs w:val="28"/>
        </w:rPr>
        <w:t>项目技术要求</w:t>
      </w:r>
    </w:p>
    <w:p w14:paraId="1FC6577E">
      <w:pPr>
        <w:tabs>
          <w:tab w:val="left" w:pos="1429"/>
        </w:tabs>
        <w:spacing w:line="520" w:lineRule="exact"/>
        <w:ind w:firstLine="480" w:firstLineChars="200"/>
        <w:rPr>
          <w:rFonts w:hint="eastAsia" w:ascii="仿宋" w:hAnsi="仿宋" w:eastAsia="仿宋" w:cs="仿宋"/>
          <w:sz w:val="28"/>
          <w:szCs w:val="28"/>
        </w:rPr>
      </w:pPr>
      <w:r>
        <w:rPr>
          <w:rFonts w:hint="eastAsia"/>
          <w:sz w:val="24"/>
        </w:rPr>
        <w:t>深圳市龙岗区妇幼保健院互联网诊疗平台（以下简称“系统”）经过5年多的建设运行，系统现已在科室正常运行，有效地为客户提供互联网诊疗等便捷服务。目前系统的免费维保期已满，为了保障后续工作的顺畅开展，保障系统的稳定正常运行，保障系统的数据安全可靠，改善系统的运行性能，提升用户对系统的利用能力和水平，需采购互联网诊疗平台运维服务，服务内容包括软件运维服务、服务器/数据库运维服务、技术支持服务、现场服务。</w:t>
      </w:r>
    </w:p>
    <w:p w14:paraId="30DC3824">
      <w:pPr>
        <w:pStyle w:val="10"/>
        <w:numPr>
          <w:ilvl w:val="0"/>
          <w:numId w:val="2"/>
        </w:numPr>
        <w:spacing w:line="360" w:lineRule="auto"/>
        <w:ind w:left="0"/>
      </w:pPr>
      <w:r>
        <w:rPr>
          <w:rFonts w:hint="eastAsia" w:ascii="宋体" w:hAnsi="宋体" w:cs="宋体"/>
          <w:b/>
          <w:bCs/>
          <w:sz w:val="24"/>
        </w:rPr>
        <w:t>软件运维服务要求</w:t>
      </w:r>
    </w:p>
    <w:p w14:paraId="493320DA">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维保范围：见后附软硬件维保范围。</w:t>
      </w:r>
    </w:p>
    <w:p w14:paraId="0489599D">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乙方应成立专门的项目组开展运维服务工作，项目组由项目负责人、技术工程师组成，设立24小时热线服务电话。出现故障时，采购人可与项目负责人联系，由项目负责人安排技术工程师提供运维服务。</w:t>
      </w:r>
    </w:p>
    <w:p w14:paraId="2D6CA15C">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乙方应定期派遣技术工程师前往用户现场提供巡检服务，服务内容包括系统检查与优化、服务器系统检查与优化等。</w:t>
      </w:r>
    </w:p>
    <w:p w14:paraId="53D186D0">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乙方接到采购人因软件故障造成的紧急服务要求后需在2小时内响应，并提供远程控制或电话指示解决；涉及到医院业务连续性影响医疗正常医疗业务的情况在6个小时内不能解决的，经医院要求需派工程师前往现场解决。</w:t>
      </w:r>
    </w:p>
    <w:p w14:paraId="04A240A2">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乙方应积极响应与处理软件系统使用过程中所发现的BUG问题，对于软件存在的可复现的BUG问题，在与采购人确认修复时间后，应在约定的时间之内完成修改。</w:t>
      </w:r>
    </w:p>
    <w:p w14:paraId="53BAA3D7">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运维服务期内，乙方需提供7*24小时技术支持热线电话（固话或手机）及远程服务。工作期间（正常工作日9:00-18:00）软件故障响应时间不超过2小时，紧急情况下到达现场时间不超过6小时；非工作期间软件故障响应时间不超过4小时，紧急到达现场时间不超过12小时 （如遇人力不可抗拒的因素，双方另行协商），以保证医院业务工作正常运行。</w:t>
      </w:r>
    </w:p>
    <w:p w14:paraId="3ADC0CF6">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乙方在推出同版本的升级迭代程序后，需对院方系统进行更新升级（该次更新升级不包括合同范围外功能），具体更新时间可由双方协商。</w:t>
      </w:r>
    </w:p>
    <w:p w14:paraId="3CC70225">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乙方需提供完善的系统应急预案，并能在系统发生故障后第一时间进行启用。</w:t>
      </w:r>
    </w:p>
    <w:p w14:paraId="253F7CF0">
      <w:pPr>
        <w:pStyle w:val="10"/>
        <w:numPr>
          <w:ilvl w:val="0"/>
          <w:numId w:val="2"/>
        </w:numPr>
        <w:spacing w:line="360" w:lineRule="auto"/>
        <w:ind w:left="0"/>
        <w:rPr>
          <w:rFonts w:hint="eastAsia" w:ascii="宋体" w:hAnsi="宋体" w:cs="宋体"/>
          <w:b/>
          <w:bCs/>
          <w:sz w:val="24"/>
        </w:rPr>
      </w:pPr>
      <w:r>
        <w:rPr>
          <w:rFonts w:hint="eastAsia" w:ascii="宋体" w:hAnsi="宋体" w:cs="宋体"/>
          <w:b/>
          <w:bCs/>
          <w:sz w:val="24"/>
        </w:rPr>
        <w:t>服务器/数据库运维服务要求</w:t>
      </w:r>
    </w:p>
    <w:p w14:paraId="4A380C86">
      <w:pPr>
        <w:numPr>
          <w:ilvl w:val="0"/>
          <w:numId w:val="4"/>
        </w:numPr>
        <w:tabs>
          <w:tab w:val="left" w:pos="851"/>
          <w:tab w:val="left" w:pos="1260"/>
        </w:tabs>
        <w:spacing w:line="360" w:lineRule="auto"/>
        <w:jc w:val="left"/>
        <w:rPr>
          <w:rFonts w:hint="eastAsia" w:ascii="宋体" w:hAnsi="宋体" w:cs="宋体"/>
          <w:sz w:val="24"/>
        </w:rPr>
      </w:pPr>
      <w:r>
        <w:rPr>
          <w:rFonts w:hint="eastAsia" w:ascii="宋体" w:hAnsi="宋体" w:cs="宋体"/>
          <w:sz w:val="24"/>
        </w:rPr>
        <w:t>定期对数据库服务器进行巡检，对现有服务器、数据库运行状态进行评估，并提供评估报告。</w:t>
      </w:r>
    </w:p>
    <w:p w14:paraId="4EC1D964">
      <w:pPr>
        <w:numPr>
          <w:ilvl w:val="0"/>
          <w:numId w:val="4"/>
        </w:numPr>
        <w:tabs>
          <w:tab w:val="left" w:pos="851"/>
          <w:tab w:val="left" w:pos="1260"/>
        </w:tabs>
        <w:spacing w:line="360" w:lineRule="auto"/>
        <w:jc w:val="left"/>
        <w:rPr>
          <w:rFonts w:hint="eastAsia" w:ascii="宋体" w:hAnsi="宋体" w:cs="宋体"/>
          <w:sz w:val="24"/>
        </w:rPr>
      </w:pPr>
      <w:r>
        <w:rPr>
          <w:rFonts w:hint="eastAsia" w:ascii="宋体" w:hAnsi="宋体" w:cs="宋体"/>
          <w:sz w:val="24"/>
        </w:rPr>
        <w:t>对数据库中产生的问题日志，提供远程查看与指导。</w:t>
      </w:r>
    </w:p>
    <w:p w14:paraId="70A9CBC7">
      <w:pPr>
        <w:pStyle w:val="10"/>
        <w:numPr>
          <w:ilvl w:val="0"/>
          <w:numId w:val="2"/>
        </w:numPr>
        <w:spacing w:line="360" w:lineRule="auto"/>
        <w:ind w:left="0"/>
        <w:rPr>
          <w:rFonts w:hint="eastAsia" w:ascii="宋体" w:hAnsi="宋体" w:cs="宋体"/>
          <w:b/>
          <w:bCs/>
          <w:sz w:val="24"/>
        </w:rPr>
      </w:pPr>
      <w:r>
        <w:rPr>
          <w:rFonts w:hint="eastAsia" w:ascii="宋体" w:hAnsi="宋体" w:cs="宋体"/>
          <w:b/>
          <w:bCs/>
          <w:sz w:val="24"/>
        </w:rPr>
        <w:t>技术支持服务</w:t>
      </w:r>
    </w:p>
    <w:p w14:paraId="67BD86B0">
      <w:pPr>
        <w:numPr>
          <w:ilvl w:val="0"/>
          <w:numId w:val="5"/>
        </w:numPr>
        <w:tabs>
          <w:tab w:val="left" w:pos="851"/>
          <w:tab w:val="left" w:pos="1260"/>
        </w:tabs>
        <w:spacing w:line="360" w:lineRule="auto"/>
        <w:jc w:val="left"/>
        <w:rPr>
          <w:rFonts w:hint="eastAsia" w:ascii="宋体" w:hAnsi="宋体" w:cs="宋体"/>
          <w:sz w:val="24"/>
        </w:rPr>
      </w:pPr>
      <w:r>
        <w:rPr>
          <w:rFonts w:hint="eastAsia" w:ascii="宋体" w:hAnsi="宋体" w:cs="宋体"/>
          <w:sz w:val="24"/>
        </w:rPr>
        <w:t>用户培训服务，院方在使用以及维护过程中遇到操作不熟练、系统流程不熟悉或误操作时应提供相应的指导与咨询，并及时回答提出的问题。</w:t>
      </w:r>
    </w:p>
    <w:p w14:paraId="78974893">
      <w:pPr>
        <w:numPr>
          <w:ilvl w:val="0"/>
          <w:numId w:val="5"/>
        </w:numPr>
        <w:tabs>
          <w:tab w:val="left" w:pos="851"/>
          <w:tab w:val="left" w:pos="1260"/>
        </w:tabs>
        <w:spacing w:line="360" w:lineRule="auto"/>
        <w:jc w:val="left"/>
        <w:rPr>
          <w:rFonts w:hint="eastAsia" w:ascii="宋体" w:hAnsi="宋体" w:cs="宋体"/>
          <w:sz w:val="24"/>
        </w:rPr>
      </w:pPr>
      <w:r>
        <w:rPr>
          <w:rFonts w:hint="eastAsia" w:ascii="宋体" w:hAnsi="宋体" w:cs="宋体"/>
          <w:sz w:val="24"/>
        </w:rPr>
        <w:t>系统更新指导服务，在进行系统更新时，提供远程或电话指导的服务，协助院方更新现有系统。</w:t>
      </w:r>
    </w:p>
    <w:p w14:paraId="73CDEA68">
      <w:pPr>
        <w:numPr>
          <w:ilvl w:val="0"/>
          <w:numId w:val="5"/>
        </w:numPr>
        <w:tabs>
          <w:tab w:val="left" w:pos="851"/>
          <w:tab w:val="left" w:pos="1260"/>
        </w:tabs>
        <w:spacing w:line="360" w:lineRule="auto"/>
        <w:jc w:val="left"/>
        <w:rPr>
          <w:rFonts w:hint="eastAsia" w:ascii="宋体" w:hAnsi="宋体" w:cs="宋体"/>
          <w:sz w:val="24"/>
        </w:rPr>
      </w:pPr>
      <w:r>
        <w:rPr>
          <w:rFonts w:hint="eastAsia" w:ascii="宋体" w:hAnsi="宋体" w:cs="宋体"/>
          <w:sz w:val="24"/>
        </w:rPr>
        <w:t>根据系统运行实际状况，提供有关系统安装、调试、使用、维护、升级、IT技术发展趋势等方面的免费咨询服务。</w:t>
      </w:r>
    </w:p>
    <w:p w14:paraId="7AA9F944">
      <w:pPr>
        <w:pStyle w:val="10"/>
        <w:numPr>
          <w:ilvl w:val="0"/>
          <w:numId w:val="2"/>
        </w:numPr>
        <w:spacing w:line="360" w:lineRule="auto"/>
        <w:ind w:left="0"/>
        <w:rPr>
          <w:rFonts w:hint="eastAsia" w:ascii="宋体" w:hAnsi="宋体" w:cs="宋体"/>
          <w:b/>
          <w:bCs/>
          <w:sz w:val="24"/>
        </w:rPr>
      </w:pPr>
      <w:r>
        <w:rPr>
          <w:rFonts w:hint="eastAsia" w:ascii="宋体" w:hAnsi="宋体" w:cs="宋体"/>
          <w:b/>
          <w:bCs/>
          <w:sz w:val="24"/>
        </w:rPr>
        <w:t>现场服务</w:t>
      </w:r>
    </w:p>
    <w:p w14:paraId="7DE6D603">
      <w:pPr>
        <w:numPr>
          <w:ilvl w:val="0"/>
          <w:numId w:val="6"/>
        </w:numPr>
        <w:tabs>
          <w:tab w:val="left" w:pos="851"/>
          <w:tab w:val="left" w:pos="1260"/>
        </w:tabs>
        <w:spacing w:line="360" w:lineRule="auto"/>
        <w:jc w:val="left"/>
        <w:rPr>
          <w:rFonts w:hint="eastAsia" w:ascii="宋体" w:hAnsi="宋体" w:cs="宋体"/>
          <w:sz w:val="24"/>
        </w:rPr>
      </w:pPr>
      <w:r>
        <w:rPr>
          <w:rFonts w:hint="eastAsia" w:ascii="宋体" w:hAnsi="宋体" w:cs="宋体"/>
          <w:sz w:val="24"/>
        </w:rPr>
        <w:t>根据实际需求，不定期组织专题讨论会，详细听取客户意见，了解客户需求，以便更好地为客户提供优质的服务。</w:t>
      </w:r>
    </w:p>
    <w:p w14:paraId="5F8B1A8E">
      <w:pPr>
        <w:numPr>
          <w:ilvl w:val="0"/>
          <w:numId w:val="6"/>
        </w:numPr>
        <w:tabs>
          <w:tab w:val="left" w:pos="851"/>
          <w:tab w:val="left" w:pos="1260"/>
        </w:tabs>
        <w:spacing w:line="360" w:lineRule="auto"/>
        <w:jc w:val="left"/>
        <w:rPr>
          <w:rFonts w:hint="eastAsia" w:ascii="宋体" w:hAnsi="宋体" w:cs="宋体"/>
          <w:sz w:val="24"/>
        </w:rPr>
      </w:pPr>
      <w:r>
        <w:rPr>
          <w:rFonts w:hint="eastAsia" w:ascii="宋体" w:hAnsi="宋体" w:cs="宋体"/>
          <w:sz w:val="24"/>
        </w:rPr>
        <w:t>周期性地在系统现场进行技术总结，为用户科学分析现有系统资源使用情况，包括在过去工作过程中所出现问题的总结，可能存在的系统瓶颈分析，并对今后系统运行提出合理建议。</w:t>
      </w:r>
    </w:p>
    <w:p w14:paraId="475670E7">
      <w:pPr>
        <w:pStyle w:val="15"/>
      </w:pPr>
    </w:p>
    <w:p w14:paraId="4D3BE76A">
      <w:pPr>
        <w:pStyle w:val="15"/>
      </w:pPr>
    </w:p>
    <w:p w14:paraId="6564E8C6">
      <w:pPr>
        <w:widowControl/>
        <w:jc w:val="left"/>
        <w:rPr>
          <w:b/>
          <w:bCs/>
          <w:sz w:val="24"/>
        </w:rPr>
      </w:pPr>
      <w:r>
        <w:rPr>
          <w:b/>
          <w:bCs/>
          <w:sz w:val="24"/>
        </w:rPr>
        <w:br w:type="page"/>
      </w:r>
    </w:p>
    <w:p w14:paraId="23E34D89">
      <w:pPr>
        <w:pStyle w:val="15"/>
        <w:ind w:firstLine="482"/>
        <w:jc w:val="left"/>
        <w:rPr>
          <w:b/>
          <w:bCs/>
          <w:sz w:val="24"/>
        </w:rPr>
      </w:pPr>
      <w:r>
        <w:rPr>
          <w:rFonts w:hint="eastAsia"/>
          <w:b/>
          <w:bCs/>
          <w:sz w:val="24"/>
        </w:rPr>
        <w:t>附：软硬件维保范围</w:t>
      </w:r>
    </w:p>
    <w:p w14:paraId="02609971">
      <w:pPr>
        <w:spacing w:line="276" w:lineRule="auto"/>
        <w:rPr>
          <w:rFonts w:ascii="宋体"/>
          <w:b/>
        </w:rPr>
      </w:pPr>
      <w:r>
        <w:rPr>
          <w:rFonts w:hint="eastAsia" w:ascii="宋体" w:hAnsi="宋体"/>
          <w:b/>
        </w:rPr>
        <w:t>（1）互联网诊疗平台</w:t>
      </w:r>
    </w:p>
    <w:tbl>
      <w:tblPr>
        <w:tblStyle w:val="16"/>
        <w:tblW w:w="8500" w:type="dxa"/>
        <w:tblInd w:w="0" w:type="dxa"/>
        <w:tblLayout w:type="fixed"/>
        <w:tblCellMar>
          <w:top w:w="0" w:type="dxa"/>
          <w:left w:w="108" w:type="dxa"/>
          <w:bottom w:w="0" w:type="dxa"/>
          <w:right w:w="108" w:type="dxa"/>
        </w:tblCellMar>
      </w:tblPr>
      <w:tblGrid>
        <w:gridCol w:w="634"/>
        <w:gridCol w:w="975"/>
        <w:gridCol w:w="1437"/>
        <w:gridCol w:w="5454"/>
      </w:tblGrid>
      <w:tr w14:paraId="026C49DE">
        <w:tblPrEx>
          <w:tblCellMar>
            <w:top w:w="0" w:type="dxa"/>
            <w:left w:w="108" w:type="dxa"/>
            <w:bottom w:w="0" w:type="dxa"/>
            <w:right w:w="108" w:type="dxa"/>
          </w:tblCellMar>
        </w:tblPrEx>
        <w:trPr>
          <w:trHeight w:val="341" w:hRule="atLeast"/>
          <w:tblHeader/>
        </w:trPr>
        <w:tc>
          <w:tcPr>
            <w:tcW w:w="6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BF64F80">
            <w:pPr>
              <w:widowControl/>
              <w:jc w:val="center"/>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序号</w:t>
            </w:r>
          </w:p>
        </w:tc>
        <w:tc>
          <w:tcPr>
            <w:tcW w:w="975"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6E60A1AE">
            <w:pPr>
              <w:widowControl/>
              <w:jc w:val="center"/>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主项</w:t>
            </w:r>
          </w:p>
        </w:tc>
        <w:tc>
          <w:tcPr>
            <w:tcW w:w="1437"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61507427">
            <w:pPr>
              <w:widowControl/>
              <w:jc w:val="center"/>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功能点</w:t>
            </w:r>
          </w:p>
        </w:tc>
        <w:tc>
          <w:tcPr>
            <w:tcW w:w="5454"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2F0EF800">
            <w:pPr>
              <w:widowControl/>
              <w:jc w:val="center"/>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技术参数要求</w:t>
            </w:r>
          </w:p>
        </w:tc>
      </w:tr>
      <w:tr w14:paraId="36A47AA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C285DC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975" w:type="dxa"/>
            <w:vMerge w:val="restart"/>
            <w:tcBorders>
              <w:top w:val="single" w:color="auto" w:sz="4" w:space="0"/>
              <w:left w:val="nil"/>
              <w:right w:val="single" w:color="auto" w:sz="4" w:space="0"/>
            </w:tcBorders>
            <w:vAlign w:val="center"/>
          </w:tcPr>
          <w:p w14:paraId="1AE17DC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bCs/>
                <w:kern w:val="0"/>
                <w:sz w:val="18"/>
                <w:szCs w:val="18"/>
              </w:rPr>
              <w:t>居民移动端</w:t>
            </w:r>
          </w:p>
        </w:tc>
        <w:tc>
          <w:tcPr>
            <w:tcW w:w="1437" w:type="dxa"/>
            <w:tcBorders>
              <w:top w:val="single" w:color="auto" w:sz="4" w:space="0"/>
              <w:left w:val="nil"/>
              <w:bottom w:val="single" w:color="auto" w:sz="4" w:space="0"/>
              <w:right w:val="single" w:color="auto" w:sz="4" w:space="0"/>
            </w:tcBorders>
            <w:vAlign w:val="center"/>
          </w:tcPr>
          <w:p w14:paraId="703F44A4">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图文咨询</w:t>
            </w:r>
          </w:p>
        </w:tc>
        <w:tc>
          <w:tcPr>
            <w:tcW w:w="5454" w:type="dxa"/>
            <w:tcBorders>
              <w:top w:val="single" w:color="auto" w:sz="4" w:space="0"/>
              <w:left w:val="nil"/>
              <w:bottom w:val="single" w:color="auto" w:sz="4" w:space="0"/>
              <w:right w:val="single" w:color="auto" w:sz="4" w:space="0"/>
            </w:tcBorders>
            <w:vAlign w:val="center"/>
          </w:tcPr>
          <w:p w14:paraId="5775F960">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患者可通过患者小程序发起图文咨询，可与医生进行图文在线交流。</w:t>
            </w:r>
          </w:p>
        </w:tc>
      </w:tr>
      <w:tr w14:paraId="2E3BE45A">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15895D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975" w:type="dxa"/>
            <w:vMerge w:val="continue"/>
            <w:tcBorders>
              <w:left w:val="nil"/>
              <w:right w:val="single" w:color="auto" w:sz="4" w:space="0"/>
            </w:tcBorders>
            <w:vAlign w:val="center"/>
          </w:tcPr>
          <w:p w14:paraId="6C51ECE6">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B7A687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视频问诊</w:t>
            </w:r>
          </w:p>
        </w:tc>
        <w:tc>
          <w:tcPr>
            <w:tcW w:w="5454" w:type="dxa"/>
            <w:tcBorders>
              <w:top w:val="single" w:color="auto" w:sz="4" w:space="0"/>
              <w:left w:val="nil"/>
              <w:bottom w:val="single" w:color="auto" w:sz="4" w:space="0"/>
              <w:right w:val="single" w:color="auto" w:sz="4" w:space="0"/>
            </w:tcBorders>
            <w:vAlign w:val="center"/>
          </w:tcPr>
          <w:p w14:paraId="06B73D0B">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患者可通过患者小程序发起与医生进行视频互动，医生可视病情对患者开具处方。</w:t>
            </w:r>
          </w:p>
        </w:tc>
      </w:tr>
      <w:tr w14:paraId="3D7A2C1E">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4765C2B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975" w:type="dxa"/>
            <w:vMerge w:val="continue"/>
            <w:tcBorders>
              <w:left w:val="nil"/>
              <w:right w:val="single" w:color="auto" w:sz="4" w:space="0"/>
            </w:tcBorders>
            <w:vAlign w:val="center"/>
          </w:tcPr>
          <w:p w14:paraId="6ECB76F8">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5159BB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候诊室</w:t>
            </w:r>
          </w:p>
        </w:tc>
        <w:tc>
          <w:tcPr>
            <w:tcW w:w="5454" w:type="dxa"/>
            <w:tcBorders>
              <w:top w:val="single" w:color="auto" w:sz="4" w:space="0"/>
              <w:left w:val="nil"/>
              <w:bottom w:val="single" w:color="auto" w:sz="4" w:space="0"/>
              <w:right w:val="single" w:color="auto" w:sz="4" w:space="0"/>
            </w:tcBorders>
            <w:vAlign w:val="center"/>
          </w:tcPr>
          <w:p w14:paraId="2FAF3CA3">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患者可通过患者小程序提交视频问诊订单后进入候诊室，可实时查看排队情况。</w:t>
            </w:r>
          </w:p>
        </w:tc>
      </w:tr>
      <w:tr w14:paraId="19981AE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2AA43C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975" w:type="dxa"/>
            <w:vMerge w:val="continue"/>
            <w:tcBorders>
              <w:left w:val="nil"/>
              <w:right w:val="single" w:color="auto" w:sz="4" w:space="0"/>
            </w:tcBorders>
            <w:vAlign w:val="center"/>
          </w:tcPr>
          <w:p w14:paraId="329972C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AE69D6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视频陪诊</w:t>
            </w:r>
          </w:p>
        </w:tc>
        <w:tc>
          <w:tcPr>
            <w:tcW w:w="5454" w:type="dxa"/>
            <w:tcBorders>
              <w:top w:val="single" w:color="auto" w:sz="4" w:space="0"/>
              <w:left w:val="nil"/>
              <w:bottom w:val="single" w:color="auto" w:sz="4" w:space="0"/>
              <w:right w:val="single" w:color="auto" w:sz="4" w:space="0"/>
            </w:tcBorders>
            <w:vAlign w:val="center"/>
          </w:tcPr>
          <w:p w14:paraId="4BC28007">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患者可通过患者小程序提交视频问诊订单后，向微信好友发送陪诊申请，被邀请人可进入视频诊室。</w:t>
            </w:r>
          </w:p>
        </w:tc>
      </w:tr>
      <w:tr w14:paraId="23482057">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4F8566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975" w:type="dxa"/>
            <w:vMerge w:val="continue"/>
            <w:tcBorders>
              <w:left w:val="nil"/>
              <w:right w:val="single" w:color="auto" w:sz="4" w:space="0"/>
            </w:tcBorders>
            <w:vAlign w:val="center"/>
          </w:tcPr>
          <w:p w14:paraId="6240571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BF470A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诊疗记录</w:t>
            </w:r>
          </w:p>
        </w:tc>
        <w:tc>
          <w:tcPr>
            <w:tcW w:w="5454" w:type="dxa"/>
            <w:tcBorders>
              <w:top w:val="single" w:color="auto" w:sz="4" w:space="0"/>
              <w:left w:val="nil"/>
              <w:bottom w:val="single" w:color="auto" w:sz="4" w:space="0"/>
              <w:right w:val="single" w:color="auto" w:sz="4" w:space="0"/>
            </w:tcBorders>
            <w:vAlign w:val="center"/>
          </w:tcPr>
          <w:p w14:paraId="66EA48EA">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患者进入患者小程序可查看医生所开病历和处方信息。</w:t>
            </w:r>
          </w:p>
        </w:tc>
      </w:tr>
      <w:tr w14:paraId="478298C6">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395CC0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975" w:type="dxa"/>
            <w:vMerge w:val="continue"/>
            <w:tcBorders>
              <w:left w:val="nil"/>
              <w:right w:val="single" w:color="auto" w:sz="4" w:space="0"/>
            </w:tcBorders>
            <w:vAlign w:val="center"/>
          </w:tcPr>
          <w:p w14:paraId="08180AD8">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163184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医生评价</w:t>
            </w:r>
          </w:p>
        </w:tc>
        <w:tc>
          <w:tcPr>
            <w:tcW w:w="5454" w:type="dxa"/>
            <w:tcBorders>
              <w:top w:val="single" w:color="auto" w:sz="4" w:space="0"/>
              <w:left w:val="nil"/>
              <w:bottom w:val="single" w:color="auto" w:sz="4" w:space="0"/>
              <w:right w:val="single" w:color="auto" w:sz="4" w:space="0"/>
            </w:tcBorders>
            <w:vAlign w:val="center"/>
          </w:tcPr>
          <w:p w14:paraId="0F41A5DB">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诊疗完成后，患者可对医生进行评价。评价包括服务满意度进行评分，并可提交评价内容</w:t>
            </w:r>
          </w:p>
        </w:tc>
      </w:tr>
      <w:tr w14:paraId="7BB71022">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EA5A47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975" w:type="dxa"/>
            <w:vMerge w:val="continue"/>
            <w:tcBorders>
              <w:left w:val="nil"/>
              <w:right w:val="single" w:color="auto" w:sz="4" w:space="0"/>
            </w:tcBorders>
            <w:vAlign w:val="center"/>
          </w:tcPr>
          <w:p w14:paraId="4D03F28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CBE9B1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在线支付</w:t>
            </w:r>
          </w:p>
        </w:tc>
        <w:tc>
          <w:tcPr>
            <w:tcW w:w="5454" w:type="dxa"/>
            <w:tcBorders>
              <w:top w:val="single" w:color="auto" w:sz="4" w:space="0"/>
              <w:left w:val="nil"/>
              <w:bottom w:val="single" w:color="auto" w:sz="4" w:space="0"/>
              <w:right w:val="single" w:color="auto" w:sz="4" w:space="0"/>
            </w:tcBorders>
            <w:vAlign w:val="center"/>
          </w:tcPr>
          <w:p w14:paraId="1D9C71EF">
            <w:pPr>
              <w:spacing w:line="276" w:lineRule="auto"/>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患者通过患者小程序在线支付所需费用。可根据实际情况对接微信线上医保。</w:t>
            </w:r>
          </w:p>
        </w:tc>
      </w:tr>
      <w:tr w14:paraId="3E53D791">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D2E532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975" w:type="dxa"/>
            <w:vMerge w:val="continue"/>
            <w:tcBorders>
              <w:left w:val="nil"/>
              <w:right w:val="single" w:color="auto" w:sz="4" w:space="0"/>
            </w:tcBorders>
            <w:vAlign w:val="center"/>
          </w:tcPr>
          <w:p w14:paraId="7EB3A1B8">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D1FE79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在线购药</w:t>
            </w:r>
          </w:p>
        </w:tc>
        <w:tc>
          <w:tcPr>
            <w:tcW w:w="5454" w:type="dxa"/>
            <w:tcBorders>
              <w:top w:val="single" w:color="auto" w:sz="4" w:space="0"/>
              <w:left w:val="nil"/>
              <w:bottom w:val="single" w:color="auto" w:sz="4" w:space="0"/>
              <w:right w:val="single" w:color="auto" w:sz="4" w:space="0"/>
            </w:tcBorders>
            <w:vAlign w:val="center"/>
          </w:tcPr>
          <w:p w14:paraId="3D6E965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患者可根据医生开具的药品进行在线购买药品。支持物流配送和自提两种模式，自提支持根据取药码取药。</w:t>
            </w:r>
          </w:p>
        </w:tc>
      </w:tr>
      <w:tr w14:paraId="0BB58266">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F8B96F8">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975" w:type="dxa"/>
            <w:vMerge w:val="continue"/>
            <w:tcBorders>
              <w:left w:val="nil"/>
              <w:right w:val="single" w:color="auto" w:sz="4" w:space="0"/>
            </w:tcBorders>
            <w:vAlign w:val="center"/>
          </w:tcPr>
          <w:p w14:paraId="61CBF3DE">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EC96E5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物流信息</w:t>
            </w:r>
          </w:p>
        </w:tc>
        <w:tc>
          <w:tcPr>
            <w:tcW w:w="5454" w:type="dxa"/>
            <w:tcBorders>
              <w:top w:val="single" w:color="auto" w:sz="4" w:space="0"/>
              <w:left w:val="nil"/>
              <w:bottom w:val="single" w:color="auto" w:sz="4" w:space="0"/>
              <w:right w:val="single" w:color="auto" w:sz="4" w:space="0"/>
            </w:tcBorders>
            <w:vAlign w:val="center"/>
          </w:tcPr>
          <w:p w14:paraId="790B0120">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患者可通过患者小程序查看处方药品物流配送信息</w:t>
            </w:r>
          </w:p>
        </w:tc>
      </w:tr>
      <w:tr w14:paraId="6221E027">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45B371F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11</w:t>
            </w:r>
          </w:p>
        </w:tc>
        <w:tc>
          <w:tcPr>
            <w:tcW w:w="975" w:type="dxa"/>
            <w:vMerge w:val="continue"/>
            <w:tcBorders>
              <w:left w:val="nil"/>
              <w:right w:val="single" w:color="auto" w:sz="4" w:space="0"/>
            </w:tcBorders>
            <w:vAlign w:val="center"/>
          </w:tcPr>
          <w:p w14:paraId="155A919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4A3A06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收货地址</w:t>
            </w:r>
          </w:p>
        </w:tc>
        <w:tc>
          <w:tcPr>
            <w:tcW w:w="5454" w:type="dxa"/>
            <w:tcBorders>
              <w:top w:val="single" w:color="auto" w:sz="4" w:space="0"/>
              <w:left w:val="nil"/>
              <w:bottom w:val="single" w:color="auto" w:sz="4" w:space="0"/>
              <w:right w:val="single" w:color="auto" w:sz="4" w:space="0"/>
            </w:tcBorders>
            <w:vAlign w:val="center"/>
          </w:tcPr>
          <w:p w14:paraId="0D1FD6A4">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患者可添加多个收货地址进行管理。</w:t>
            </w:r>
          </w:p>
        </w:tc>
      </w:tr>
      <w:tr w14:paraId="44D61208">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DDD8EF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12</w:t>
            </w:r>
          </w:p>
        </w:tc>
        <w:tc>
          <w:tcPr>
            <w:tcW w:w="975" w:type="dxa"/>
            <w:vMerge w:val="continue"/>
            <w:tcBorders>
              <w:left w:val="nil"/>
              <w:right w:val="single" w:color="auto" w:sz="4" w:space="0"/>
            </w:tcBorders>
            <w:vAlign w:val="center"/>
          </w:tcPr>
          <w:p w14:paraId="1C345380">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7E82BF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消息中心</w:t>
            </w:r>
          </w:p>
        </w:tc>
        <w:tc>
          <w:tcPr>
            <w:tcW w:w="5454" w:type="dxa"/>
            <w:tcBorders>
              <w:top w:val="single" w:color="auto" w:sz="4" w:space="0"/>
              <w:left w:val="nil"/>
              <w:bottom w:val="single" w:color="auto" w:sz="4" w:space="0"/>
              <w:right w:val="single" w:color="auto" w:sz="4" w:space="0"/>
            </w:tcBorders>
            <w:vAlign w:val="center"/>
          </w:tcPr>
          <w:p w14:paraId="10D4FC4D">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通过患者小程序消息查看图文订单和视频订单中的就诊结果，就诊时间，治疗方案等消息，及时提醒患者进行相关操作</w:t>
            </w:r>
          </w:p>
        </w:tc>
      </w:tr>
      <w:tr w14:paraId="1252F1AA">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6A3181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13</w:t>
            </w:r>
          </w:p>
        </w:tc>
        <w:tc>
          <w:tcPr>
            <w:tcW w:w="975" w:type="dxa"/>
            <w:vMerge w:val="continue"/>
            <w:tcBorders>
              <w:left w:val="nil"/>
              <w:right w:val="single" w:color="auto" w:sz="4" w:space="0"/>
            </w:tcBorders>
            <w:vAlign w:val="center"/>
          </w:tcPr>
          <w:p w14:paraId="74CFBCE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702E2B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知情同意书</w:t>
            </w:r>
          </w:p>
        </w:tc>
        <w:tc>
          <w:tcPr>
            <w:tcW w:w="5454" w:type="dxa"/>
            <w:tcBorders>
              <w:top w:val="single" w:color="auto" w:sz="4" w:space="0"/>
              <w:left w:val="nil"/>
              <w:bottom w:val="single" w:color="auto" w:sz="4" w:space="0"/>
              <w:right w:val="single" w:color="auto" w:sz="4" w:space="0"/>
            </w:tcBorders>
            <w:vAlign w:val="center"/>
          </w:tcPr>
          <w:p w14:paraId="6E2AAD98">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居民群众申请互联网诊疗平台诊疗服务时，需先阅读互联网诊疗平台知情同意书，内容包括报价信息（收费标准）、病患需知等说明。</w:t>
            </w:r>
          </w:p>
        </w:tc>
      </w:tr>
      <w:tr w14:paraId="24C2EB3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86CF82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14</w:t>
            </w:r>
          </w:p>
        </w:tc>
        <w:tc>
          <w:tcPr>
            <w:tcW w:w="975" w:type="dxa"/>
            <w:vMerge w:val="continue"/>
            <w:tcBorders>
              <w:left w:val="nil"/>
              <w:right w:val="single" w:color="auto" w:sz="4" w:space="0"/>
            </w:tcBorders>
            <w:vAlign w:val="center"/>
          </w:tcPr>
          <w:p w14:paraId="2AC87CBA">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C90EF6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就诊人管理</w:t>
            </w:r>
          </w:p>
        </w:tc>
        <w:tc>
          <w:tcPr>
            <w:tcW w:w="5454" w:type="dxa"/>
            <w:tcBorders>
              <w:top w:val="single" w:color="auto" w:sz="4" w:space="0"/>
              <w:left w:val="nil"/>
              <w:bottom w:val="single" w:color="auto" w:sz="4" w:space="0"/>
              <w:right w:val="single" w:color="auto" w:sz="4" w:space="0"/>
            </w:tcBorders>
            <w:vAlign w:val="center"/>
          </w:tcPr>
          <w:p w14:paraId="0F24DA94">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患者可添加多个就诊人进行咨询如：患者帮助父母进行在线咨询，可添加父母为就诊人并提交订单</w:t>
            </w:r>
          </w:p>
        </w:tc>
      </w:tr>
      <w:tr w14:paraId="6A5D61AF">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67DC4C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15</w:t>
            </w:r>
          </w:p>
        </w:tc>
        <w:tc>
          <w:tcPr>
            <w:tcW w:w="975" w:type="dxa"/>
            <w:vMerge w:val="continue"/>
            <w:tcBorders>
              <w:left w:val="nil"/>
              <w:right w:val="single" w:color="auto" w:sz="4" w:space="0"/>
            </w:tcBorders>
            <w:vAlign w:val="center"/>
          </w:tcPr>
          <w:p w14:paraId="16C8556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30A02E1">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订单管理</w:t>
            </w:r>
          </w:p>
        </w:tc>
        <w:tc>
          <w:tcPr>
            <w:tcW w:w="5454" w:type="dxa"/>
            <w:tcBorders>
              <w:top w:val="single" w:color="auto" w:sz="4" w:space="0"/>
              <w:left w:val="nil"/>
              <w:bottom w:val="single" w:color="auto" w:sz="4" w:space="0"/>
              <w:right w:val="single" w:color="auto" w:sz="4" w:space="0"/>
            </w:tcBorders>
            <w:vAlign w:val="center"/>
          </w:tcPr>
          <w:p w14:paraId="22FD06D1">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患者进入小程序，进入订单页面，可查看到图文咨询、视频问诊、药品等相关的订单信息。未开始的图文咨询、视频问诊可自助申请退款。</w:t>
            </w:r>
          </w:p>
        </w:tc>
      </w:tr>
      <w:tr w14:paraId="60AD4D5C">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8BAEB1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16</w:t>
            </w:r>
          </w:p>
        </w:tc>
        <w:tc>
          <w:tcPr>
            <w:tcW w:w="975" w:type="dxa"/>
            <w:vMerge w:val="continue"/>
            <w:tcBorders>
              <w:left w:val="nil"/>
              <w:right w:val="single" w:color="auto" w:sz="4" w:space="0"/>
            </w:tcBorders>
            <w:vAlign w:val="center"/>
          </w:tcPr>
          <w:p w14:paraId="78FB8BF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7AA98F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电子发票</w:t>
            </w:r>
          </w:p>
        </w:tc>
        <w:tc>
          <w:tcPr>
            <w:tcW w:w="5454" w:type="dxa"/>
            <w:tcBorders>
              <w:top w:val="single" w:color="auto" w:sz="4" w:space="0"/>
              <w:left w:val="nil"/>
              <w:bottom w:val="single" w:color="auto" w:sz="4" w:space="0"/>
              <w:right w:val="single" w:color="auto" w:sz="4" w:space="0"/>
            </w:tcBorders>
            <w:vAlign w:val="center"/>
          </w:tcPr>
          <w:p w14:paraId="0DFB68E6">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患者进入小程序，提交并支付订单后，可查看对应订单的电子发票，支持发送电子发票到个人邮箱</w:t>
            </w:r>
          </w:p>
        </w:tc>
      </w:tr>
      <w:tr w14:paraId="774B57AE">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447E1B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17</w:t>
            </w:r>
          </w:p>
        </w:tc>
        <w:tc>
          <w:tcPr>
            <w:tcW w:w="975" w:type="dxa"/>
            <w:vMerge w:val="continue"/>
            <w:tcBorders>
              <w:left w:val="nil"/>
              <w:right w:val="single" w:color="auto" w:sz="4" w:space="0"/>
            </w:tcBorders>
            <w:vAlign w:val="center"/>
          </w:tcPr>
          <w:p w14:paraId="0ABB7AF4">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9BABF8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医生搜索</w:t>
            </w:r>
          </w:p>
        </w:tc>
        <w:tc>
          <w:tcPr>
            <w:tcW w:w="5454" w:type="dxa"/>
            <w:tcBorders>
              <w:top w:val="single" w:color="auto" w:sz="4" w:space="0"/>
              <w:left w:val="nil"/>
              <w:bottom w:val="single" w:color="auto" w:sz="4" w:space="0"/>
              <w:right w:val="single" w:color="auto" w:sz="4" w:space="0"/>
            </w:tcBorders>
            <w:vAlign w:val="center"/>
          </w:tcPr>
          <w:p w14:paraId="005C9733">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患者进入小程序，通过科室、医生姓名等方式搜索医生，选择医生进行图文咨询或视频问诊</w:t>
            </w:r>
          </w:p>
        </w:tc>
      </w:tr>
      <w:tr w14:paraId="5324A736">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39F337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18</w:t>
            </w:r>
          </w:p>
        </w:tc>
        <w:tc>
          <w:tcPr>
            <w:tcW w:w="975" w:type="dxa"/>
            <w:vMerge w:val="continue"/>
            <w:tcBorders>
              <w:left w:val="nil"/>
              <w:right w:val="single" w:color="auto" w:sz="4" w:space="0"/>
            </w:tcBorders>
            <w:vAlign w:val="center"/>
          </w:tcPr>
          <w:p w14:paraId="6C10D2CE">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60537B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我的问诊</w:t>
            </w:r>
          </w:p>
        </w:tc>
        <w:tc>
          <w:tcPr>
            <w:tcW w:w="5454" w:type="dxa"/>
            <w:tcBorders>
              <w:top w:val="single" w:color="auto" w:sz="4" w:space="0"/>
              <w:left w:val="nil"/>
              <w:bottom w:val="single" w:color="auto" w:sz="4" w:space="0"/>
              <w:right w:val="single" w:color="auto" w:sz="4" w:space="0"/>
            </w:tcBorders>
            <w:vAlign w:val="center"/>
          </w:tcPr>
          <w:p w14:paraId="4315615B">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患者进入小程序，打开我的问诊，可查看图文咨询、视频问诊的记录。在规定时间内，患者可跟医生进行图文沟通，医生可在规定时间内多次向患者发起视频呼叫。</w:t>
            </w:r>
          </w:p>
        </w:tc>
      </w:tr>
      <w:tr w14:paraId="31C26DA3">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4B9956B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19</w:t>
            </w:r>
          </w:p>
        </w:tc>
        <w:tc>
          <w:tcPr>
            <w:tcW w:w="975" w:type="dxa"/>
            <w:vMerge w:val="continue"/>
            <w:tcBorders>
              <w:left w:val="nil"/>
              <w:right w:val="single" w:color="auto" w:sz="4" w:space="0"/>
            </w:tcBorders>
            <w:vAlign w:val="center"/>
          </w:tcPr>
          <w:p w14:paraId="437EE42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B666BD1">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电子处方</w:t>
            </w:r>
          </w:p>
        </w:tc>
        <w:tc>
          <w:tcPr>
            <w:tcW w:w="5454" w:type="dxa"/>
            <w:tcBorders>
              <w:top w:val="single" w:color="auto" w:sz="4" w:space="0"/>
              <w:left w:val="nil"/>
              <w:bottom w:val="single" w:color="auto" w:sz="4" w:space="0"/>
              <w:right w:val="single" w:color="auto" w:sz="4" w:space="0"/>
            </w:tcBorders>
            <w:vAlign w:val="center"/>
          </w:tcPr>
          <w:p w14:paraId="12D9CED3">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患者进入小程序，可查看医生开具的电子处方信息</w:t>
            </w:r>
          </w:p>
        </w:tc>
      </w:tr>
      <w:tr w14:paraId="0032662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226050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20</w:t>
            </w:r>
          </w:p>
        </w:tc>
        <w:tc>
          <w:tcPr>
            <w:tcW w:w="975" w:type="dxa"/>
            <w:vMerge w:val="continue"/>
            <w:tcBorders>
              <w:left w:val="nil"/>
              <w:right w:val="single" w:color="auto" w:sz="4" w:space="0"/>
            </w:tcBorders>
            <w:vAlign w:val="center"/>
          </w:tcPr>
          <w:p w14:paraId="40AFFDA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8AD9BE4">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医生介绍</w:t>
            </w:r>
          </w:p>
        </w:tc>
        <w:tc>
          <w:tcPr>
            <w:tcW w:w="5454" w:type="dxa"/>
            <w:tcBorders>
              <w:top w:val="single" w:color="auto" w:sz="4" w:space="0"/>
              <w:left w:val="nil"/>
              <w:bottom w:val="single" w:color="auto" w:sz="4" w:space="0"/>
              <w:right w:val="single" w:color="auto" w:sz="4" w:space="0"/>
            </w:tcBorders>
            <w:vAlign w:val="center"/>
          </w:tcPr>
          <w:p w14:paraId="4565D317">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根据后台的出诊医生，在患者小程序端展示医生信息（职称、擅长专业等）、医生提供的服务（图文咨询、视频问诊、服务包）和患者评价</w:t>
            </w:r>
          </w:p>
        </w:tc>
      </w:tr>
      <w:tr w14:paraId="68F3A4C2">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577515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21</w:t>
            </w:r>
          </w:p>
        </w:tc>
        <w:tc>
          <w:tcPr>
            <w:tcW w:w="975" w:type="dxa"/>
            <w:vMerge w:val="continue"/>
            <w:tcBorders>
              <w:left w:val="nil"/>
              <w:right w:val="single" w:color="auto" w:sz="4" w:space="0"/>
            </w:tcBorders>
            <w:vAlign w:val="center"/>
          </w:tcPr>
          <w:p w14:paraId="7D31ECC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5779048">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关注/曾就诊医生</w:t>
            </w:r>
          </w:p>
        </w:tc>
        <w:tc>
          <w:tcPr>
            <w:tcW w:w="5454" w:type="dxa"/>
            <w:tcBorders>
              <w:top w:val="single" w:color="auto" w:sz="4" w:space="0"/>
              <w:left w:val="nil"/>
              <w:bottom w:val="single" w:color="auto" w:sz="4" w:space="0"/>
              <w:right w:val="single" w:color="auto" w:sz="4" w:space="0"/>
            </w:tcBorders>
            <w:vAlign w:val="center"/>
          </w:tcPr>
          <w:p w14:paraId="626019B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患者进入小程序，可查看关注的医生和近期曾进行图文咨询或视频问诊的医生</w:t>
            </w:r>
          </w:p>
        </w:tc>
      </w:tr>
      <w:tr w14:paraId="67CFA12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94C2DC1">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22</w:t>
            </w:r>
          </w:p>
        </w:tc>
        <w:tc>
          <w:tcPr>
            <w:tcW w:w="975" w:type="dxa"/>
            <w:vMerge w:val="continue"/>
            <w:tcBorders>
              <w:left w:val="nil"/>
              <w:right w:val="single" w:color="auto" w:sz="4" w:space="0"/>
            </w:tcBorders>
            <w:vAlign w:val="center"/>
          </w:tcPr>
          <w:p w14:paraId="7FCF9DEE">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17E5CD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短信验证</w:t>
            </w:r>
          </w:p>
        </w:tc>
        <w:tc>
          <w:tcPr>
            <w:tcW w:w="5454" w:type="dxa"/>
            <w:tcBorders>
              <w:top w:val="single" w:color="auto" w:sz="4" w:space="0"/>
              <w:left w:val="nil"/>
              <w:bottom w:val="single" w:color="auto" w:sz="4" w:space="0"/>
              <w:right w:val="single" w:color="auto" w:sz="4" w:space="0"/>
            </w:tcBorders>
            <w:vAlign w:val="center"/>
          </w:tcPr>
          <w:p w14:paraId="511C645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添加就诊人时，需通过手机短信验证码校验</w:t>
            </w:r>
          </w:p>
        </w:tc>
      </w:tr>
      <w:tr w14:paraId="618B82F7">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BCE64E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23</w:t>
            </w:r>
          </w:p>
        </w:tc>
        <w:tc>
          <w:tcPr>
            <w:tcW w:w="975" w:type="dxa"/>
            <w:vMerge w:val="continue"/>
            <w:tcBorders>
              <w:left w:val="nil"/>
              <w:right w:val="single" w:color="auto" w:sz="4" w:space="0"/>
            </w:tcBorders>
            <w:vAlign w:val="center"/>
          </w:tcPr>
          <w:p w14:paraId="77BB73E3">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D98F22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身份证OCR</w:t>
            </w:r>
          </w:p>
        </w:tc>
        <w:tc>
          <w:tcPr>
            <w:tcW w:w="5454" w:type="dxa"/>
            <w:tcBorders>
              <w:top w:val="single" w:color="auto" w:sz="4" w:space="0"/>
              <w:left w:val="nil"/>
              <w:bottom w:val="single" w:color="auto" w:sz="4" w:space="0"/>
              <w:right w:val="single" w:color="auto" w:sz="4" w:space="0"/>
            </w:tcBorders>
            <w:vAlign w:val="center"/>
          </w:tcPr>
          <w:p w14:paraId="01B3FD7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添加就诊人时，上传身份证进行图像识别自动填入姓名、身份证号</w:t>
            </w:r>
          </w:p>
        </w:tc>
      </w:tr>
      <w:tr w14:paraId="4214831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057D27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24</w:t>
            </w:r>
          </w:p>
        </w:tc>
        <w:tc>
          <w:tcPr>
            <w:tcW w:w="975" w:type="dxa"/>
            <w:vMerge w:val="continue"/>
            <w:tcBorders>
              <w:left w:val="nil"/>
              <w:bottom w:val="single" w:color="auto" w:sz="4" w:space="0"/>
              <w:right w:val="single" w:color="auto" w:sz="4" w:space="0"/>
            </w:tcBorders>
            <w:vAlign w:val="center"/>
          </w:tcPr>
          <w:p w14:paraId="4A28FEB1">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A5230D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帮助与反馈</w:t>
            </w:r>
          </w:p>
        </w:tc>
        <w:tc>
          <w:tcPr>
            <w:tcW w:w="5454" w:type="dxa"/>
            <w:tcBorders>
              <w:top w:val="single" w:color="auto" w:sz="4" w:space="0"/>
              <w:left w:val="nil"/>
              <w:bottom w:val="single" w:color="auto" w:sz="4" w:space="0"/>
              <w:right w:val="single" w:color="auto" w:sz="4" w:space="0"/>
            </w:tcBorders>
            <w:vAlign w:val="center"/>
          </w:tcPr>
          <w:p w14:paraId="707DE279">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患者进入小程序，打开帮助与反馈，患者可查看常见问题，向在线客服发送消息，提交问题反馈</w:t>
            </w:r>
          </w:p>
        </w:tc>
      </w:tr>
      <w:tr w14:paraId="0BCC5E1A">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2F36C0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975" w:type="dxa"/>
            <w:vMerge w:val="restart"/>
            <w:tcBorders>
              <w:top w:val="single" w:color="auto" w:sz="4" w:space="0"/>
              <w:left w:val="nil"/>
              <w:right w:val="single" w:color="auto" w:sz="4" w:space="0"/>
            </w:tcBorders>
            <w:vAlign w:val="center"/>
          </w:tcPr>
          <w:p w14:paraId="5971FE4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bCs/>
                <w:kern w:val="0"/>
                <w:sz w:val="18"/>
                <w:szCs w:val="18"/>
              </w:rPr>
              <w:t>医生移动端</w:t>
            </w:r>
          </w:p>
        </w:tc>
        <w:tc>
          <w:tcPr>
            <w:tcW w:w="1437" w:type="dxa"/>
            <w:tcBorders>
              <w:top w:val="single" w:color="auto" w:sz="4" w:space="0"/>
              <w:left w:val="nil"/>
              <w:bottom w:val="single" w:color="auto" w:sz="4" w:space="0"/>
              <w:right w:val="single" w:color="auto" w:sz="4" w:space="0"/>
            </w:tcBorders>
            <w:vAlign w:val="center"/>
          </w:tcPr>
          <w:p w14:paraId="4DC96A9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医生登录</w:t>
            </w:r>
          </w:p>
        </w:tc>
        <w:tc>
          <w:tcPr>
            <w:tcW w:w="5454" w:type="dxa"/>
            <w:tcBorders>
              <w:top w:val="single" w:color="auto" w:sz="4" w:space="0"/>
              <w:left w:val="nil"/>
              <w:bottom w:val="single" w:color="auto" w:sz="4" w:space="0"/>
              <w:right w:val="single" w:color="auto" w:sz="4" w:space="0"/>
            </w:tcBorders>
            <w:vAlign w:val="center"/>
          </w:tcPr>
          <w:p w14:paraId="7FFF99BE">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医生登录工作站，可通过账号/密码、人脸识别登录</w:t>
            </w:r>
          </w:p>
        </w:tc>
      </w:tr>
      <w:tr w14:paraId="4BD195A8">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vAlign w:val="center"/>
          </w:tcPr>
          <w:p w14:paraId="630DA53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975" w:type="dxa"/>
            <w:vMerge w:val="continue"/>
            <w:tcBorders>
              <w:left w:val="nil"/>
              <w:right w:val="single" w:color="auto" w:sz="4" w:space="0"/>
            </w:tcBorders>
            <w:vAlign w:val="center"/>
          </w:tcPr>
          <w:p w14:paraId="6E7F4863">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8D2DA04">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图文咨询</w:t>
            </w:r>
          </w:p>
        </w:tc>
        <w:tc>
          <w:tcPr>
            <w:tcW w:w="5454" w:type="dxa"/>
            <w:tcBorders>
              <w:top w:val="single" w:color="auto" w:sz="4" w:space="0"/>
              <w:left w:val="nil"/>
              <w:bottom w:val="single" w:color="auto" w:sz="4" w:space="0"/>
              <w:right w:val="single" w:color="auto" w:sz="4" w:space="0"/>
            </w:tcBorders>
            <w:vAlign w:val="center"/>
          </w:tcPr>
          <w:p w14:paraId="754076DF">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医生进入工作站，在工作站中可查看购买了自己图文咨询服务的订单与患者进行图文咨询。医生针对病情对患者开具处方。</w:t>
            </w:r>
          </w:p>
        </w:tc>
      </w:tr>
      <w:tr w14:paraId="67E5722F">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3198EB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975" w:type="dxa"/>
            <w:vMerge w:val="continue"/>
            <w:tcBorders>
              <w:left w:val="nil"/>
              <w:right w:val="single" w:color="auto" w:sz="4" w:space="0"/>
            </w:tcBorders>
            <w:vAlign w:val="center"/>
          </w:tcPr>
          <w:p w14:paraId="1D14CC5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20B63B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我的诊室</w:t>
            </w:r>
          </w:p>
        </w:tc>
        <w:tc>
          <w:tcPr>
            <w:tcW w:w="5454" w:type="dxa"/>
            <w:tcBorders>
              <w:top w:val="single" w:color="auto" w:sz="4" w:space="0"/>
              <w:left w:val="nil"/>
              <w:bottom w:val="single" w:color="auto" w:sz="4" w:space="0"/>
              <w:right w:val="single" w:color="auto" w:sz="4" w:space="0"/>
            </w:tcBorders>
            <w:vAlign w:val="center"/>
          </w:tcPr>
          <w:p w14:paraId="5BAEB4C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包含视频问诊、线下门诊的患者；医生通过工作站查看视频问诊提交的问题单（包括症状和描述），视患者的情况进行视频接诊对于提交错科室的订单医生可拒绝接诊；也可查看线下患者的诊疗记录，并进行开方诊疗服务</w:t>
            </w:r>
          </w:p>
        </w:tc>
      </w:tr>
      <w:tr w14:paraId="018E4F05">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961371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975" w:type="dxa"/>
            <w:vMerge w:val="continue"/>
            <w:tcBorders>
              <w:left w:val="nil"/>
              <w:right w:val="single" w:color="auto" w:sz="4" w:space="0"/>
            </w:tcBorders>
            <w:vAlign w:val="center"/>
          </w:tcPr>
          <w:p w14:paraId="297E83D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6A8D70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视频问诊</w:t>
            </w:r>
          </w:p>
        </w:tc>
        <w:tc>
          <w:tcPr>
            <w:tcW w:w="5454" w:type="dxa"/>
            <w:tcBorders>
              <w:top w:val="single" w:color="auto" w:sz="4" w:space="0"/>
              <w:left w:val="nil"/>
              <w:bottom w:val="single" w:color="auto" w:sz="4" w:space="0"/>
              <w:right w:val="single" w:color="auto" w:sz="4" w:space="0"/>
            </w:tcBorders>
            <w:vAlign w:val="center"/>
          </w:tcPr>
          <w:p w14:paraId="48698C3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查看视频问诊患者提交的问题单，进行接诊、拒绝接诊服务</w:t>
            </w:r>
          </w:p>
        </w:tc>
      </w:tr>
      <w:tr w14:paraId="1393FB62">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44E9D3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975" w:type="dxa"/>
            <w:vMerge w:val="continue"/>
            <w:tcBorders>
              <w:left w:val="nil"/>
              <w:right w:val="single" w:color="auto" w:sz="4" w:space="0"/>
            </w:tcBorders>
            <w:vAlign w:val="center"/>
          </w:tcPr>
          <w:p w14:paraId="5FEFC01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690AFE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线下门诊</w:t>
            </w:r>
          </w:p>
        </w:tc>
        <w:tc>
          <w:tcPr>
            <w:tcW w:w="5454" w:type="dxa"/>
            <w:tcBorders>
              <w:top w:val="single" w:color="auto" w:sz="4" w:space="0"/>
              <w:left w:val="nil"/>
              <w:bottom w:val="single" w:color="auto" w:sz="4" w:space="0"/>
              <w:right w:val="single" w:color="auto" w:sz="4" w:space="0"/>
            </w:tcBorders>
            <w:vAlign w:val="center"/>
          </w:tcPr>
          <w:p w14:paraId="564FE5D6">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查看线下门诊患者的诊疗信息，进行诊疗</w:t>
            </w:r>
          </w:p>
        </w:tc>
      </w:tr>
      <w:tr w14:paraId="3C60F31C">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3807E3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975" w:type="dxa"/>
            <w:vMerge w:val="continue"/>
            <w:tcBorders>
              <w:left w:val="nil"/>
              <w:right w:val="single" w:color="auto" w:sz="4" w:space="0"/>
            </w:tcBorders>
            <w:vAlign w:val="center"/>
          </w:tcPr>
          <w:p w14:paraId="6E3AF9FA">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63C0A64">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消息</w:t>
            </w:r>
          </w:p>
        </w:tc>
        <w:tc>
          <w:tcPr>
            <w:tcW w:w="5454" w:type="dxa"/>
            <w:tcBorders>
              <w:top w:val="single" w:color="auto" w:sz="4" w:space="0"/>
              <w:left w:val="nil"/>
              <w:bottom w:val="single" w:color="auto" w:sz="4" w:space="0"/>
              <w:right w:val="single" w:color="auto" w:sz="4" w:space="0"/>
            </w:tcBorders>
            <w:vAlign w:val="center"/>
          </w:tcPr>
          <w:p w14:paraId="0B4633EE">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医生通过消息可查看需要处理预约、取消、处方、未读消息等通知</w:t>
            </w:r>
          </w:p>
        </w:tc>
      </w:tr>
      <w:tr w14:paraId="1C256E7F">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C10D34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975" w:type="dxa"/>
            <w:vMerge w:val="continue"/>
            <w:tcBorders>
              <w:left w:val="nil"/>
              <w:right w:val="single" w:color="auto" w:sz="4" w:space="0"/>
            </w:tcBorders>
            <w:vAlign w:val="center"/>
          </w:tcPr>
          <w:p w14:paraId="202F37A1">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B26E13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邀请视频会诊</w:t>
            </w:r>
          </w:p>
        </w:tc>
        <w:tc>
          <w:tcPr>
            <w:tcW w:w="5454" w:type="dxa"/>
            <w:tcBorders>
              <w:top w:val="single" w:color="auto" w:sz="4" w:space="0"/>
              <w:left w:val="nil"/>
              <w:bottom w:val="single" w:color="auto" w:sz="4" w:space="0"/>
              <w:right w:val="single" w:color="auto" w:sz="4" w:space="0"/>
            </w:tcBorders>
            <w:vAlign w:val="center"/>
          </w:tcPr>
          <w:p w14:paraId="336E38C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医生在与患者进行视频问诊的过程中可在工作站中邀请其他医生参与视频会诊</w:t>
            </w:r>
          </w:p>
        </w:tc>
      </w:tr>
      <w:tr w14:paraId="0565CF96">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4B390F4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8</w:t>
            </w:r>
          </w:p>
        </w:tc>
        <w:tc>
          <w:tcPr>
            <w:tcW w:w="975" w:type="dxa"/>
            <w:vMerge w:val="continue"/>
            <w:tcBorders>
              <w:left w:val="nil"/>
              <w:right w:val="single" w:color="auto" w:sz="4" w:space="0"/>
            </w:tcBorders>
            <w:vAlign w:val="center"/>
          </w:tcPr>
          <w:p w14:paraId="5B154336">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BB3E52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处方签名</w:t>
            </w:r>
          </w:p>
        </w:tc>
        <w:tc>
          <w:tcPr>
            <w:tcW w:w="5454" w:type="dxa"/>
            <w:tcBorders>
              <w:top w:val="single" w:color="auto" w:sz="4" w:space="0"/>
              <w:left w:val="nil"/>
              <w:bottom w:val="single" w:color="auto" w:sz="4" w:space="0"/>
              <w:right w:val="single" w:color="auto" w:sz="4" w:space="0"/>
            </w:tcBorders>
            <w:vAlign w:val="center"/>
          </w:tcPr>
          <w:p w14:paraId="4C6B5C4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提供医生录入的电子病历、电子处方等电子文件提供签名服务，保证资料的合法性</w:t>
            </w:r>
          </w:p>
        </w:tc>
      </w:tr>
      <w:tr w14:paraId="3B1D0216">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20B950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975" w:type="dxa"/>
            <w:vMerge w:val="continue"/>
            <w:tcBorders>
              <w:left w:val="nil"/>
              <w:right w:val="single" w:color="auto" w:sz="4" w:space="0"/>
            </w:tcBorders>
            <w:vAlign w:val="center"/>
          </w:tcPr>
          <w:p w14:paraId="0D5DC411">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8A0C98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处方审核</w:t>
            </w:r>
          </w:p>
        </w:tc>
        <w:tc>
          <w:tcPr>
            <w:tcW w:w="5454" w:type="dxa"/>
            <w:tcBorders>
              <w:top w:val="single" w:color="auto" w:sz="4" w:space="0"/>
              <w:left w:val="nil"/>
              <w:bottom w:val="single" w:color="auto" w:sz="4" w:space="0"/>
              <w:right w:val="single" w:color="auto" w:sz="4" w:space="0"/>
            </w:tcBorders>
            <w:vAlign w:val="center"/>
          </w:tcPr>
          <w:p w14:paraId="57D237A3">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医生开具电子处方后，由药师进行审方，对处方进行合法性、规范性、适宜性的审核</w:t>
            </w:r>
          </w:p>
        </w:tc>
      </w:tr>
      <w:tr w14:paraId="332704EB">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9476A1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975" w:type="dxa"/>
            <w:vMerge w:val="continue"/>
            <w:tcBorders>
              <w:left w:val="nil"/>
              <w:right w:val="single" w:color="auto" w:sz="4" w:space="0"/>
            </w:tcBorders>
            <w:vAlign w:val="center"/>
          </w:tcPr>
          <w:p w14:paraId="05E6B964">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1791C3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申请单录入</w:t>
            </w:r>
          </w:p>
        </w:tc>
        <w:tc>
          <w:tcPr>
            <w:tcW w:w="5454" w:type="dxa"/>
            <w:tcBorders>
              <w:top w:val="single" w:color="auto" w:sz="4" w:space="0"/>
              <w:left w:val="nil"/>
              <w:bottom w:val="single" w:color="auto" w:sz="4" w:space="0"/>
              <w:right w:val="single" w:color="auto" w:sz="4" w:space="0"/>
            </w:tcBorders>
            <w:vAlign w:val="center"/>
          </w:tcPr>
          <w:p w14:paraId="1C142461">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医生通过医生工作站对患者开具检查、检验项目</w:t>
            </w:r>
          </w:p>
        </w:tc>
      </w:tr>
      <w:tr w14:paraId="0DB505C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6E60DE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11</w:t>
            </w:r>
          </w:p>
        </w:tc>
        <w:tc>
          <w:tcPr>
            <w:tcW w:w="975" w:type="dxa"/>
            <w:vMerge w:val="continue"/>
            <w:tcBorders>
              <w:left w:val="nil"/>
              <w:right w:val="single" w:color="auto" w:sz="4" w:space="0"/>
            </w:tcBorders>
            <w:vAlign w:val="center"/>
          </w:tcPr>
          <w:p w14:paraId="31EB993B">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567EBF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历史诊疗记录</w:t>
            </w:r>
          </w:p>
        </w:tc>
        <w:tc>
          <w:tcPr>
            <w:tcW w:w="5454" w:type="dxa"/>
            <w:tcBorders>
              <w:top w:val="single" w:color="auto" w:sz="4" w:space="0"/>
              <w:left w:val="nil"/>
              <w:bottom w:val="single" w:color="auto" w:sz="4" w:space="0"/>
              <w:right w:val="single" w:color="auto" w:sz="4" w:space="0"/>
            </w:tcBorders>
            <w:vAlign w:val="center"/>
          </w:tcPr>
          <w:p w14:paraId="5D8388D9">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医生可在工作站中查看购买了自己视频问诊服务的患者的历史诊疗信息，包含医嘱、诊断、病历信息</w:t>
            </w:r>
          </w:p>
        </w:tc>
      </w:tr>
      <w:tr w14:paraId="1638F47A">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4EF83D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12</w:t>
            </w:r>
          </w:p>
        </w:tc>
        <w:tc>
          <w:tcPr>
            <w:tcW w:w="975" w:type="dxa"/>
            <w:vMerge w:val="continue"/>
            <w:tcBorders>
              <w:left w:val="nil"/>
              <w:right w:val="single" w:color="auto" w:sz="4" w:space="0"/>
            </w:tcBorders>
            <w:vAlign w:val="center"/>
          </w:tcPr>
          <w:p w14:paraId="344F5FF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558C99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病历录入</w:t>
            </w:r>
          </w:p>
        </w:tc>
        <w:tc>
          <w:tcPr>
            <w:tcW w:w="5454" w:type="dxa"/>
            <w:tcBorders>
              <w:top w:val="single" w:color="auto" w:sz="4" w:space="0"/>
              <w:left w:val="nil"/>
              <w:bottom w:val="single" w:color="auto" w:sz="4" w:space="0"/>
              <w:right w:val="single" w:color="auto" w:sz="4" w:space="0"/>
            </w:tcBorders>
            <w:vAlign w:val="center"/>
          </w:tcPr>
          <w:p w14:paraId="10F6DDAE">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医生通过医生工作站对患者进行诊断，完成病历的录入包括主诉、诊断、病史、注意事项等信息；可使用病历模板、历史病历进行录入</w:t>
            </w:r>
          </w:p>
        </w:tc>
      </w:tr>
      <w:tr w14:paraId="323FD6C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2F5089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13</w:t>
            </w:r>
          </w:p>
        </w:tc>
        <w:tc>
          <w:tcPr>
            <w:tcW w:w="975" w:type="dxa"/>
            <w:vMerge w:val="continue"/>
            <w:tcBorders>
              <w:left w:val="nil"/>
              <w:right w:val="single" w:color="auto" w:sz="4" w:space="0"/>
            </w:tcBorders>
            <w:vAlign w:val="center"/>
          </w:tcPr>
          <w:p w14:paraId="7C2689A4">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27F9B9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诊断录入</w:t>
            </w:r>
          </w:p>
        </w:tc>
        <w:tc>
          <w:tcPr>
            <w:tcW w:w="5454" w:type="dxa"/>
            <w:tcBorders>
              <w:top w:val="single" w:color="auto" w:sz="4" w:space="0"/>
              <w:left w:val="nil"/>
              <w:bottom w:val="single" w:color="auto" w:sz="4" w:space="0"/>
              <w:right w:val="single" w:color="auto" w:sz="4" w:space="0"/>
            </w:tcBorders>
            <w:vAlign w:val="center"/>
          </w:tcPr>
          <w:p w14:paraId="5B1494CB">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视频问诊过程中，根据患者病情，病症，病状，合理有效的开具诊断、可使用诊断模板、历史诊断快速录入</w:t>
            </w:r>
          </w:p>
        </w:tc>
      </w:tr>
      <w:tr w14:paraId="34C86EEB">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96D6CE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14</w:t>
            </w:r>
          </w:p>
        </w:tc>
        <w:tc>
          <w:tcPr>
            <w:tcW w:w="975" w:type="dxa"/>
            <w:vMerge w:val="continue"/>
            <w:tcBorders>
              <w:left w:val="nil"/>
              <w:right w:val="single" w:color="auto" w:sz="4" w:space="0"/>
            </w:tcBorders>
            <w:vAlign w:val="center"/>
          </w:tcPr>
          <w:p w14:paraId="359032D5">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BE02A6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医嘱录入</w:t>
            </w:r>
          </w:p>
        </w:tc>
        <w:tc>
          <w:tcPr>
            <w:tcW w:w="5454" w:type="dxa"/>
            <w:tcBorders>
              <w:top w:val="single" w:color="auto" w:sz="4" w:space="0"/>
              <w:left w:val="nil"/>
              <w:bottom w:val="single" w:color="auto" w:sz="4" w:space="0"/>
              <w:right w:val="single" w:color="auto" w:sz="4" w:space="0"/>
            </w:tcBorders>
            <w:vAlign w:val="center"/>
          </w:tcPr>
          <w:p w14:paraId="24459875">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视频问诊过程中，根据患者病情，病症，病状，合理有效的开具处方，使用历史处方、处方模板、医嘱套快速录入；包含西药、中草药、检查、检验信息录入</w:t>
            </w:r>
          </w:p>
        </w:tc>
      </w:tr>
      <w:tr w14:paraId="17FB8FAD">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D9466A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15</w:t>
            </w:r>
          </w:p>
        </w:tc>
        <w:tc>
          <w:tcPr>
            <w:tcW w:w="975" w:type="dxa"/>
            <w:vMerge w:val="continue"/>
            <w:tcBorders>
              <w:left w:val="nil"/>
              <w:right w:val="single" w:color="auto" w:sz="4" w:space="0"/>
            </w:tcBorders>
            <w:vAlign w:val="center"/>
          </w:tcPr>
          <w:p w14:paraId="0FEEBF9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3598E1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消息提醒</w:t>
            </w:r>
          </w:p>
        </w:tc>
        <w:tc>
          <w:tcPr>
            <w:tcW w:w="5454" w:type="dxa"/>
            <w:tcBorders>
              <w:top w:val="single" w:color="auto" w:sz="4" w:space="0"/>
              <w:left w:val="nil"/>
              <w:bottom w:val="single" w:color="auto" w:sz="4" w:space="0"/>
              <w:right w:val="single" w:color="auto" w:sz="4" w:space="0"/>
            </w:tcBorders>
            <w:vAlign w:val="center"/>
          </w:tcPr>
          <w:p w14:paraId="449B5C7F">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针对医生工作站为医生提供下单提醒、接诊提醒、取消接诊提醒、处方审核提醒、会诊邀请等消息</w:t>
            </w:r>
          </w:p>
        </w:tc>
      </w:tr>
      <w:tr w14:paraId="065EE05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9CA59B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16</w:t>
            </w:r>
          </w:p>
        </w:tc>
        <w:tc>
          <w:tcPr>
            <w:tcW w:w="975" w:type="dxa"/>
            <w:vMerge w:val="continue"/>
            <w:tcBorders>
              <w:left w:val="nil"/>
              <w:right w:val="single" w:color="auto" w:sz="4" w:space="0"/>
            </w:tcBorders>
            <w:vAlign w:val="center"/>
          </w:tcPr>
          <w:p w14:paraId="0F9DCB99">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702556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处方审核拒绝处理</w:t>
            </w:r>
          </w:p>
        </w:tc>
        <w:tc>
          <w:tcPr>
            <w:tcW w:w="5454" w:type="dxa"/>
            <w:tcBorders>
              <w:top w:val="single" w:color="auto" w:sz="4" w:space="0"/>
              <w:left w:val="nil"/>
              <w:bottom w:val="single" w:color="auto" w:sz="4" w:space="0"/>
              <w:right w:val="single" w:color="auto" w:sz="4" w:space="0"/>
            </w:tcBorders>
            <w:vAlign w:val="center"/>
          </w:tcPr>
          <w:p w14:paraId="3E63FBEF">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药师对处方（医嘱）中可能存在的药物相互作用、药物过敏、注射液体外配伍、剂量范围、药物禁忌、不良反应、重复用药、给药途径和特殊人群用药等潜在不合理用药问题进行审查，审核不通过的处方通知医生进行处理，医生接收到系统消息提示，可进行接受拒绝，也可申诉</w:t>
            </w:r>
          </w:p>
        </w:tc>
      </w:tr>
      <w:tr w14:paraId="71438EFE">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A73500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17</w:t>
            </w:r>
          </w:p>
        </w:tc>
        <w:tc>
          <w:tcPr>
            <w:tcW w:w="975" w:type="dxa"/>
            <w:vMerge w:val="continue"/>
            <w:tcBorders>
              <w:left w:val="nil"/>
              <w:right w:val="single" w:color="auto" w:sz="4" w:space="0"/>
            </w:tcBorders>
            <w:vAlign w:val="center"/>
          </w:tcPr>
          <w:p w14:paraId="0D7C3B9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74F1F1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医嘱处理时间轴</w:t>
            </w:r>
          </w:p>
        </w:tc>
        <w:tc>
          <w:tcPr>
            <w:tcW w:w="5454" w:type="dxa"/>
            <w:tcBorders>
              <w:top w:val="single" w:color="auto" w:sz="4" w:space="0"/>
              <w:left w:val="nil"/>
              <w:bottom w:val="single" w:color="auto" w:sz="4" w:space="0"/>
              <w:right w:val="single" w:color="auto" w:sz="4" w:space="0"/>
            </w:tcBorders>
            <w:vAlign w:val="center"/>
          </w:tcPr>
          <w:p w14:paraId="076A1D84">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系统显示每个医嘱的处理状态以及处理节点全部留痕可查看（包含开方、审方、支付、退药、发药等各个环节）</w:t>
            </w:r>
          </w:p>
        </w:tc>
      </w:tr>
      <w:tr w14:paraId="630CB49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4C69AA1">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18</w:t>
            </w:r>
          </w:p>
        </w:tc>
        <w:tc>
          <w:tcPr>
            <w:tcW w:w="975" w:type="dxa"/>
            <w:vMerge w:val="continue"/>
            <w:tcBorders>
              <w:left w:val="nil"/>
              <w:right w:val="single" w:color="auto" w:sz="4" w:space="0"/>
            </w:tcBorders>
            <w:vAlign w:val="center"/>
          </w:tcPr>
          <w:p w14:paraId="148C9236">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052678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结束服务</w:t>
            </w:r>
          </w:p>
        </w:tc>
        <w:tc>
          <w:tcPr>
            <w:tcW w:w="5454" w:type="dxa"/>
            <w:tcBorders>
              <w:top w:val="single" w:color="auto" w:sz="4" w:space="0"/>
              <w:left w:val="nil"/>
              <w:bottom w:val="single" w:color="auto" w:sz="4" w:space="0"/>
              <w:right w:val="single" w:color="auto" w:sz="4" w:space="0"/>
            </w:tcBorders>
            <w:vAlign w:val="center"/>
          </w:tcPr>
          <w:p w14:paraId="34586FBD">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医生点击“结束服务”后，将医嘱和病历分别签名并提交审核，审核通过后系统会推送治疗方案给患者</w:t>
            </w:r>
          </w:p>
        </w:tc>
      </w:tr>
      <w:tr w14:paraId="17EA904E">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1D2C46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19</w:t>
            </w:r>
          </w:p>
        </w:tc>
        <w:tc>
          <w:tcPr>
            <w:tcW w:w="975" w:type="dxa"/>
            <w:vMerge w:val="continue"/>
            <w:tcBorders>
              <w:left w:val="nil"/>
              <w:right w:val="single" w:color="auto" w:sz="4" w:space="0"/>
            </w:tcBorders>
            <w:vAlign w:val="center"/>
          </w:tcPr>
          <w:p w14:paraId="1C6E4374">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2E7B3E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取消接诊</w:t>
            </w:r>
          </w:p>
        </w:tc>
        <w:tc>
          <w:tcPr>
            <w:tcW w:w="5454" w:type="dxa"/>
            <w:tcBorders>
              <w:top w:val="single" w:color="auto" w:sz="4" w:space="0"/>
              <w:left w:val="nil"/>
              <w:bottom w:val="single" w:color="auto" w:sz="4" w:space="0"/>
              <w:right w:val="single" w:color="auto" w:sz="4" w:space="0"/>
            </w:tcBorders>
            <w:vAlign w:val="center"/>
          </w:tcPr>
          <w:p w14:paraId="44A70699">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如医生接诊患者后，发现患者病情有新变化，需要转科治疗，无法进行接诊，可取消接诊后拒绝接诊</w:t>
            </w:r>
          </w:p>
        </w:tc>
      </w:tr>
      <w:tr w14:paraId="46E48101">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C202CD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20</w:t>
            </w:r>
          </w:p>
        </w:tc>
        <w:tc>
          <w:tcPr>
            <w:tcW w:w="975" w:type="dxa"/>
            <w:vMerge w:val="continue"/>
            <w:tcBorders>
              <w:left w:val="nil"/>
              <w:right w:val="single" w:color="auto" w:sz="4" w:space="0"/>
            </w:tcBorders>
            <w:vAlign w:val="center"/>
          </w:tcPr>
          <w:p w14:paraId="63D62FB0">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A0FA07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综合评分</w:t>
            </w:r>
          </w:p>
        </w:tc>
        <w:tc>
          <w:tcPr>
            <w:tcW w:w="5454" w:type="dxa"/>
            <w:tcBorders>
              <w:top w:val="single" w:color="auto" w:sz="4" w:space="0"/>
              <w:left w:val="nil"/>
              <w:bottom w:val="single" w:color="auto" w:sz="4" w:space="0"/>
              <w:right w:val="single" w:color="auto" w:sz="4" w:space="0"/>
            </w:tcBorders>
            <w:vAlign w:val="center"/>
          </w:tcPr>
          <w:p w14:paraId="0CD4B850">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医生可查看图文、视频患者给医生进行打分的情况，系统进行综合计算，得出综合评分</w:t>
            </w:r>
          </w:p>
        </w:tc>
      </w:tr>
      <w:tr w14:paraId="140893E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B09442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21</w:t>
            </w:r>
          </w:p>
        </w:tc>
        <w:tc>
          <w:tcPr>
            <w:tcW w:w="975" w:type="dxa"/>
            <w:vMerge w:val="continue"/>
            <w:tcBorders>
              <w:left w:val="nil"/>
              <w:right w:val="single" w:color="auto" w:sz="4" w:space="0"/>
            </w:tcBorders>
            <w:vAlign w:val="center"/>
          </w:tcPr>
          <w:p w14:paraId="1E6D11E5">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E1EF20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图文咨询人次</w:t>
            </w:r>
          </w:p>
        </w:tc>
        <w:tc>
          <w:tcPr>
            <w:tcW w:w="5454" w:type="dxa"/>
            <w:tcBorders>
              <w:top w:val="single" w:color="auto" w:sz="4" w:space="0"/>
              <w:left w:val="nil"/>
              <w:bottom w:val="single" w:color="auto" w:sz="4" w:space="0"/>
              <w:right w:val="single" w:color="auto" w:sz="4" w:space="0"/>
            </w:tcBorders>
            <w:vAlign w:val="center"/>
          </w:tcPr>
          <w:p w14:paraId="6CC9F4D4">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医生可查看累计完成的图文咨询人次</w:t>
            </w:r>
          </w:p>
        </w:tc>
      </w:tr>
      <w:tr w14:paraId="13D0C747">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A32795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22</w:t>
            </w:r>
          </w:p>
        </w:tc>
        <w:tc>
          <w:tcPr>
            <w:tcW w:w="975" w:type="dxa"/>
            <w:vMerge w:val="continue"/>
            <w:tcBorders>
              <w:left w:val="nil"/>
              <w:right w:val="single" w:color="auto" w:sz="4" w:space="0"/>
            </w:tcBorders>
            <w:vAlign w:val="center"/>
          </w:tcPr>
          <w:p w14:paraId="2F69108B">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13B8B2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视频问诊人次</w:t>
            </w:r>
          </w:p>
        </w:tc>
        <w:tc>
          <w:tcPr>
            <w:tcW w:w="5454" w:type="dxa"/>
            <w:tcBorders>
              <w:top w:val="single" w:color="auto" w:sz="4" w:space="0"/>
              <w:left w:val="nil"/>
              <w:bottom w:val="single" w:color="auto" w:sz="4" w:space="0"/>
              <w:right w:val="single" w:color="auto" w:sz="4" w:space="0"/>
            </w:tcBorders>
            <w:vAlign w:val="center"/>
          </w:tcPr>
          <w:p w14:paraId="714465F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医生可查看累计完成的视频问诊人次</w:t>
            </w:r>
          </w:p>
        </w:tc>
      </w:tr>
      <w:tr w14:paraId="479BB7C2">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7319DB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23</w:t>
            </w:r>
          </w:p>
        </w:tc>
        <w:tc>
          <w:tcPr>
            <w:tcW w:w="975" w:type="dxa"/>
            <w:vMerge w:val="continue"/>
            <w:tcBorders>
              <w:left w:val="nil"/>
              <w:right w:val="single" w:color="auto" w:sz="4" w:space="0"/>
            </w:tcBorders>
            <w:vAlign w:val="center"/>
          </w:tcPr>
          <w:p w14:paraId="2DF2FF2E">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0DFCD41">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我的排班</w:t>
            </w:r>
          </w:p>
        </w:tc>
        <w:tc>
          <w:tcPr>
            <w:tcW w:w="5454" w:type="dxa"/>
            <w:tcBorders>
              <w:top w:val="single" w:color="auto" w:sz="4" w:space="0"/>
              <w:left w:val="nil"/>
              <w:bottom w:val="single" w:color="auto" w:sz="4" w:space="0"/>
              <w:right w:val="single" w:color="auto" w:sz="4" w:space="0"/>
            </w:tcBorders>
            <w:vAlign w:val="center"/>
          </w:tcPr>
          <w:p w14:paraId="37B0E0AD">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医生可在工作站中查看自己的排班信息按月排班展示；</w:t>
            </w:r>
          </w:p>
        </w:tc>
      </w:tr>
      <w:tr w14:paraId="400E64BB">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1833B9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24</w:t>
            </w:r>
          </w:p>
        </w:tc>
        <w:tc>
          <w:tcPr>
            <w:tcW w:w="975" w:type="dxa"/>
            <w:vMerge w:val="continue"/>
            <w:tcBorders>
              <w:left w:val="nil"/>
              <w:right w:val="single" w:color="auto" w:sz="4" w:space="0"/>
            </w:tcBorders>
            <w:vAlign w:val="center"/>
          </w:tcPr>
          <w:p w14:paraId="0611F7B3">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194A444">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快捷回复模板</w:t>
            </w:r>
          </w:p>
        </w:tc>
        <w:tc>
          <w:tcPr>
            <w:tcW w:w="5454" w:type="dxa"/>
            <w:tcBorders>
              <w:top w:val="single" w:color="auto" w:sz="4" w:space="0"/>
              <w:left w:val="nil"/>
              <w:bottom w:val="single" w:color="auto" w:sz="4" w:space="0"/>
              <w:right w:val="single" w:color="auto" w:sz="4" w:space="0"/>
            </w:tcBorders>
            <w:vAlign w:val="center"/>
          </w:tcPr>
          <w:p w14:paraId="5C646B38">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医生可维护模板，在与患者对话过程中使用回复模板，快速给出响应</w:t>
            </w:r>
          </w:p>
        </w:tc>
      </w:tr>
      <w:tr w14:paraId="2ABCC3B3">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1255B8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25</w:t>
            </w:r>
          </w:p>
        </w:tc>
        <w:tc>
          <w:tcPr>
            <w:tcW w:w="975" w:type="dxa"/>
            <w:vMerge w:val="continue"/>
            <w:tcBorders>
              <w:left w:val="nil"/>
              <w:right w:val="single" w:color="auto" w:sz="4" w:space="0"/>
            </w:tcBorders>
            <w:vAlign w:val="center"/>
          </w:tcPr>
          <w:p w14:paraId="7B80BA6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B94DB8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我的名片</w:t>
            </w:r>
          </w:p>
        </w:tc>
        <w:tc>
          <w:tcPr>
            <w:tcW w:w="5454" w:type="dxa"/>
            <w:tcBorders>
              <w:top w:val="single" w:color="auto" w:sz="4" w:space="0"/>
              <w:left w:val="nil"/>
              <w:bottom w:val="single" w:color="auto" w:sz="4" w:space="0"/>
              <w:right w:val="single" w:color="auto" w:sz="4" w:space="0"/>
            </w:tcBorders>
            <w:vAlign w:val="center"/>
          </w:tcPr>
          <w:p w14:paraId="106D6CFA">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医生看查看自己的二维码名片，并分享给患者进行图文、视频预约</w:t>
            </w:r>
          </w:p>
        </w:tc>
      </w:tr>
      <w:tr w14:paraId="0AD475E3">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21E71C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26</w:t>
            </w:r>
          </w:p>
        </w:tc>
        <w:tc>
          <w:tcPr>
            <w:tcW w:w="975" w:type="dxa"/>
            <w:vMerge w:val="continue"/>
            <w:tcBorders>
              <w:left w:val="nil"/>
              <w:right w:val="single" w:color="auto" w:sz="4" w:space="0"/>
            </w:tcBorders>
            <w:vAlign w:val="center"/>
          </w:tcPr>
          <w:p w14:paraId="168A3450">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371AE5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我的科室</w:t>
            </w:r>
          </w:p>
        </w:tc>
        <w:tc>
          <w:tcPr>
            <w:tcW w:w="5454" w:type="dxa"/>
            <w:tcBorders>
              <w:top w:val="single" w:color="auto" w:sz="4" w:space="0"/>
              <w:left w:val="nil"/>
              <w:bottom w:val="single" w:color="auto" w:sz="4" w:space="0"/>
              <w:right w:val="single" w:color="auto" w:sz="4" w:space="0"/>
            </w:tcBorders>
            <w:vAlign w:val="center"/>
          </w:tcPr>
          <w:p w14:paraId="74844248">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如医生多点执业，有多个诊疗科室，医生可在此切换科室登录查看预约患者</w:t>
            </w:r>
          </w:p>
        </w:tc>
      </w:tr>
      <w:tr w14:paraId="14D9F748">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A0F9F4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27</w:t>
            </w:r>
          </w:p>
        </w:tc>
        <w:tc>
          <w:tcPr>
            <w:tcW w:w="975" w:type="dxa"/>
            <w:vMerge w:val="continue"/>
            <w:tcBorders>
              <w:left w:val="nil"/>
              <w:right w:val="single" w:color="auto" w:sz="4" w:space="0"/>
            </w:tcBorders>
            <w:vAlign w:val="center"/>
          </w:tcPr>
          <w:p w14:paraId="4BA7683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B396AF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帮助与反馈</w:t>
            </w:r>
          </w:p>
        </w:tc>
        <w:tc>
          <w:tcPr>
            <w:tcW w:w="5454" w:type="dxa"/>
            <w:tcBorders>
              <w:top w:val="single" w:color="auto" w:sz="4" w:space="0"/>
              <w:left w:val="nil"/>
              <w:bottom w:val="single" w:color="auto" w:sz="4" w:space="0"/>
              <w:right w:val="single" w:color="auto" w:sz="4" w:space="0"/>
            </w:tcBorders>
            <w:vAlign w:val="center"/>
          </w:tcPr>
          <w:p w14:paraId="2BA594D1">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医生可查看操作帮助说明，如不能解决问题，可提交反馈或联系在线客服</w:t>
            </w:r>
          </w:p>
        </w:tc>
      </w:tr>
      <w:tr w14:paraId="476D52F7">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ACBAC0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975" w:type="dxa"/>
            <w:vMerge w:val="restart"/>
            <w:tcBorders>
              <w:top w:val="single" w:color="auto" w:sz="4" w:space="0"/>
              <w:left w:val="nil"/>
              <w:right w:val="single" w:color="auto" w:sz="4" w:space="0"/>
            </w:tcBorders>
            <w:vAlign w:val="center"/>
          </w:tcPr>
          <w:p w14:paraId="7142EA28">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医生工作站</w:t>
            </w:r>
          </w:p>
        </w:tc>
        <w:tc>
          <w:tcPr>
            <w:tcW w:w="1437" w:type="dxa"/>
            <w:tcBorders>
              <w:top w:val="single" w:color="auto" w:sz="4" w:space="0"/>
              <w:left w:val="nil"/>
              <w:bottom w:val="single" w:color="auto" w:sz="4" w:space="0"/>
              <w:right w:val="single" w:color="auto" w:sz="4" w:space="0"/>
            </w:tcBorders>
            <w:vAlign w:val="center"/>
          </w:tcPr>
          <w:p w14:paraId="0626A59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预约就诊</w:t>
            </w:r>
          </w:p>
        </w:tc>
        <w:tc>
          <w:tcPr>
            <w:tcW w:w="5454" w:type="dxa"/>
            <w:tcBorders>
              <w:top w:val="single" w:color="auto" w:sz="4" w:space="0"/>
              <w:left w:val="nil"/>
              <w:bottom w:val="single" w:color="auto" w:sz="4" w:space="0"/>
              <w:right w:val="single" w:color="auto" w:sz="4" w:space="0"/>
            </w:tcBorders>
            <w:vAlign w:val="center"/>
          </w:tcPr>
          <w:p w14:paraId="6F0C27DD">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患者可按医生排班时段预约就诊。</w:t>
            </w:r>
          </w:p>
        </w:tc>
      </w:tr>
      <w:tr w14:paraId="3D45C543">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B20E78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975" w:type="dxa"/>
            <w:vMerge w:val="continue"/>
            <w:tcBorders>
              <w:left w:val="nil"/>
              <w:right w:val="single" w:color="auto" w:sz="4" w:space="0"/>
            </w:tcBorders>
            <w:vAlign w:val="center"/>
          </w:tcPr>
          <w:p w14:paraId="51991705">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7BABB5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视频看诊</w:t>
            </w:r>
          </w:p>
        </w:tc>
        <w:tc>
          <w:tcPr>
            <w:tcW w:w="5454" w:type="dxa"/>
            <w:tcBorders>
              <w:top w:val="single" w:color="auto" w:sz="4" w:space="0"/>
              <w:left w:val="nil"/>
              <w:bottom w:val="single" w:color="auto" w:sz="4" w:space="0"/>
              <w:right w:val="single" w:color="auto" w:sz="4" w:space="0"/>
            </w:tcBorders>
            <w:vAlign w:val="center"/>
          </w:tcPr>
          <w:p w14:paraId="59B09285">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查看视频问诊患者提交的问题单，进行接诊、拒绝接诊服务</w:t>
            </w:r>
          </w:p>
        </w:tc>
      </w:tr>
      <w:tr w14:paraId="55BA9781">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B1FC4A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975" w:type="dxa"/>
            <w:vMerge w:val="continue"/>
            <w:tcBorders>
              <w:left w:val="nil"/>
              <w:right w:val="single" w:color="auto" w:sz="4" w:space="0"/>
            </w:tcBorders>
            <w:vAlign w:val="center"/>
          </w:tcPr>
          <w:p w14:paraId="64C77239">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3F4041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历史查询</w:t>
            </w:r>
          </w:p>
        </w:tc>
        <w:tc>
          <w:tcPr>
            <w:tcW w:w="5454" w:type="dxa"/>
            <w:tcBorders>
              <w:top w:val="single" w:color="auto" w:sz="4" w:space="0"/>
              <w:left w:val="nil"/>
              <w:bottom w:val="single" w:color="auto" w:sz="4" w:space="0"/>
              <w:right w:val="single" w:color="auto" w:sz="4" w:space="0"/>
            </w:tcBorders>
            <w:vAlign w:val="center"/>
          </w:tcPr>
          <w:p w14:paraId="7E388DDF">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查看患者历史就诊信息</w:t>
            </w:r>
          </w:p>
        </w:tc>
      </w:tr>
      <w:tr w14:paraId="01199EC8">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96B24E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975" w:type="dxa"/>
            <w:vMerge w:val="continue"/>
            <w:tcBorders>
              <w:left w:val="nil"/>
              <w:right w:val="single" w:color="auto" w:sz="4" w:space="0"/>
            </w:tcBorders>
            <w:vAlign w:val="center"/>
          </w:tcPr>
          <w:p w14:paraId="240CA0C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AAF68E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医嘱查询</w:t>
            </w:r>
          </w:p>
        </w:tc>
        <w:tc>
          <w:tcPr>
            <w:tcW w:w="5454" w:type="dxa"/>
            <w:tcBorders>
              <w:top w:val="single" w:color="auto" w:sz="4" w:space="0"/>
              <w:left w:val="nil"/>
              <w:bottom w:val="single" w:color="auto" w:sz="4" w:space="0"/>
              <w:right w:val="single" w:color="auto" w:sz="4" w:space="0"/>
            </w:tcBorders>
            <w:vAlign w:val="center"/>
          </w:tcPr>
          <w:p w14:paraId="725E5B71">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查看患者既往医嘱信息，进行费用统计，按照生命周期进行展示医嘱执行记录</w:t>
            </w:r>
          </w:p>
        </w:tc>
      </w:tr>
      <w:tr w14:paraId="6E4E86A5">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C9A96B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975" w:type="dxa"/>
            <w:vMerge w:val="continue"/>
            <w:tcBorders>
              <w:left w:val="nil"/>
              <w:right w:val="single" w:color="auto" w:sz="4" w:space="0"/>
            </w:tcBorders>
            <w:vAlign w:val="center"/>
          </w:tcPr>
          <w:p w14:paraId="689B27DA">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E89D98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检查报告</w:t>
            </w:r>
          </w:p>
        </w:tc>
        <w:tc>
          <w:tcPr>
            <w:tcW w:w="5454" w:type="dxa"/>
            <w:tcBorders>
              <w:top w:val="single" w:color="auto" w:sz="4" w:space="0"/>
              <w:left w:val="nil"/>
              <w:bottom w:val="single" w:color="auto" w:sz="4" w:space="0"/>
              <w:right w:val="single" w:color="auto" w:sz="4" w:space="0"/>
            </w:tcBorders>
            <w:vAlign w:val="center"/>
          </w:tcPr>
          <w:p w14:paraId="6CB28E16">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查看患者的检查报告信息</w:t>
            </w:r>
          </w:p>
        </w:tc>
      </w:tr>
      <w:tr w14:paraId="60F6C70F">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A1C8C2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975" w:type="dxa"/>
            <w:vMerge w:val="continue"/>
            <w:tcBorders>
              <w:left w:val="nil"/>
              <w:right w:val="single" w:color="auto" w:sz="4" w:space="0"/>
            </w:tcBorders>
            <w:vAlign w:val="center"/>
          </w:tcPr>
          <w:p w14:paraId="5000B87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AED8C0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检验结果</w:t>
            </w:r>
          </w:p>
        </w:tc>
        <w:tc>
          <w:tcPr>
            <w:tcW w:w="5454" w:type="dxa"/>
            <w:tcBorders>
              <w:top w:val="single" w:color="auto" w:sz="4" w:space="0"/>
              <w:left w:val="nil"/>
              <w:bottom w:val="single" w:color="auto" w:sz="4" w:space="0"/>
              <w:right w:val="single" w:color="auto" w:sz="4" w:space="0"/>
            </w:tcBorders>
            <w:vAlign w:val="center"/>
          </w:tcPr>
          <w:p w14:paraId="329B4081">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查看患者的检验结果信息</w:t>
            </w:r>
          </w:p>
        </w:tc>
      </w:tr>
      <w:tr w14:paraId="5D6F95AD">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E05CE21">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975" w:type="dxa"/>
            <w:vMerge w:val="continue"/>
            <w:tcBorders>
              <w:left w:val="nil"/>
              <w:right w:val="single" w:color="auto" w:sz="4" w:space="0"/>
            </w:tcBorders>
            <w:vAlign w:val="center"/>
          </w:tcPr>
          <w:p w14:paraId="58F184D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904196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电子病历</w:t>
            </w:r>
          </w:p>
        </w:tc>
        <w:tc>
          <w:tcPr>
            <w:tcW w:w="5454" w:type="dxa"/>
            <w:tcBorders>
              <w:top w:val="single" w:color="auto" w:sz="4" w:space="0"/>
              <w:left w:val="nil"/>
              <w:bottom w:val="single" w:color="auto" w:sz="4" w:space="0"/>
              <w:right w:val="single" w:color="auto" w:sz="4" w:space="0"/>
            </w:tcBorders>
            <w:vAlign w:val="center"/>
          </w:tcPr>
          <w:p w14:paraId="2D8EEDF4">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在</w:t>
            </w:r>
            <w:r>
              <w:rPr>
                <w:rFonts w:asciiTheme="minorEastAsia" w:hAnsiTheme="minorEastAsia" w:eastAsiaTheme="minorEastAsia"/>
                <w:sz w:val="18"/>
                <w:szCs w:val="18"/>
              </w:rPr>
              <w:t>WEB</w:t>
            </w:r>
            <w:r>
              <w:rPr>
                <w:rFonts w:hint="eastAsia" w:asciiTheme="minorEastAsia" w:hAnsiTheme="minorEastAsia" w:eastAsiaTheme="minorEastAsia"/>
                <w:sz w:val="18"/>
                <w:szCs w:val="18"/>
              </w:rPr>
              <w:t>端可进行电子病历模板配置</w:t>
            </w:r>
          </w:p>
        </w:tc>
      </w:tr>
      <w:tr w14:paraId="642D2DA6">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7B6A26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8</w:t>
            </w:r>
          </w:p>
        </w:tc>
        <w:tc>
          <w:tcPr>
            <w:tcW w:w="975" w:type="dxa"/>
            <w:vMerge w:val="continue"/>
            <w:tcBorders>
              <w:left w:val="nil"/>
              <w:right w:val="single" w:color="auto" w:sz="4" w:space="0"/>
            </w:tcBorders>
            <w:vAlign w:val="center"/>
          </w:tcPr>
          <w:p w14:paraId="15B172FA">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5A74B2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电子处方</w:t>
            </w:r>
          </w:p>
        </w:tc>
        <w:tc>
          <w:tcPr>
            <w:tcW w:w="5454" w:type="dxa"/>
            <w:tcBorders>
              <w:top w:val="single" w:color="auto" w:sz="4" w:space="0"/>
              <w:left w:val="nil"/>
              <w:bottom w:val="single" w:color="auto" w:sz="4" w:space="0"/>
              <w:right w:val="single" w:color="auto" w:sz="4" w:space="0"/>
            </w:tcBorders>
            <w:vAlign w:val="center"/>
          </w:tcPr>
          <w:p w14:paraId="1664A0E6">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医生在</w:t>
            </w:r>
            <w:r>
              <w:rPr>
                <w:rFonts w:asciiTheme="minorEastAsia" w:hAnsiTheme="minorEastAsia" w:eastAsiaTheme="minorEastAsia"/>
                <w:sz w:val="18"/>
                <w:szCs w:val="18"/>
              </w:rPr>
              <w:t>WEB</w:t>
            </w:r>
            <w:r>
              <w:rPr>
                <w:rFonts w:hint="eastAsia" w:asciiTheme="minorEastAsia" w:hAnsiTheme="minorEastAsia" w:eastAsiaTheme="minorEastAsia"/>
                <w:sz w:val="18"/>
                <w:szCs w:val="18"/>
              </w:rPr>
              <w:t>端针对于处方进行相应的操作</w:t>
            </w:r>
          </w:p>
        </w:tc>
      </w:tr>
      <w:tr w14:paraId="36F49FF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118D13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975" w:type="dxa"/>
            <w:vMerge w:val="continue"/>
            <w:tcBorders>
              <w:left w:val="nil"/>
              <w:right w:val="single" w:color="auto" w:sz="4" w:space="0"/>
            </w:tcBorders>
            <w:vAlign w:val="center"/>
          </w:tcPr>
          <w:p w14:paraId="0D433253">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8EF0798">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收费</w:t>
            </w:r>
          </w:p>
        </w:tc>
        <w:tc>
          <w:tcPr>
            <w:tcW w:w="5454" w:type="dxa"/>
            <w:tcBorders>
              <w:top w:val="single" w:color="auto" w:sz="4" w:space="0"/>
              <w:left w:val="nil"/>
              <w:bottom w:val="single" w:color="auto" w:sz="4" w:space="0"/>
              <w:right w:val="single" w:color="auto" w:sz="4" w:space="0"/>
            </w:tcBorders>
            <w:vAlign w:val="center"/>
          </w:tcPr>
          <w:p w14:paraId="78A97D11">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处方审核完成后，患者可在手机，进行支付</w:t>
            </w:r>
          </w:p>
        </w:tc>
      </w:tr>
      <w:tr w14:paraId="69E8E748">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DBAB94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975" w:type="dxa"/>
            <w:vMerge w:val="continue"/>
            <w:tcBorders>
              <w:left w:val="nil"/>
              <w:right w:val="single" w:color="auto" w:sz="4" w:space="0"/>
            </w:tcBorders>
            <w:vAlign w:val="center"/>
          </w:tcPr>
          <w:p w14:paraId="1FB3257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454B80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医嘱录入</w:t>
            </w:r>
          </w:p>
        </w:tc>
        <w:tc>
          <w:tcPr>
            <w:tcW w:w="5454" w:type="dxa"/>
            <w:tcBorders>
              <w:top w:val="single" w:color="auto" w:sz="4" w:space="0"/>
              <w:left w:val="nil"/>
              <w:bottom w:val="single" w:color="auto" w:sz="4" w:space="0"/>
              <w:right w:val="single" w:color="auto" w:sz="4" w:space="0"/>
            </w:tcBorders>
            <w:vAlign w:val="center"/>
          </w:tcPr>
          <w:p w14:paraId="37006B53">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视频问诊过程中，根据患者病情，病症，病状，合理有效的开具处方，使用历史处方、处方模板、医嘱套快速录入；包含西药、中草药、检查、检验信息录入</w:t>
            </w:r>
          </w:p>
        </w:tc>
      </w:tr>
      <w:tr w14:paraId="4547585E">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C629C4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11</w:t>
            </w:r>
          </w:p>
        </w:tc>
        <w:tc>
          <w:tcPr>
            <w:tcW w:w="975" w:type="dxa"/>
            <w:vMerge w:val="continue"/>
            <w:tcBorders>
              <w:left w:val="nil"/>
              <w:right w:val="single" w:color="auto" w:sz="4" w:space="0"/>
            </w:tcBorders>
            <w:vAlign w:val="center"/>
          </w:tcPr>
          <w:p w14:paraId="1350293D">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B6434F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医嘱模板配置</w:t>
            </w:r>
          </w:p>
        </w:tc>
        <w:tc>
          <w:tcPr>
            <w:tcW w:w="5454" w:type="dxa"/>
            <w:tcBorders>
              <w:top w:val="single" w:color="auto" w:sz="4" w:space="0"/>
              <w:left w:val="nil"/>
              <w:bottom w:val="single" w:color="auto" w:sz="4" w:space="0"/>
              <w:right w:val="single" w:color="auto" w:sz="4" w:space="0"/>
            </w:tcBorders>
            <w:vAlign w:val="center"/>
          </w:tcPr>
          <w:p w14:paraId="1FC6AC16">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医生通过工作站可设置医嘱模板，在医嘱录入时，通过模板选择医嘱</w:t>
            </w:r>
          </w:p>
        </w:tc>
      </w:tr>
      <w:tr w14:paraId="3E26759D">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340C3C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12</w:t>
            </w:r>
          </w:p>
        </w:tc>
        <w:tc>
          <w:tcPr>
            <w:tcW w:w="975" w:type="dxa"/>
            <w:vMerge w:val="continue"/>
            <w:tcBorders>
              <w:left w:val="nil"/>
              <w:right w:val="single" w:color="auto" w:sz="4" w:space="0"/>
            </w:tcBorders>
            <w:vAlign w:val="center"/>
          </w:tcPr>
          <w:p w14:paraId="59C4C68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31DD1E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诊断模板维护</w:t>
            </w:r>
          </w:p>
        </w:tc>
        <w:tc>
          <w:tcPr>
            <w:tcW w:w="5454" w:type="dxa"/>
            <w:tcBorders>
              <w:top w:val="single" w:color="auto" w:sz="4" w:space="0"/>
              <w:left w:val="nil"/>
              <w:bottom w:val="single" w:color="auto" w:sz="4" w:space="0"/>
              <w:right w:val="single" w:color="auto" w:sz="4" w:space="0"/>
            </w:tcBorders>
            <w:vAlign w:val="center"/>
          </w:tcPr>
          <w:p w14:paraId="62807D07">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医生通过工作站可维护诊断模板，在诊断录入时，通过模板选择诊断</w:t>
            </w:r>
          </w:p>
        </w:tc>
      </w:tr>
      <w:tr w14:paraId="1EACFA8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A22C92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13</w:t>
            </w:r>
          </w:p>
        </w:tc>
        <w:tc>
          <w:tcPr>
            <w:tcW w:w="975" w:type="dxa"/>
            <w:vMerge w:val="continue"/>
            <w:tcBorders>
              <w:left w:val="nil"/>
              <w:right w:val="single" w:color="auto" w:sz="4" w:space="0"/>
            </w:tcBorders>
            <w:vAlign w:val="center"/>
          </w:tcPr>
          <w:p w14:paraId="0B910C7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5592F4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病历模板维护</w:t>
            </w:r>
          </w:p>
        </w:tc>
        <w:tc>
          <w:tcPr>
            <w:tcW w:w="5454" w:type="dxa"/>
            <w:tcBorders>
              <w:top w:val="single" w:color="auto" w:sz="4" w:space="0"/>
              <w:left w:val="nil"/>
              <w:bottom w:val="single" w:color="auto" w:sz="4" w:space="0"/>
              <w:right w:val="single" w:color="auto" w:sz="4" w:space="0"/>
            </w:tcBorders>
            <w:vAlign w:val="center"/>
          </w:tcPr>
          <w:p w14:paraId="1262B2A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医生通过工作站可维护病历模板，在病历录入时，通过模板录入病历</w:t>
            </w:r>
          </w:p>
        </w:tc>
      </w:tr>
      <w:tr w14:paraId="48E779A3">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EF24CE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14</w:t>
            </w:r>
          </w:p>
        </w:tc>
        <w:tc>
          <w:tcPr>
            <w:tcW w:w="975" w:type="dxa"/>
            <w:vMerge w:val="continue"/>
            <w:tcBorders>
              <w:left w:val="nil"/>
              <w:right w:val="single" w:color="auto" w:sz="4" w:space="0"/>
            </w:tcBorders>
            <w:vAlign w:val="center"/>
          </w:tcPr>
          <w:p w14:paraId="418A9F91">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0BEB34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处方流转/审核/发药</w:t>
            </w:r>
          </w:p>
        </w:tc>
        <w:tc>
          <w:tcPr>
            <w:tcW w:w="5454" w:type="dxa"/>
            <w:tcBorders>
              <w:top w:val="single" w:color="auto" w:sz="4" w:space="0"/>
              <w:left w:val="nil"/>
              <w:bottom w:val="single" w:color="auto" w:sz="4" w:space="0"/>
              <w:right w:val="single" w:color="auto" w:sz="4" w:space="0"/>
            </w:tcBorders>
            <w:vAlign w:val="center"/>
          </w:tcPr>
          <w:p w14:paraId="2747A9D7">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平台认证药师可在线审核处方，审核通过的流转至下一环节，审核不通过的处方退回至开方医生。</w:t>
            </w:r>
          </w:p>
        </w:tc>
      </w:tr>
      <w:tr w14:paraId="354AF472">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631CA78">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15</w:t>
            </w:r>
          </w:p>
        </w:tc>
        <w:tc>
          <w:tcPr>
            <w:tcW w:w="975" w:type="dxa"/>
            <w:vMerge w:val="continue"/>
            <w:tcBorders>
              <w:left w:val="nil"/>
              <w:right w:val="single" w:color="auto" w:sz="4" w:space="0"/>
            </w:tcBorders>
            <w:vAlign w:val="center"/>
          </w:tcPr>
          <w:p w14:paraId="3B319CF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76B76B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申请单录入</w:t>
            </w:r>
          </w:p>
        </w:tc>
        <w:tc>
          <w:tcPr>
            <w:tcW w:w="5454" w:type="dxa"/>
            <w:tcBorders>
              <w:top w:val="single" w:color="auto" w:sz="4" w:space="0"/>
              <w:left w:val="nil"/>
              <w:bottom w:val="single" w:color="auto" w:sz="4" w:space="0"/>
              <w:right w:val="single" w:color="auto" w:sz="4" w:space="0"/>
            </w:tcBorders>
            <w:vAlign w:val="center"/>
          </w:tcPr>
          <w:p w14:paraId="161AF83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医生在互联网给病人开具检查、检验申请单项目</w:t>
            </w:r>
          </w:p>
        </w:tc>
      </w:tr>
      <w:tr w14:paraId="4A2BD1C7">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40DBFD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16</w:t>
            </w:r>
          </w:p>
        </w:tc>
        <w:tc>
          <w:tcPr>
            <w:tcW w:w="975" w:type="dxa"/>
            <w:vMerge w:val="continue"/>
            <w:tcBorders>
              <w:left w:val="nil"/>
              <w:right w:val="single" w:color="auto" w:sz="4" w:space="0"/>
            </w:tcBorders>
            <w:vAlign w:val="center"/>
          </w:tcPr>
          <w:p w14:paraId="0E0D3C7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5E76B3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处方签名</w:t>
            </w:r>
          </w:p>
        </w:tc>
        <w:tc>
          <w:tcPr>
            <w:tcW w:w="5454" w:type="dxa"/>
            <w:tcBorders>
              <w:top w:val="single" w:color="auto" w:sz="4" w:space="0"/>
              <w:left w:val="nil"/>
              <w:bottom w:val="single" w:color="auto" w:sz="4" w:space="0"/>
              <w:right w:val="single" w:color="auto" w:sz="4" w:space="0"/>
            </w:tcBorders>
            <w:vAlign w:val="center"/>
          </w:tcPr>
          <w:p w14:paraId="6AE2F08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医生处方开具完成并确认后，系统提示进行电子签名，签名完成后药房可对处方进行审核</w:t>
            </w:r>
          </w:p>
        </w:tc>
      </w:tr>
      <w:tr w14:paraId="497B9911">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4B6FD6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17</w:t>
            </w:r>
          </w:p>
        </w:tc>
        <w:tc>
          <w:tcPr>
            <w:tcW w:w="975" w:type="dxa"/>
            <w:vMerge w:val="continue"/>
            <w:tcBorders>
              <w:left w:val="nil"/>
              <w:right w:val="single" w:color="auto" w:sz="4" w:space="0"/>
            </w:tcBorders>
            <w:vAlign w:val="center"/>
          </w:tcPr>
          <w:p w14:paraId="06BE59C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79B718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处方审核</w:t>
            </w:r>
          </w:p>
        </w:tc>
        <w:tc>
          <w:tcPr>
            <w:tcW w:w="5454" w:type="dxa"/>
            <w:tcBorders>
              <w:top w:val="single" w:color="auto" w:sz="4" w:space="0"/>
              <w:left w:val="nil"/>
              <w:bottom w:val="single" w:color="auto" w:sz="4" w:space="0"/>
              <w:right w:val="single" w:color="auto" w:sz="4" w:space="0"/>
            </w:tcBorders>
            <w:vAlign w:val="center"/>
          </w:tcPr>
          <w:p w14:paraId="32A42E90">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药房对医生已签名的处方进行审核，审核通过可发药，审核不通过医生可进行申诉、接受拒绝处理</w:t>
            </w:r>
          </w:p>
        </w:tc>
      </w:tr>
      <w:tr w14:paraId="748623DB">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BF254B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18</w:t>
            </w:r>
          </w:p>
        </w:tc>
        <w:tc>
          <w:tcPr>
            <w:tcW w:w="975" w:type="dxa"/>
            <w:vMerge w:val="continue"/>
            <w:tcBorders>
              <w:left w:val="nil"/>
              <w:right w:val="single" w:color="auto" w:sz="4" w:space="0"/>
            </w:tcBorders>
            <w:vAlign w:val="center"/>
          </w:tcPr>
          <w:p w14:paraId="07CF3BE4">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A3F5B38">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药师审查及干预</w:t>
            </w:r>
          </w:p>
        </w:tc>
        <w:tc>
          <w:tcPr>
            <w:tcW w:w="5454" w:type="dxa"/>
            <w:tcBorders>
              <w:top w:val="single" w:color="auto" w:sz="4" w:space="0"/>
              <w:left w:val="nil"/>
              <w:bottom w:val="single" w:color="auto" w:sz="4" w:space="0"/>
              <w:right w:val="single" w:color="auto" w:sz="4" w:space="0"/>
            </w:tcBorders>
            <w:vAlign w:val="center"/>
          </w:tcPr>
          <w:p w14:paraId="708329C5">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药师对医生已签名的处方进行审查，可介入处方审核进程。</w:t>
            </w:r>
          </w:p>
        </w:tc>
      </w:tr>
      <w:tr w14:paraId="1E3E1A8C">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ACAD93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19</w:t>
            </w:r>
          </w:p>
        </w:tc>
        <w:tc>
          <w:tcPr>
            <w:tcW w:w="975" w:type="dxa"/>
            <w:vMerge w:val="continue"/>
            <w:tcBorders>
              <w:left w:val="nil"/>
              <w:bottom w:val="single" w:color="auto" w:sz="4" w:space="0"/>
              <w:right w:val="single" w:color="auto" w:sz="4" w:space="0"/>
            </w:tcBorders>
            <w:vAlign w:val="center"/>
          </w:tcPr>
          <w:p w14:paraId="26A81E60">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044FCC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门诊日志</w:t>
            </w:r>
          </w:p>
        </w:tc>
        <w:tc>
          <w:tcPr>
            <w:tcW w:w="5454" w:type="dxa"/>
            <w:tcBorders>
              <w:top w:val="single" w:color="auto" w:sz="4" w:space="0"/>
              <w:left w:val="nil"/>
              <w:bottom w:val="single" w:color="auto" w:sz="4" w:space="0"/>
              <w:right w:val="single" w:color="auto" w:sz="4" w:space="0"/>
            </w:tcBorders>
            <w:vAlign w:val="center"/>
          </w:tcPr>
          <w:p w14:paraId="18EB9F69">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医生可查看每日工作日志，按照接诊状态查看互联网接诊人次</w:t>
            </w:r>
          </w:p>
        </w:tc>
      </w:tr>
      <w:tr w14:paraId="4B43AA61">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D21003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975" w:type="dxa"/>
            <w:vMerge w:val="restart"/>
            <w:tcBorders>
              <w:top w:val="single" w:color="auto" w:sz="4" w:space="0"/>
              <w:left w:val="nil"/>
              <w:right w:val="single" w:color="auto" w:sz="4" w:space="0"/>
            </w:tcBorders>
            <w:vAlign w:val="center"/>
          </w:tcPr>
          <w:p w14:paraId="4840B9C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bCs/>
                <w:kern w:val="0"/>
                <w:sz w:val="18"/>
                <w:szCs w:val="18"/>
              </w:rPr>
              <w:t>综合管理后台</w:t>
            </w:r>
          </w:p>
        </w:tc>
        <w:tc>
          <w:tcPr>
            <w:tcW w:w="1437" w:type="dxa"/>
            <w:tcBorders>
              <w:top w:val="single" w:color="auto" w:sz="4" w:space="0"/>
              <w:left w:val="nil"/>
              <w:bottom w:val="single" w:color="auto" w:sz="4" w:space="0"/>
              <w:right w:val="single" w:color="auto" w:sz="4" w:space="0"/>
            </w:tcBorders>
            <w:vAlign w:val="center"/>
          </w:tcPr>
          <w:p w14:paraId="2FD2E68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菜单管理</w:t>
            </w:r>
          </w:p>
        </w:tc>
        <w:tc>
          <w:tcPr>
            <w:tcW w:w="5454" w:type="dxa"/>
            <w:tcBorders>
              <w:top w:val="single" w:color="auto" w:sz="4" w:space="0"/>
              <w:left w:val="nil"/>
              <w:bottom w:val="single" w:color="auto" w:sz="4" w:space="0"/>
              <w:right w:val="single" w:color="auto" w:sz="4" w:space="0"/>
            </w:tcBorders>
            <w:vAlign w:val="center"/>
          </w:tcPr>
          <w:p w14:paraId="7B8B2BD9">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可添加、编辑、删除系统菜单，可配置菜单的内外部链接地址，实现功能导航、外部应用、站点的管理</w:t>
            </w:r>
          </w:p>
        </w:tc>
      </w:tr>
      <w:tr w14:paraId="161B3BE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44484FC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975" w:type="dxa"/>
            <w:vMerge w:val="continue"/>
            <w:tcBorders>
              <w:left w:val="nil"/>
              <w:right w:val="single" w:color="auto" w:sz="4" w:space="0"/>
            </w:tcBorders>
            <w:vAlign w:val="center"/>
          </w:tcPr>
          <w:p w14:paraId="031BF47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526F9C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角色管理</w:t>
            </w:r>
          </w:p>
        </w:tc>
        <w:tc>
          <w:tcPr>
            <w:tcW w:w="5454" w:type="dxa"/>
            <w:tcBorders>
              <w:top w:val="single" w:color="auto" w:sz="4" w:space="0"/>
              <w:left w:val="nil"/>
              <w:bottom w:val="single" w:color="auto" w:sz="4" w:space="0"/>
              <w:right w:val="single" w:color="auto" w:sz="4" w:space="0"/>
            </w:tcBorders>
            <w:vAlign w:val="center"/>
          </w:tcPr>
          <w:p w14:paraId="176DF4A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可添加、编辑、删除系统角色，并给角色配置菜单访问权限</w:t>
            </w:r>
          </w:p>
        </w:tc>
      </w:tr>
      <w:tr w14:paraId="5B774A58">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175388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975" w:type="dxa"/>
            <w:vMerge w:val="continue"/>
            <w:tcBorders>
              <w:left w:val="nil"/>
              <w:right w:val="single" w:color="auto" w:sz="4" w:space="0"/>
            </w:tcBorders>
            <w:vAlign w:val="center"/>
          </w:tcPr>
          <w:p w14:paraId="2A0DFE7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E16648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人员管理</w:t>
            </w:r>
          </w:p>
        </w:tc>
        <w:tc>
          <w:tcPr>
            <w:tcW w:w="5454" w:type="dxa"/>
            <w:tcBorders>
              <w:top w:val="single" w:color="auto" w:sz="4" w:space="0"/>
              <w:left w:val="nil"/>
              <w:bottom w:val="single" w:color="auto" w:sz="4" w:space="0"/>
              <w:right w:val="single" w:color="auto" w:sz="4" w:space="0"/>
            </w:tcBorders>
            <w:vAlign w:val="center"/>
          </w:tcPr>
          <w:p w14:paraId="1655EE84">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选择机构添加、编辑人员信息，关联科室可通过人员类别、姓名、手机号、身份证号筛选人员</w:t>
            </w:r>
          </w:p>
        </w:tc>
      </w:tr>
      <w:tr w14:paraId="5F94C68E">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63AF7C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975" w:type="dxa"/>
            <w:vMerge w:val="continue"/>
            <w:tcBorders>
              <w:left w:val="nil"/>
              <w:right w:val="single" w:color="auto" w:sz="4" w:space="0"/>
            </w:tcBorders>
            <w:vAlign w:val="center"/>
          </w:tcPr>
          <w:p w14:paraId="1D61FB96">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6F6923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科室管理</w:t>
            </w:r>
          </w:p>
        </w:tc>
        <w:tc>
          <w:tcPr>
            <w:tcW w:w="5454" w:type="dxa"/>
            <w:tcBorders>
              <w:top w:val="single" w:color="auto" w:sz="4" w:space="0"/>
              <w:left w:val="nil"/>
              <w:bottom w:val="single" w:color="auto" w:sz="4" w:space="0"/>
              <w:right w:val="single" w:color="auto" w:sz="4" w:space="0"/>
            </w:tcBorders>
            <w:vAlign w:val="center"/>
          </w:tcPr>
          <w:p w14:paraId="0CF93DDD">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科室管理列表可通过机构，输入科室名称进行查询，可添加、编辑科室包含功能有停用和启用科室</w:t>
            </w:r>
          </w:p>
        </w:tc>
      </w:tr>
      <w:tr w14:paraId="46EF12E9">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4DC2A9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975" w:type="dxa"/>
            <w:vMerge w:val="continue"/>
            <w:tcBorders>
              <w:left w:val="nil"/>
              <w:right w:val="single" w:color="auto" w:sz="4" w:space="0"/>
            </w:tcBorders>
            <w:vAlign w:val="center"/>
          </w:tcPr>
          <w:p w14:paraId="092F039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DD8527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审方管理</w:t>
            </w:r>
          </w:p>
        </w:tc>
        <w:tc>
          <w:tcPr>
            <w:tcW w:w="5454" w:type="dxa"/>
            <w:tcBorders>
              <w:top w:val="single" w:color="auto" w:sz="4" w:space="0"/>
              <w:left w:val="nil"/>
              <w:bottom w:val="single" w:color="auto" w:sz="4" w:space="0"/>
              <w:right w:val="single" w:color="auto" w:sz="4" w:space="0"/>
            </w:tcBorders>
            <w:vAlign w:val="center"/>
          </w:tcPr>
          <w:p w14:paraId="28BC320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选择日期范围、科室、医生、审核状态进行检索，输入药品名称、诊断结果、药师名称进行检索（支持模糊查询），勾选医生已修改会过滤出医生已修改的列表，勾选问题处方会过滤有问题处方列表</w:t>
            </w:r>
          </w:p>
        </w:tc>
      </w:tr>
      <w:tr w14:paraId="5F300D7F">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D06A1C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975" w:type="dxa"/>
            <w:vMerge w:val="continue"/>
            <w:tcBorders>
              <w:left w:val="nil"/>
              <w:right w:val="single" w:color="auto" w:sz="4" w:space="0"/>
            </w:tcBorders>
            <w:vAlign w:val="center"/>
          </w:tcPr>
          <w:p w14:paraId="3F273D03">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6649F0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物流管理</w:t>
            </w:r>
          </w:p>
        </w:tc>
        <w:tc>
          <w:tcPr>
            <w:tcW w:w="5454" w:type="dxa"/>
            <w:tcBorders>
              <w:top w:val="single" w:color="auto" w:sz="4" w:space="0"/>
              <w:left w:val="nil"/>
              <w:bottom w:val="single" w:color="auto" w:sz="4" w:space="0"/>
              <w:right w:val="single" w:color="auto" w:sz="4" w:space="0"/>
            </w:tcBorders>
            <w:vAlign w:val="center"/>
          </w:tcPr>
          <w:p w14:paraId="66023897">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患者在线支付药品订单后可选择自提或物流配送，并对物流信息进行管理。</w:t>
            </w:r>
          </w:p>
        </w:tc>
      </w:tr>
      <w:tr w14:paraId="382AF892">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FC6FA6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975" w:type="dxa"/>
            <w:vMerge w:val="continue"/>
            <w:tcBorders>
              <w:left w:val="nil"/>
              <w:right w:val="single" w:color="auto" w:sz="4" w:space="0"/>
            </w:tcBorders>
            <w:vAlign w:val="center"/>
          </w:tcPr>
          <w:p w14:paraId="29E2159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47B114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在线客服</w:t>
            </w:r>
          </w:p>
        </w:tc>
        <w:tc>
          <w:tcPr>
            <w:tcW w:w="5454" w:type="dxa"/>
            <w:tcBorders>
              <w:top w:val="single" w:color="auto" w:sz="4" w:space="0"/>
              <w:left w:val="nil"/>
              <w:bottom w:val="single" w:color="auto" w:sz="4" w:space="0"/>
              <w:right w:val="single" w:color="auto" w:sz="4" w:space="0"/>
            </w:tcBorders>
            <w:vAlign w:val="center"/>
          </w:tcPr>
          <w:p w14:paraId="2947E6BA">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患者可与医院客服进行图文沟通，帮助解决患者遇到的问题</w:t>
            </w:r>
          </w:p>
        </w:tc>
      </w:tr>
      <w:tr w14:paraId="69B02495">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C53AD7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8</w:t>
            </w:r>
          </w:p>
        </w:tc>
        <w:tc>
          <w:tcPr>
            <w:tcW w:w="975" w:type="dxa"/>
            <w:vMerge w:val="continue"/>
            <w:tcBorders>
              <w:left w:val="nil"/>
              <w:right w:val="single" w:color="auto" w:sz="4" w:space="0"/>
            </w:tcBorders>
            <w:vAlign w:val="center"/>
          </w:tcPr>
          <w:p w14:paraId="60A8D26C">
            <w:pPr>
              <w:widowControl/>
              <w:jc w:val="center"/>
              <w:rPr>
                <w:rFonts w:hint="eastAsia" w:asciiTheme="minorEastAsia" w:hAnsiTheme="minorEastAsia" w:eastAsiaTheme="minorEastAsia"/>
                <w:sz w:val="18"/>
                <w:szCs w:val="18"/>
              </w:rPr>
            </w:pPr>
          </w:p>
        </w:tc>
        <w:tc>
          <w:tcPr>
            <w:tcW w:w="1437" w:type="dxa"/>
            <w:vMerge w:val="restart"/>
            <w:tcBorders>
              <w:top w:val="single" w:color="auto" w:sz="4" w:space="0"/>
              <w:left w:val="nil"/>
              <w:right w:val="single" w:color="auto" w:sz="4" w:space="0"/>
            </w:tcBorders>
            <w:vAlign w:val="center"/>
          </w:tcPr>
          <w:p w14:paraId="27C9106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运营中心</w:t>
            </w:r>
          </w:p>
        </w:tc>
        <w:tc>
          <w:tcPr>
            <w:tcW w:w="5454" w:type="dxa"/>
            <w:tcBorders>
              <w:top w:val="single" w:color="auto" w:sz="4" w:space="0"/>
              <w:left w:val="nil"/>
              <w:bottom w:val="single" w:color="auto" w:sz="4" w:space="0"/>
              <w:right w:val="single" w:color="auto" w:sz="4" w:space="0"/>
            </w:tcBorders>
            <w:vAlign w:val="center"/>
          </w:tcPr>
          <w:p w14:paraId="2796660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可查看注册的患者和就诊患者信息，建立患者个人健康档案。</w:t>
            </w:r>
          </w:p>
        </w:tc>
      </w:tr>
      <w:tr w14:paraId="77293EEF">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640176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975" w:type="dxa"/>
            <w:vMerge w:val="continue"/>
            <w:tcBorders>
              <w:left w:val="nil"/>
              <w:right w:val="single" w:color="auto" w:sz="4" w:space="0"/>
            </w:tcBorders>
            <w:vAlign w:val="center"/>
          </w:tcPr>
          <w:p w14:paraId="087311AB">
            <w:pPr>
              <w:widowControl/>
              <w:jc w:val="center"/>
              <w:rPr>
                <w:rFonts w:hint="eastAsia" w:asciiTheme="minorEastAsia" w:hAnsiTheme="minorEastAsia" w:eastAsiaTheme="minorEastAsia"/>
                <w:sz w:val="18"/>
                <w:szCs w:val="18"/>
              </w:rPr>
            </w:pPr>
          </w:p>
        </w:tc>
        <w:tc>
          <w:tcPr>
            <w:tcW w:w="1437" w:type="dxa"/>
            <w:vMerge w:val="continue"/>
            <w:tcBorders>
              <w:left w:val="nil"/>
              <w:right w:val="single" w:color="auto" w:sz="4" w:space="0"/>
            </w:tcBorders>
            <w:vAlign w:val="center"/>
          </w:tcPr>
          <w:p w14:paraId="7FCCE422">
            <w:pPr>
              <w:widowControl/>
              <w:jc w:val="center"/>
              <w:rPr>
                <w:rFonts w:hint="eastAsia" w:asciiTheme="minorEastAsia" w:hAnsiTheme="minorEastAsia" w:eastAsiaTheme="minorEastAsia"/>
                <w:sz w:val="18"/>
                <w:szCs w:val="18"/>
              </w:rPr>
            </w:pPr>
          </w:p>
        </w:tc>
        <w:tc>
          <w:tcPr>
            <w:tcW w:w="5454" w:type="dxa"/>
            <w:tcBorders>
              <w:top w:val="single" w:color="auto" w:sz="4" w:space="0"/>
              <w:left w:val="nil"/>
              <w:bottom w:val="single" w:color="auto" w:sz="4" w:space="0"/>
              <w:right w:val="single" w:color="auto" w:sz="4" w:space="0"/>
            </w:tcBorders>
            <w:vAlign w:val="center"/>
          </w:tcPr>
          <w:p w14:paraId="28F76F86">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可查看问诊订单、医保退款、退款查询和医生诊疗统计等信息。</w:t>
            </w:r>
          </w:p>
        </w:tc>
      </w:tr>
      <w:tr w14:paraId="42D763DD">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59933B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975" w:type="dxa"/>
            <w:vMerge w:val="continue"/>
            <w:tcBorders>
              <w:left w:val="nil"/>
              <w:right w:val="single" w:color="auto" w:sz="4" w:space="0"/>
            </w:tcBorders>
            <w:vAlign w:val="center"/>
          </w:tcPr>
          <w:p w14:paraId="46FBB1B1">
            <w:pPr>
              <w:widowControl/>
              <w:jc w:val="center"/>
              <w:rPr>
                <w:rFonts w:hint="eastAsia" w:asciiTheme="minorEastAsia" w:hAnsiTheme="minorEastAsia" w:eastAsiaTheme="minorEastAsia"/>
                <w:sz w:val="18"/>
                <w:szCs w:val="18"/>
              </w:rPr>
            </w:pPr>
          </w:p>
        </w:tc>
        <w:tc>
          <w:tcPr>
            <w:tcW w:w="1437" w:type="dxa"/>
            <w:vMerge w:val="continue"/>
            <w:tcBorders>
              <w:left w:val="nil"/>
              <w:bottom w:val="single" w:color="auto" w:sz="4" w:space="0"/>
              <w:right w:val="single" w:color="auto" w:sz="4" w:space="0"/>
            </w:tcBorders>
            <w:vAlign w:val="center"/>
          </w:tcPr>
          <w:p w14:paraId="2858608F">
            <w:pPr>
              <w:widowControl/>
              <w:jc w:val="center"/>
              <w:rPr>
                <w:rFonts w:hint="eastAsia" w:asciiTheme="minorEastAsia" w:hAnsiTheme="minorEastAsia" w:eastAsiaTheme="minorEastAsia"/>
                <w:sz w:val="18"/>
                <w:szCs w:val="18"/>
              </w:rPr>
            </w:pPr>
          </w:p>
        </w:tc>
        <w:tc>
          <w:tcPr>
            <w:tcW w:w="5454" w:type="dxa"/>
            <w:tcBorders>
              <w:top w:val="single" w:color="auto" w:sz="4" w:space="0"/>
              <w:left w:val="nil"/>
              <w:bottom w:val="single" w:color="auto" w:sz="4" w:space="0"/>
              <w:right w:val="single" w:color="auto" w:sz="4" w:space="0"/>
            </w:tcBorders>
            <w:vAlign w:val="center"/>
          </w:tcPr>
          <w:p w14:paraId="4D8D4A9A">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可对诊室的出诊时间、出诊医生、出诊诊室名称进行管理。并设置统一医嘱项、收费项、视频服务价格、图文服务价格。</w:t>
            </w:r>
          </w:p>
        </w:tc>
      </w:tr>
      <w:tr w14:paraId="48B1F019">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BA77C6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11</w:t>
            </w:r>
          </w:p>
        </w:tc>
        <w:tc>
          <w:tcPr>
            <w:tcW w:w="975" w:type="dxa"/>
            <w:vMerge w:val="continue"/>
            <w:tcBorders>
              <w:left w:val="nil"/>
              <w:right w:val="single" w:color="auto" w:sz="4" w:space="0"/>
            </w:tcBorders>
            <w:vAlign w:val="center"/>
          </w:tcPr>
          <w:p w14:paraId="18AF69B8">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39B431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支付平台管理</w:t>
            </w:r>
          </w:p>
        </w:tc>
        <w:tc>
          <w:tcPr>
            <w:tcW w:w="5454" w:type="dxa"/>
            <w:tcBorders>
              <w:top w:val="single" w:color="auto" w:sz="4" w:space="0"/>
              <w:left w:val="nil"/>
              <w:bottom w:val="single" w:color="auto" w:sz="4" w:space="0"/>
              <w:right w:val="single" w:color="auto" w:sz="4" w:space="0"/>
            </w:tcBorders>
            <w:vAlign w:val="center"/>
          </w:tcPr>
          <w:p w14:paraId="1DE2C7B7">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线上线下患者结算采用统一支付平台管理，可汇总统一支付平台取到订单、支付、对账等数据</w:t>
            </w:r>
          </w:p>
        </w:tc>
      </w:tr>
      <w:tr w14:paraId="5DC3FA9C">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B9B641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12</w:t>
            </w:r>
          </w:p>
        </w:tc>
        <w:tc>
          <w:tcPr>
            <w:tcW w:w="975" w:type="dxa"/>
            <w:vMerge w:val="continue"/>
            <w:tcBorders>
              <w:left w:val="nil"/>
              <w:bottom w:val="single" w:color="auto" w:sz="4" w:space="0"/>
              <w:right w:val="single" w:color="auto" w:sz="4" w:space="0"/>
            </w:tcBorders>
            <w:vAlign w:val="center"/>
          </w:tcPr>
          <w:p w14:paraId="2EA4281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100E97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三大字典</w:t>
            </w:r>
          </w:p>
        </w:tc>
        <w:tc>
          <w:tcPr>
            <w:tcW w:w="5454" w:type="dxa"/>
            <w:tcBorders>
              <w:top w:val="single" w:color="auto" w:sz="4" w:space="0"/>
              <w:left w:val="nil"/>
              <w:bottom w:val="single" w:color="auto" w:sz="4" w:space="0"/>
              <w:right w:val="single" w:color="auto" w:sz="4" w:space="0"/>
            </w:tcBorders>
            <w:vAlign w:val="center"/>
          </w:tcPr>
          <w:p w14:paraId="1BDB070E">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药品字典包含功能查询检索、启用、禁用、导出药品</w:t>
            </w:r>
          </w:p>
        </w:tc>
      </w:tr>
    </w:tbl>
    <w:p w14:paraId="396E33C2">
      <w:pPr>
        <w:spacing w:line="264" w:lineRule="auto"/>
        <w:rPr>
          <w:rFonts w:ascii="宋体"/>
          <w:b/>
          <w:bCs/>
        </w:rPr>
      </w:pPr>
    </w:p>
    <w:p w14:paraId="5EA1DA31">
      <w:pPr>
        <w:spacing w:line="264" w:lineRule="auto"/>
        <w:rPr>
          <w:rFonts w:ascii="宋体"/>
          <w:b/>
          <w:bCs/>
        </w:rPr>
      </w:pPr>
      <w:r>
        <w:rPr>
          <w:rFonts w:hint="eastAsia" w:ascii="宋体"/>
          <w:b/>
          <w:bCs/>
        </w:rPr>
        <w:t>（</w:t>
      </w:r>
      <w:r>
        <w:rPr>
          <w:rFonts w:ascii="宋体"/>
          <w:b/>
          <w:bCs/>
        </w:rPr>
        <w:t>2</w:t>
      </w:r>
      <w:r>
        <w:rPr>
          <w:rFonts w:hint="eastAsia" w:ascii="宋体"/>
          <w:b/>
          <w:bCs/>
        </w:rPr>
        <w:t>）系统配套支撑要求</w:t>
      </w:r>
    </w:p>
    <w:tbl>
      <w:tblPr>
        <w:tblStyle w:val="16"/>
        <w:tblW w:w="8500" w:type="dxa"/>
        <w:tblInd w:w="0" w:type="dxa"/>
        <w:tblLayout w:type="fixed"/>
        <w:tblCellMar>
          <w:top w:w="0" w:type="dxa"/>
          <w:left w:w="108" w:type="dxa"/>
          <w:bottom w:w="0" w:type="dxa"/>
          <w:right w:w="108" w:type="dxa"/>
        </w:tblCellMar>
      </w:tblPr>
      <w:tblGrid>
        <w:gridCol w:w="643"/>
        <w:gridCol w:w="1792"/>
        <w:gridCol w:w="4931"/>
        <w:gridCol w:w="1134"/>
      </w:tblGrid>
      <w:tr w14:paraId="40908BBA">
        <w:tblPrEx>
          <w:tblCellMar>
            <w:top w:w="0" w:type="dxa"/>
            <w:left w:w="108" w:type="dxa"/>
            <w:bottom w:w="0" w:type="dxa"/>
            <w:right w:w="108" w:type="dxa"/>
          </w:tblCellMar>
        </w:tblPrEx>
        <w:trPr>
          <w:trHeight w:val="300" w:hRule="atLeast"/>
        </w:trPr>
        <w:tc>
          <w:tcPr>
            <w:tcW w:w="64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4C93103">
            <w:pPr>
              <w:widowControl/>
              <w:jc w:val="center"/>
              <w:rPr>
                <w:rFonts w:hint="eastAsia" w:asciiTheme="minorEastAsia" w:hAnsiTheme="minorEastAsia" w:eastAsiaTheme="minorEastAsia"/>
                <w:b/>
                <w:bCs/>
                <w:kern w:val="0"/>
                <w:sz w:val="18"/>
                <w:szCs w:val="18"/>
              </w:rPr>
            </w:pPr>
            <w:r>
              <w:rPr>
                <w:rFonts w:asciiTheme="minorEastAsia" w:hAnsiTheme="minorEastAsia" w:eastAsiaTheme="minorEastAsia"/>
                <w:b/>
                <w:bCs/>
                <w:kern w:val="0"/>
                <w:sz w:val="18"/>
                <w:szCs w:val="18"/>
              </w:rPr>
              <w:t>序号</w:t>
            </w:r>
          </w:p>
        </w:tc>
        <w:tc>
          <w:tcPr>
            <w:tcW w:w="1792"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7632FA2D">
            <w:pPr>
              <w:widowControl/>
              <w:jc w:val="center"/>
              <w:rPr>
                <w:rFonts w:hint="eastAsia" w:asciiTheme="minorEastAsia" w:hAnsiTheme="minorEastAsia" w:eastAsiaTheme="minorEastAsia"/>
                <w:b/>
                <w:bCs/>
                <w:kern w:val="0"/>
                <w:sz w:val="18"/>
                <w:szCs w:val="18"/>
              </w:rPr>
            </w:pPr>
            <w:r>
              <w:rPr>
                <w:rFonts w:asciiTheme="minorEastAsia" w:hAnsiTheme="minorEastAsia" w:eastAsiaTheme="minorEastAsia"/>
                <w:b/>
                <w:bCs/>
                <w:kern w:val="0"/>
                <w:sz w:val="18"/>
                <w:szCs w:val="18"/>
              </w:rPr>
              <w:t>主项</w:t>
            </w:r>
          </w:p>
        </w:tc>
        <w:tc>
          <w:tcPr>
            <w:tcW w:w="4931"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039F7CFC">
            <w:pPr>
              <w:widowControl/>
              <w:jc w:val="center"/>
              <w:rPr>
                <w:rFonts w:hint="eastAsia" w:asciiTheme="minorEastAsia" w:hAnsiTheme="minorEastAsia" w:eastAsiaTheme="minorEastAsia"/>
                <w:b/>
                <w:bCs/>
                <w:kern w:val="0"/>
                <w:sz w:val="18"/>
                <w:szCs w:val="18"/>
              </w:rPr>
            </w:pPr>
            <w:r>
              <w:rPr>
                <w:rFonts w:hint="eastAsia" w:asciiTheme="minorEastAsia" w:hAnsiTheme="minorEastAsia" w:eastAsiaTheme="minorEastAsia"/>
                <w:b/>
                <w:bCs/>
                <w:sz w:val="18"/>
                <w:szCs w:val="18"/>
              </w:rPr>
              <w:t>技术参数要求</w:t>
            </w:r>
          </w:p>
        </w:tc>
        <w:tc>
          <w:tcPr>
            <w:tcW w:w="1134"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0A2A8070">
            <w:pPr>
              <w:widowControl/>
              <w:jc w:val="center"/>
              <w:rPr>
                <w:rFonts w:hint="eastAsia" w:asciiTheme="minorEastAsia" w:hAnsiTheme="minorEastAsia" w:eastAsiaTheme="minorEastAsia"/>
                <w:b/>
                <w:bCs/>
                <w:kern w:val="0"/>
                <w:sz w:val="18"/>
                <w:szCs w:val="18"/>
              </w:rPr>
            </w:pPr>
            <w:r>
              <w:rPr>
                <w:rFonts w:asciiTheme="minorEastAsia" w:hAnsiTheme="minorEastAsia" w:eastAsiaTheme="minorEastAsia"/>
                <w:b/>
                <w:bCs/>
                <w:kern w:val="0"/>
                <w:sz w:val="18"/>
                <w:szCs w:val="18"/>
              </w:rPr>
              <w:t>数量</w:t>
            </w:r>
          </w:p>
        </w:tc>
      </w:tr>
      <w:tr w14:paraId="3B48FC9A">
        <w:tblPrEx>
          <w:tblCellMar>
            <w:top w:w="0" w:type="dxa"/>
            <w:left w:w="108" w:type="dxa"/>
            <w:bottom w:w="0" w:type="dxa"/>
            <w:right w:w="108" w:type="dxa"/>
          </w:tblCellMar>
        </w:tblPrEx>
        <w:trPr>
          <w:trHeight w:val="280" w:hRule="atLeast"/>
        </w:trPr>
        <w:tc>
          <w:tcPr>
            <w:tcW w:w="643" w:type="dxa"/>
            <w:tcBorders>
              <w:top w:val="single" w:color="auto" w:sz="4" w:space="0"/>
              <w:left w:val="single" w:color="auto" w:sz="4" w:space="0"/>
              <w:bottom w:val="single" w:color="auto" w:sz="4" w:space="0"/>
              <w:right w:val="single" w:color="auto" w:sz="4" w:space="0"/>
            </w:tcBorders>
            <w:vAlign w:val="center"/>
          </w:tcPr>
          <w:p w14:paraId="6583FE85">
            <w:pPr>
              <w:widowControl/>
              <w:jc w:val="center"/>
              <w:rPr>
                <w:rFonts w:hint="eastAsia" w:asciiTheme="minorEastAsia" w:hAnsiTheme="minorEastAsia" w:eastAsiaTheme="minorEastAsia"/>
                <w:kern w:val="0"/>
                <w:sz w:val="18"/>
                <w:szCs w:val="18"/>
              </w:rPr>
            </w:pPr>
            <w:r>
              <w:rPr>
                <w:rFonts w:asciiTheme="minorEastAsia" w:hAnsiTheme="minorEastAsia" w:eastAsiaTheme="minorEastAsia"/>
                <w:kern w:val="0"/>
                <w:sz w:val="18"/>
                <w:szCs w:val="18"/>
              </w:rPr>
              <w:t>1</w:t>
            </w:r>
          </w:p>
        </w:tc>
        <w:tc>
          <w:tcPr>
            <w:tcW w:w="1792" w:type="dxa"/>
            <w:tcBorders>
              <w:top w:val="single" w:color="auto" w:sz="4" w:space="0"/>
              <w:left w:val="nil"/>
              <w:bottom w:val="single" w:color="auto" w:sz="4" w:space="0"/>
              <w:right w:val="single" w:color="auto" w:sz="4" w:space="0"/>
            </w:tcBorders>
            <w:vAlign w:val="center"/>
          </w:tcPr>
          <w:p w14:paraId="539F1DF7">
            <w:pPr>
              <w:widowControl/>
              <w:jc w:val="center"/>
              <w:rPr>
                <w:rFonts w:hint="eastAsia" w:asciiTheme="minorEastAsia" w:hAnsiTheme="minorEastAsia" w:eastAsiaTheme="minorEastAsia"/>
                <w:kern w:val="0"/>
                <w:sz w:val="18"/>
                <w:szCs w:val="18"/>
              </w:rPr>
            </w:pPr>
            <w:r>
              <w:rPr>
                <w:rFonts w:hint="eastAsia" w:asciiTheme="minorEastAsia" w:hAnsiTheme="minorEastAsia" w:eastAsiaTheme="minorEastAsia"/>
                <w:kern w:val="0"/>
                <w:sz w:val="18"/>
                <w:szCs w:val="18"/>
              </w:rPr>
              <w:t>配套资源</w:t>
            </w:r>
          </w:p>
        </w:tc>
        <w:tc>
          <w:tcPr>
            <w:tcW w:w="4931" w:type="dxa"/>
            <w:tcBorders>
              <w:top w:val="single" w:color="auto" w:sz="4" w:space="0"/>
              <w:left w:val="nil"/>
              <w:bottom w:val="single" w:color="auto" w:sz="4" w:space="0"/>
              <w:right w:val="single" w:color="auto" w:sz="4" w:space="0"/>
            </w:tcBorders>
            <w:vAlign w:val="center"/>
          </w:tcPr>
          <w:p w14:paraId="272EC4A9">
            <w:pPr>
              <w:widowControl/>
              <w:jc w:val="left"/>
              <w:rPr>
                <w:rFonts w:hint="eastAsia" w:asciiTheme="minorEastAsia" w:hAnsiTheme="minorEastAsia" w:eastAsiaTheme="minorEastAsia"/>
                <w:kern w:val="0"/>
                <w:sz w:val="18"/>
                <w:szCs w:val="18"/>
              </w:rPr>
            </w:pPr>
            <w:r>
              <w:rPr>
                <w:rFonts w:hint="eastAsia" w:asciiTheme="minorEastAsia" w:hAnsiTheme="minorEastAsia" w:eastAsiaTheme="minorEastAsia"/>
                <w:kern w:val="0"/>
                <w:sz w:val="18"/>
                <w:szCs w:val="18"/>
              </w:rPr>
              <w:t>云点播资源IM专业版授权（1年）</w:t>
            </w:r>
          </w:p>
          <w:p w14:paraId="6BC3A528">
            <w:pPr>
              <w:widowControl/>
              <w:jc w:val="left"/>
              <w:rPr>
                <w:rFonts w:hint="eastAsia" w:asciiTheme="minorEastAsia" w:hAnsiTheme="minorEastAsia" w:eastAsiaTheme="minorEastAsia"/>
                <w:kern w:val="0"/>
                <w:sz w:val="18"/>
                <w:szCs w:val="18"/>
              </w:rPr>
            </w:pPr>
            <w:r>
              <w:rPr>
                <w:rFonts w:hint="eastAsia" w:asciiTheme="minorEastAsia" w:hAnsiTheme="minorEastAsia" w:eastAsiaTheme="minorEastAsia"/>
                <w:kern w:val="0"/>
                <w:sz w:val="18"/>
                <w:szCs w:val="18"/>
              </w:rPr>
              <w:t>云点播资源存储100G（</w:t>
            </w:r>
            <w:r>
              <w:rPr>
                <w:rFonts w:asciiTheme="minorEastAsia" w:hAnsiTheme="minorEastAsia" w:eastAsiaTheme="minorEastAsia"/>
                <w:kern w:val="0"/>
                <w:sz w:val="18"/>
                <w:szCs w:val="18"/>
              </w:rPr>
              <w:t>1</w:t>
            </w:r>
            <w:r>
              <w:rPr>
                <w:rFonts w:hint="eastAsia" w:asciiTheme="minorEastAsia" w:hAnsiTheme="minorEastAsia" w:eastAsiaTheme="minorEastAsia"/>
                <w:kern w:val="0"/>
                <w:sz w:val="18"/>
                <w:szCs w:val="18"/>
              </w:rPr>
              <w:t>年）</w:t>
            </w:r>
          </w:p>
          <w:p w14:paraId="0F88210F">
            <w:pPr>
              <w:widowControl/>
              <w:jc w:val="left"/>
              <w:rPr>
                <w:rFonts w:hint="eastAsia" w:asciiTheme="minorEastAsia" w:hAnsiTheme="minorEastAsia" w:eastAsiaTheme="minorEastAsia"/>
                <w:kern w:val="0"/>
                <w:sz w:val="18"/>
                <w:szCs w:val="18"/>
              </w:rPr>
            </w:pPr>
            <w:r>
              <w:rPr>
                <w:rFonts w:hint="eastAsia" w:asciiTheme="minorEastAsia" w:hAnsiTheme="minorEastAsia" w:eastAsiaTheme="minorEastAsia"/>
                <w:kern w:val="0"/>
                <w:sz w:val="18"/>
                <w:szCs w:val="18"/>
              </w:rPr>
              <w:t>云点播资源点播流量500G（1年）</w:t>
            </w:r>
          </w:p>
          <w:p w14:paraId="7FF961D7">
            <w:pPr>
              <w:widowControl/>
              <w:jc w:val="left"/>
              <w:rPr>
                <w:rFonts w:hint="eastAsia" w:asciiTheme="minorEastAsia" w:hAnsiTheme="minorEastAsia" w:eastAsiaTheme="minorEastAsia"/>
                <w:kern w:val="0"/>
                <w:sz w:val="18"/>
                <w:szCs w:val="18"/>
              </w:rPr>
            </w:pPr>
            <w:r>
              <w:rPr>
                <w:rFonts w:hint="eastAsia" w:asciiTheme="minorEastAsia" w:hAnsiTheme="minorEastAsia" w:eastAsiaTheme="minorEastAsia"/>
                <w:kern w:val="0"/>
                <w:sz w:val="18"/>
                <w:szCs w:val="18"/>
              </w:rPr>
              <w:t>云点播资源转码200小时（1年）</w:t>
            </w:r>
          </w:p>
          <w:p w14:paraId="589F169A">
            <w:pPr>
              <w:widowControl/>
              <w:jc w:val="left"/>
              <w:rPr>
                <w:rFonts w:hint="eastAsia" w:asciiTheme="minorEastAsia" w:hAnsiTheme="minorEastAsia" w:eastAsiaTheme="minorEastAsia"/>
                <w:kern w:val="0"/>
                <w:sz w:val="18"/>
                <w:szCs w:val="18"/>
              </w:rPr>
            </w:pPr>
            <w:r>
              <w:rPr>
                <w:rFonts w:hint="eastAsia" w:asciiTheme="minorEastAsia" w:hAnsiTheme="minorEastAsia" w:eastAsiaTheme="minorEastAsia"/>
                <w:kern w:val="0"/>
                <w:sz w:val="18"/>
                <w:szCs w:val="18"/>
              </w:rPr>
              <w:t>实时音频服务TRTC包月套餐（尊享版，1年）</w:t>
            </w:r>
          </w:p>
        </w:tc>
        <w:tc>
          <w:tcPr>
            <w:tcW w:w="1134" w:type="dxa"/>
            <w:tcBorders>
              <w:top w:val="single" w:color="auto" w:sz="4" w:space="0"/>
              <w:left w:val="nil"/>
              <w:bottom w:val="single" w:color="auto" w:sz="4" w:space="0"/>
              <w:right w:val="single" w:color="auto" w:sz="4" w:space="0"/>
            </w:tcBorders>
            <w:vAlign w:val="center"/>
          </w:tcPr>
          <w:p w14:paraId="7C49E9A2">
            <w:pPr>
              <w:widowControl/>
              <w:jc w:val="center"/>
              <w:rPr>
                <w:rFonts w:hint="eastAsia" w:asciiTheme="minorEastAsia" w:hAnsiTheme="minorEastAsia" w:eastAsiaTheme="minorEastAsia"/>
                <w:kern w:val="0"/>
                <w:sz w:val="18"/>
                <w:szCs w:val="18"/>
              </w:rPr>
            </w:pPr>
            <w:r>
              <w:rPr>
                <w:rFonts w:asciiTheme="minorEastAsia" w:hAnsiTheme="minorEastAsia" w:eastAsiaTheme="minorEastAsia"/>
                <w:kern w:val="0"/>
                <w:sz w:val="18"/>
                <w:szCs w:val="18"/>
              </w:rPr>
              <w:t>1套</w:t>
            </w:r>
          </w:p>
        </w:tc>
      </w:tr>
    </w:tbl>
    <w:p w14:paraId="2D45DF43">
      <w:r>
        <w:br w:type="page"/>
      </w:r>
    </w:p>
    <w:p w14:paraId="318FA398">
      <w:pPr>
        <w:pStyle w:val="4"/>
        <w:spacing w:before="156" w:beforeLines="50" w:after="156" w:afterLines="50" w:line="360" w:lineRule="auto"/>
        <w:rPr>
          <w:rFonts w:hint="eastAsia" w:cs="宋体"/>
          <w:sz w:val="28"/>
          <w:szCs w:val="28"/>
        </w:rPr>
      </w:pPr>
      <w:r>
        <w:rPr>
          <w:rFonts w:hint="eastAsia" w:cs="宋体"/>
          <w:sz w:val="28"/>
          <w:szCs w:val="28"/>
        </w:rPr>
        <w:t>二、项目商务要求</w:t>
      </w:r>
    </w:p>
    <w:p w14:paraId="01C2C2F5">
      <w:pPr>
        <w:pStyle w:val="34"/>
        <w:numPr>
          <w:ilvl w:val="0"/>
          <w:numId w:val="7"/>
        </w:numPr>
        <w:snapToGrid w:val="0"/>
        <w:spacing w:line="360" w:lineRule="auto"/>
        <w:ind w:firstLine="147" w:firstLineChars="0"/>
        <w:jc w:val="left"/>
        <w:rPr>
          <w:rFonts w:hint="eastAsia" w:ascii="宋体" w:hAnsi="宋体" w:eastAsia="宋体" w:cs="宋体"/>
          <w:b/>
          <w:bCs/>
          <w:sz w:val="24"/>
          <w:szCs w:val="24"/>
        </w:rPr>
      </w:pPr>
      <w:r>
        <w:rPr>
          <w:rFonts w:hint="eastAsia" w:ascii="宋体" w:hAnsi="宋体" w:eastAsia="宋体" w:cs="宋体"/>
          <w:b/>
          <w:color w:val="000000" w:themeColor="text1"/>
          <w:sz w:val="24"/>
          <w:szCs w:val="24"/>
          <w14:textFill>
            <w14:solidFill>
              <w14:schemeClr w14:val="tx1"/>
            </w14:solidFill>
          </w14:textFill>
        </w:rPr>
        <w:t>服务期限</w:t>
      </w:r>
      <w:r>
        <w:rPr>
          <w:rFonts w:hint="eastAsia" w:ascii="宋体" w:hAnsi="宋体" w:eastAsia="宋体" w:cs="宋体"/>
          <w:bCs/>
          <w:color w:val="000000"/>
          <w:sz w:val="24"/>
          <w:szCs w:val="24"/>
        </w:rPr>
        <w:t xml:space="preserve"> </w:t>
      </w:r>
    </w:p>
    <w:p w14:paraId="613FEBC7">
      <w:pPr>
        <w:tabs>
          <w:tab w:val="left" w:pos="1260"/>
        </w:tabs>
        <w:spacing w:line="360" w:lineRule="auto"/>
        <w:ind w:firstLine="480" w:firstLineChars="200"/>
        <w:jc w:val="left"/>
        <w:rPr>
          <w:rFonts w:hint="eastAsia" w:ascii="宋体" w:hAnsi="宋体" w:cs="宋体"/>
          <w:sz w:val="24"/>
        </w:rPr>
      </w:pPr>
      <w:r>
        <w:rPr>
          <w:rFonts w:hint="eastAsia" w:ascii="宋体" w:hAnsi="宋体" w:cs="宋体"/>
          <w:sz w:val="24"/>
        </w:rPr>
        <w:t>本项目服务期限为一年。本项目服务期满后，采购单位可根据中标供应商履约情况确定合同期限是否延长，但最长不超过36个月，合同一年一签</w:t>
      </w:r>
      <w:r>
        <w:rPr>
          <w:rFonts w:hint="eastAsia" w:ascii="宋体" w:hAnsi="宋体" w:cs="宋体"/>
          <w:sz w:val="24"/>
          <w:lang w:eastAsia="zh-CN"/>
        </w:rPr>
        <w:t>。</w:t>
      </w:r>
    </w:p>
    <w:p w14:paraId="049C1C9A">
      <w:pPr>
        <w:pStyle w:val="15"/>
        <w:numPr>
          <w:ilvl w:val="0"/>
          <w:numId w:val="8"/>
        </w:numPr>
        <w:ind w:firstLine="482"/>
        <w:rPr>
          <w:rFonts w:hint="eastAsia" w:ascii="宋体" w:hAnsi="宋体" w:cs="宋体"/>
          <w:b/>
          <w:bCs/>
          <w:sz w:val="24"/>
        </w:rPr>
      </w:pPr>
      <w:r>
        <w:rPr>
          <w:rFonts w:hint="eastAsia" w:ascii="宋体" w:hAnsi="宋体" w:cs="宋体"/>
          <w:b/>
          <w:bCs/>
          <w:sz w:val="24"/>
        </w:rPr>
        <w:t>售后服务要求</w:t>
      </w:r>
    </w:p>
    <w:p w14:paraId="76B621E8">
      <w:pPr>
        <w:tabs>
          <w:tab w:val="left" w:pos="1260"/>
        </w:tabs>
        <w:spacing w:line="360" w:lineRule="auto"/>
        <w:ind w:firstLine="480" w:firstLineChars="200"/>
        <w:jc w:val="left"/>
        <w:rPr>
          <w:rFonts w:hint="eastAsia" w:ascii="宋体" w:hAnsi="宋体" w:cs="宋体"/>
          <w:sz w:val="24"/>
        </w:rPr>
      </w:pPr>
      <w:r>
        <w:rPr>
          <w:rFonts w:hint="eastAsia" w:ascii="宋体" w:hAnsi="宋体" w:cs="宋体"/>
          <w:sz w:val="24"/>
        </w:rPr>
        <w:t>运维服务期内，乙方应成立专门的项目组开展运维服务工作，对于采购人提出的需求，提供7*24小时技术支持热线电话（固话或手机）及远程服务。工作期间（正常工作日9:00-18:00）软件故障响应时间不超过2小时，紧急情况下到达现场时间不超过6小时；非工作期间软件故障响应时间不超过4小时，紧急到达现场时间不超过12小时 （如遇人力不可抗拒的因素，双方另行协商），以保证医院业务工作正常运行。</w:t>
      </w:r>
    </w:p>
    <w:p w14:paraId="727DDDF8">
      <w:pPr>
        <w:pStyle w:val="15"/>
        <w:numPr>
          <w:ilvl w:val="0"/>
          <w:numId w:val="8"/>
        </w:numPr>
        <w:ind w:firstLine="482"/>
        <w:rPr>
          <w:rFonts w:hint="eastAsia" w:ascii="宋体" w:hAnsi="宋体" w:cs="宋体"/>
          <w:b/>
          <w:bCs/>
          <w:sz w:val="24"/>
        </w:rPr>
      </w:pPr>
      <w:r>
        <w:rPr>
          <w:rFonts w:hint="eastAsia" w:ascii="宋体" w:hAnsi="宋体" w:cs="宋体"/>
          <w:b/>
          <w:bCs/>
          <w:sz w:val="24"/>
        </w:rPr>
        <w:t>付款方式</w:t>
      </w:r>
    </w:p>
    <w:p w14:paraId="4CA17764">
      <w:pPr>
        <w:numPr>
          <w:ilvl w:val="0"/>
          <w:numId w:val="9"/>
        </w:numPr>
        <w:tabs>
          <w:tab w:val="left" w:pos="1260"/>
        </w:tabs>
        <w:spacing w:line="360" w:lineRule="auto"/>
        <w:ind w:firstLine="480" w:firstLineChars="200"/>
        <w:jc w:val="left"/>
        <w:rPr>
          <w:rFonts w:hint="eastAsia" w:ascii="宋体" w:hAnsi="宋体" w:cs="宋体"/>
          <w:sz w:val="24"/>
        </w:rPr>
      </w:pPr>
      <w:r>
        <w:rPr>
          <w:rFonts w:hint="eastAsia" w:ascii="宋体" w:hAnsi="宋体" w:cs="宋体"/>
          <w:sz w:val="24"/>
        </w:rPr>
        <w:t>分期付款：维保合同签订后甲方向乙方支付50%，维保期结束后甲方向乙方支付剩余50%。</w:t>
      </w:r>
    </w:p>
    <w:p w14:paraId="34581F4F">
      <w:pPr>
        <w:numPr>
          <w:ilvl w:val="0"/>
          <w:numId w:val="9"/>
        </w:numPr>
        <w:tabs>
          <w:tab w:val="left" w:pos="1260"/>
        </w:tabs>
        <w:spacing w:line="360" w:lineRule="auto"/>
        <w:ind w:firstLine="480" w:firstLineChars="200"/>
        <w:jc w:val="left"/>
        <w:rPr>
          <w:rFonts w:hint="eastAsia" w:ascii="宋体" w:hAnsi="宋体" w:cs="宋体"/>
          <w:sz w:val="24"/>
        </w:rPr>
      </w:pPr>
      <w:r>
        <w:rPr>
          <w:rFonts w:hint="eastAsia" w:ascii="宋体" w:hAnsi="宋体" w:cs="宋体"/>
          <w:sz w:val="24"/>
        </w:rPr>
        <w:t>上一年度服务期满后，经双方协商同意继续合作，下一年度服务自动延续，服务费用仍按照第一年的支付比例、支付方式执行。</w:t>
      </w:r>
    </w:p>
    <w:p w14:paraId="2035F365">
      <w:pPr>
        <w:pStyle w:val="15"/>
        <w:numPr>
          <w:ilvl w:val="0"/>
          <w:numId w:val="8"/>
        </w:numPr>
        <w:ind w:firstLine="482"/>
        <w:rPr>
          <w:rFonts w:hint="eastAsia" w:ascii="宋体" w:hAnsi="宋体" w:cs="宋体"/>
          <w:b/>
          <w:bCs/>
          <w:sz w:val="24"/>
        </w:rPr>
      </w:pPr>
      <w:r>
        <w:rPr>
          <w:rFonts w:hint="eastAsia" w:ascii="宋体" w:hAnsi="宋体" w:cs="宋体"/>
          <w:b/>
          <w:bCs/>
          <w:sz w:val="24"/>
        </w:rPr>
        <w:t>项目质量考核验收标准及违约金</w:t>
      </w:r>
    </w:p>
    <w:p w14:paraId="593F5E8D">
      <w:pPr>
        <w:numPr>
          <w:ilvl w:val="0"/>
          <w:numId w:val="10"/>
        </w:numPr>
        <w:tabs>
          <w:tab w:val="left" w:pos="1260"/>
        </w:tabs>
        <w:spacing w:line="360" w:lineRule="auto"/>
        <w:jc w:val="left"/>
        <w:rPr>
          <w:rFonts w:hint="eastAsia" w:ascii="宋体" w:hAnsi="宋体" w:cs="宋体"/>
          <w:sz w:val="24"/>
        </w:rPr>
      </w:pPr>
      <w:r>
        <w:rPr>
          <w:rFonts w:hint="eastAsia" w:ascii="宋体" w:hAnsi="宋体" w:cs="宋体"/>
          <w:sz w:val="24"/>
        </w:rPr>
        <w:t>投标人所投产品应为成熟的、稳定的软件产品，用户有权在合同签订前，对成交供应商提供的软件按照采购文件要求的技术参数进行验证。不能提供软件或不能通过验证的视为虚假承诺，由此引发的所有损失由供应商负责。</w:t>
      </w:r>
    </w:p>
    <w:p w14:paraId="52FE97FA">
      <w:pPr>
        <w:numPr>
          <w:ilvl w:val="0"/>
          <w:numId w:val="10"/>
        </w:numPr>
        <w:tabs>
          <w:tab w:val="left" w:pos="1260"/>
        </w:tabs>
        <w:spacing w:line="360" w:lineRule="auto"/>
        <w:jc w:val="left"/>
        <w:rPr>
          <w:rFonts w:hint="eastAsia" w:ascii="宋体" w:hAnsi="宋体" w:cs="宋体"/>
          <w:sz w:val="24"/>
        </w:rPr>
      </w:pPr>
      <w:r>
        <w:rPr>
          <w:rFonts w:hint="eastAsia" w:ascii="宋体" w:hAnsi="宋体" w:cs="宋体"/>
          <w:sz w:val="24"/>
        </w:rPr>
        <w:t>投标人货物经过双方检验认可后，签署验收报告，产品保修期自验收合格之日起算，由投标人提供产品保修文件。</w:t>
      </w:r>
    </w:p>
    <w:p w14:paraId="6FD74340">
      <w:pPr>
        <w:numPr>
          <w:ilvl w:val="0"/>
          <w:numId w:val="10"/>
        </w:numPr>
        <w:tabs>
          <w:tab w:val="left" w:pos="1260"/>
        </w:tabs>
        <w:spacing w:line="360" w:lineRule="auto"/>
        <w:jc w:val="left"/>
        <w:rPr>
          <w:rFonts w:hint="eastAsia" w:ascii="宋体" w:hAnsi="宋体" w:cs="宋体"/>
          <w:sz w:val="24"/>
        </w:rPr>
      </w:pPr>
      <w:r>
        <w:rPr>
          <w:rFonts w:hint="eastAsia" w:ascii="宋体" w:hAnsi="宋体" w:cs="宋体"/>
          <w:sz w:val="24"/>
        </w:rPr>
        <w:t>当满足以下条件时，采购人才向中标人签发货物验收报告：</w:t>
      </w:r>
    </w:p>
    <w:p w14:paraId="0B0AE26C">
      <w:pPr>
        <w:tabs>
          <w:tab w:val="left" w:pos="1260"/>
        </w:tabs>
        <w:spacing w:line="360" w:lineRule="auto"/>
        <w:ind w:firstLine="566" w:firstLineChars="236"/>
        <w:jc w:val="left"/>
        <w:rPr>
          <w:rFonts w:hint="eastAsia" w:ascii="宋体" w:hAnsi="宋体" w:cs="宋体"/>
          <w:sz w:val="24"/>
        </w:rPr>
      </w:pPr>
      <w:r>
        <w:rPr>
          <w:rFonts w:hint="eastAsia" w:ascii="宋体" w:hAnsi="宋体" w:cs="宋体"/>
          <w:sz w:val="24"/>
        </w:rPr>
        <w:t>a、中标人已按照合同规定提供了全部产品及完整的技术资料。</w:t>
      </w:r>
    </w:p>
    <w:p w14:paraId="03F49FF3">
      <w:pPr>
        <w:tabs>
          <w:tab w:val="left" w:pos="1260"/>
        </w:tabs>
        <w:spacing w:line="360" w:lineRule="auto"/>
        <w:ind w:firstLine="566" w:firstLineChars="236"/>
        <w:jc w:val="left"/>
        <w:rPr>
          <w:rFonts w:hint="eastAsia" w:ascii="宋体" w:hAnsi="宋体" w:cs="宋体"/>
          <w:sz w:val="24"/>
        </w:rPr>
      </w:pPr>
      <w:r>
        <w:rPr>
          <w:rFonts w:hint="eastAsia" w:ascii="宋体" w:hAnsi="宋体" w:cs="宋体"/>
          <w:sz w:val="24"/>
        </w:rPr>
        <w:t>b、货物符合招标文件技术规格书的要求，性能满足要求。</w:t>
      </w:r>
    </w:p>
    <w:p w14:paraId="4D7128CF">
      <w:pPr>
        <w:numPr>
          <w:ilvl w:val="0"/>
          <w:numId w:val="10"/>
        </w:numPr>
        <w:tabs>
          <w:tab w:val="left" w:pos="1260"/>
        </w:tabs>
        <w:spacing w:line="360" w:lineRule="auto"/>
        <w:jc w:val="left"/>
        <w:rPr>
          <w:rFonts w:hint="eastAsia" w:ascii="宋体" w:hAnsi="宋体" w:cs="宋体"/>
          <w:sz w:val="24"/>
        </w:rPr>
      </w:pPr>
      <w:r>
        <w:rPr>
          <w:rFonts w:hint="eastAsia" w:ascii="宋体" w:hAnsi="宋体" w:cs="宋体"/>
          <w:sz w:val="24"/>
        </w:rPr>
        <w:t>中标人不能交货的，需偿付不能交货部分货款的10 %的违约金并按主管部门相关规定处理。</w:t>
      </w:r>
    </w:p>
    <w:p w14:paraId="3FE647C7">
      <w:pPr>
        <w:numPr>
          <w:ilvl w:val="0"/>
          <w:numId w:val="10"/>
        </w:numPr>
        <w:tabs>
          <w:tab w:val="left" w:pos="1260"/>
        </w:tabs>
        <w:spacing w:line="360" w:lineRule="auto"/>
        <w:jc w:val="left"/>
        <w:rPr>
          <w:rFonts w:hint="eastAsia" w:ascii="宋体" w:hAnsi="宋体" w:cs="宋体"/>
          <w:sz w:val="24"/>
        </w:rPr>
      </w:pPr>
      <w:r>
        <w:rPr>
          <w:rFonts w:hint="eastAsia" w:ascii="宋体" w:hAnsi="宋体" w:cs="宋体"/>
          <w:sz w:val="24"/>
        </w:rPr>
        <w:t>如投标人未按照投标文件中承诺的时间交货或提供服务，投标人应承担延期交货和延期服务的违约责任，并赔偿采购人因此造成的实际经济损失。实际经济损失超出履约保证金额，采购人有权终止合同。</w:t>
      </w:r>
    </w:p>
    <w:p w14:paraId="49E6B017">
      <w:pPr>
        <w:numPr>
          <w:ilvl w:val="0"/>
          <w:numId w:val="10"/>
        </w:numPr>
        <w:tabs>
          <w:tab w:val="left" w:pos="1260"/>
        </w:tabs>
        <w:spacing w:line="360" w:lineRule="auto"/>
        <w:jc w:val="left"/>
        <w:rPr>
          <w:rFonts w:hint="eastAsia" w:ascii="宋体" w:hAnsi="宋体" w:cs="宋体"/>
          <w:color w:val="000000"/>
          <w:kern w:val="0"/>
          <w:sz w:val="24"/>
        </w:rPr>
      </w:pPr>
      <w:r>
        <w:rPr>
          <w:rFonts w:hint="eastAsia" w:ascii="宋体" w:hAnsi="宋体" w:cs="宋体"/>
          <w:sz w:val="24"/>
        </w:rPr>
        <w:t>违约金先从由投标人履约保证金中扣除，若有不足部分则由中标</w:t>
      </w:r>
      <w:r>
        <w:rPr>
          <w:rFonts w:hint="eastAsia" w:ascii="宋体" w:hAnsi="宋体" w:cs="宋体"/>
          <w:color w:val="000000"/>
          <w:kern w:val="0"/>
          <w:sz w:val="24"/>
        </w:rPr>
        <w:t>人补齐。</w:t>
      </w:r>
    </w:p>
    <w:p w14:paraId="0F0DBAD6">
      <w:pPr>
        <w:pStyle w:val="15"/>
        <w:numPr>
          <w:ilvl w:val="0"/>
          <w:numId w:val="8"/>
        </w:numPr>
        <w:ind w:firstLine="482"/>
        <w:rPr>
          <w:rFonts w:hint="eastAsia" w:ascii="宋体" w:hAnsi="宋体" w:cs="宋体"/>
          <w:b/>
          <w:bCs/>
          <w:sz w:val="24"/>
        </w:rPr>
      </w:pPr>
      <w:r>
        <w:rPr>
          <w:rFonts w:hint="eastAsia" w:ascii="宋体" w:hAnsi="宋体" w:cs="宋体"/>
          <w:b/>
          <w:bCs/>
          <w:sz w:val="24"/>
        </w:rPr>
        <w:t>实施要求</w:t>
      </w:r>
    </w:p>
    <w:p w14:paraId="69806C5B">
      <w:pPr>
        <w:numPr>
          <w:ilvl w:val="0"/>
          <w:numId w:val="11"/>
        </w:numPr>
        <w:tabs>
          <w:tab w:val="left" w:pos="1260"/>
        </w:tabs>
        <w:spacing w:line="360" w:lineRule="auto"/>
        <w:jc w:val="left"/>
        <w:rPr>
          <w:rFonts w:hint="eastAsia" w:ascii="宋体" w:hAnsi="宋体" w:cs="宋体"/>
          <w:sz w:val="24"/>
        </w:rPr>
      </w:pPr>
      <w:r>
        <w:rPr>
          <w:rFonts w:hint="eastAsia" w:ascii="宋体" w:hAnsi="宋体" w:cs="宋体"/>
          <w:sz w:val="24"/>
        </w:rPr>
        <w:t>交货地点：采购人指定地点。</w:t>
      </w:r>
    </w:p>
    <w:p w14:paraId="1C5E8E78">
      <w:pPr>
        <w:numPr>
          <w:ilvl w:val="0"/>
          <w:numId w:val="11"/>
        </w:numPr>
        <w:tabs>
          <w:tab w:val="left" w:pos="1260"/>
        </w:tabs>
        <w:spacing w:line="360" w:lineRule="auto"/>
        <w:jc w:val="left"/>
        <w:rPr>
          <w:rFonts w:hint="eastAsia" w:ascii="宋体" w:hAnsi="宋体" w:cs="宋体"/>
          <w:sz w:val="24"/>
        </w:rPr>
      </w:pPr>
      <w:r>
        <w:rPr>
          <w:rFonts w:hint="eastAsia" w:ascii="宋体" w:hAnsi="宋体" w:cs="宋体"/>
          <w:sz w:val="24"/>
        </w:rPr>
        <w:t>投标人应保证采购人在使用该货物或其任何一部分时，免受第三方提出的侵犯其专利权、商标权、著作权或其它知识产权的起诉。投标人保证所提供软件的合法性，所发生的任何知识产权纠纷与采购人无关。</w:t>
      </w:r>
    </w:p>
    <w:p w14:paraId="2BE9B900">
      <w:pPr>
        <w:numPr>
          <w:ilvl w:val="0"/>
          <w:numId w:val="11"/>
        </w:numPr>
        <w:tabs>
          <w:tab w:val="left" w:pos="1260"/>
        </w:tabs>
        <w:spacing w:line="360" w:lineRule="auto"/>
        <w:jc w:val="left"/>
        <w:rPr>
          <w:rFonts w:hint="eastAsia" w:ascii="宋体" w:hAnsi="宋体" w:cs="宋体"/>
          <w:sz w:val="24"/>
        </w:rPr>
      </w:pPr>
      <w:r>
        <w:rPr>
          <w:rFonts w:hint="eastAsia" w:ascii="宋体" w:hAnsi="宋体" w:cs="宋体"/>
          <w:sz w:val="24"/>
        </w:rPr>
        <w:t>采购人购买产品后，有权对该产品与其他设备进行配套、整合或适当改进，而免受侵犯专利权的起诉。</w:t>
      </w:r>
    </w:p>
    <w:p w14:paraId="78C5EA2B">
      <w:pPr>
        <w:spacing w:line="560" w:lineRule="exact"/>
        <w:ind w:firstLine="560" w:firstLineChars="200"/>
        <w:jc w:val="center"/>
        <w:outlineLvl w:val="0"/>
        <w:rPr>
          <w:rFonts w:hint="eastAsia" w:ascii="仿宋" w:hAnsi="仿宋" w:eastAsia="仿宋" w:cs="仿宋"/>
          <w:b/>
          <w:bCs/>
          <w:sz w:val="28"/>
          <w:szCs w:val="28"/>
        </w:rPr>
      </w:pPr>
      <w:r>
        <w:rPr>
          <w:rFonts w:hint="eastAsia" w:ascii="仿宋" w:hAnsi="仿宋" w:eastAsia="仿宋" w:cs="仿宋"/>
          <w:b/>
          <w:bCs/>
          <w:sz w:val="28"/>
          <w:szCs w:val="28"/>
        </w:rPr>
        <w:t>三、评审标准</w:t>
      </w:r>
    </w:p>
    <w:p w14:paraId="61508E20">
      <w:pPr>
        <w:pStyle w:val="2"/>
        <w:spacing w:line="560" w:lineRule="exact"/>
        <w:ind w:firstLine="560" w:firstLineChars="200"/>
        <w:rPr>
          <w:rFonts w:hint="eastAsia" w:ascii="仿宋" w:hAnsi="仿宋" w:eastAsia="仿宋" w:cs="仿宋"/>
          <w:sz w:val="28"/>
          <w:szCs w:val="28"/>
        </w:rPr>
      </w:pPr>
    </w:p>
    <w:tbl>
      <w:tblPr>
        <w:tblStyle w:val="1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638"/>
        <w:gridCol w:w="1115"/>
        <w:gridCol w:w="657"/>
        <w:gridCol w:w="1108"/>
        <w:gridCol w:w="4976"/>
      </w:tblGrid>
      <w:tr w14:paraId="0E9A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6A6951CA">
            <w:pPr>
              <w:jc w:val="center"/>
              <w:textAlignment w:val="center"/>
              <w:rPr>
                <w:rFonts w:hint="eastAsia"/>
                <w:b/>
                <w:bCs/>
                <w:szCs w:val="21"/>
              </w:rPr>
            </w:pPr>
            <w:r>
              <w:rPr>
                <w:rFonts w:hint="eastAsia"/>
                <w:b/>
                <w:bCs/>
                <w:szCs w:val="21"/>
                <w:lang w:bidi="ar"/>
              </w:rPr>
              <w:t>序号</w:t>
            </w:r>
          </w:p>
        </w:tc>
        <w:tc>
          <w:tcPr>
            <w:tcW w:w="3518" w:type="dxa"/>
            <w:gridSpan w:val="4"/>
            <w:vAlign w:val="center"/>
          </w:tcPr>
          <w:p w14:paraId="6573AF5C">
            <w:pPr>
              <w:jc w:val="center"/>
              <w:textAlignment w:val="center"/>
              <w:rPr>
                <w:rFonts w:hint="eastAsia"/>
                <w:b/>
                <w:bCs/>
                <w:szCs w:val="21"/>
              </w:rPr>
            </w:pPr>
            <w:r>
              <w:rPr>
                <w:rFonts w:hint="eastAsia"/>
                <w:b/>
                <w:bCs/>
                <w:szCs w:val="21"/>
                <w:lang w:bidi="ar"/>
              </w:rPr>
              <w:t>评分项</w:t>
            </w:r>
          </w:p>
        </w:tc>
        <w:tc>
          <w:tcPr>
            <w:tcW w:w="4976" w:type="dxa"/>
          </w:tcPr>
          <w:p w14:paraId="221B5BBA">
            <w:pPr>
              <w:jc w:val="center"/>
              <w:textAlignment w:val="top"/>
              <w:rPr>
                <w:rFonts w:hint="eastAsia"/>
                <w:b/>
                <w:bCs/>
                <w:szCs w:val="21"/>
              </w:rPr>
            </w:pPr>
            <w:r>
              <w:rPr>
                <w:rFonts w:hint="eastAsia"/>
                <w:b/>
                <w:bCs/>
                <w:szCs w:val="21"/>
                <w:lang w:bidi="ar"/>
              </w:rPr>
              <w:t>权重</w:t>
            </w:r>
          </w:p>
        </w:tc>
      </w:tr>
      <w:tr w14:paraId="38AB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60C56FCF">
            <w:pPr>
              <w:jc w:val="center"/>
              <w:textAlignment w:val="center"/>
              <w:rPr>
                <w:rFonts w:hint="eastAsia"/>
                <w:szCs w:val="21"/>
              </w:rPr>
            </w:pPr>
            <w:r>
              <w:rPr>
                <w:rFonts w:hint="eastAsia"/>
                <w:szCs w:val="21"/>
                <w:lang w:bidi="ar"/>
              </w:rPr>
              <w:t>一</w:t>
            </w:r>
          </w:p>
        </w:tc>
        <w:tc>
          <w:tcPr>
            <w:tcW w:w="3518" w:type="dxa"/>
            <w:gridSpan w:val="4"/>
            <w:vAlign w:val="center"/>
          </w:tcPr>
          <w:p w14:paraId="115F484C">
            <w:pPr>
              <w:jc w:val="center"/>
              <w:textAlignment w:val="center"/>
              <w:rPr>
                <w:rFonts w:hint="eastAsia"/>
                <w:b/>
                <w:bCs/>
                <w:szCs w:val="21"/>
              </w:rPr>
            </w:pPr>
            <w:r>
              <w:rPr>
                <w:rFonts w:hint="eastAsia"/>
                <w:b/>
                <w:bCs/>
                <w:szCs w:val="21"/>
                <w:lang w:bidi="ar"/>
              </w:rPr>
              <w:t>价格</w:t>
            </w:r>
          </w:p>
        </w:tc>
        <w:tc>
          <w:tcPr>
            <w:tcW w:w="4976" w:type="dxa"/>
          </w:tcPr>
          <w:p w14:paraId="0F6534E6">
            <w:pPr>
              <w:jc w:val="center"/>
              <w:textAlignment w:val="top"/>
              <w:rPr>
                <w:rFonts w:hint="eastAsia"/>
                <w:b/>
                <w:bCs/>
                <w:szCs w:val="21"/>
              </w:rPr>
            </w:pPr>
            <w:r>
              <w:rPr>
                <w:b/>
                <w:bCs/>
                <w:szCs w:val="21"/>
                <w:lang w:bidi="ar"/>
              </w:rPr>
              <w:t>10</w:t>
            </w:r>
          </w:p>
        </w:tc>
      </w:tr>
      <w:tr w14:paraId="790B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restart"/>
            <w:vAlign w:val="center"/>
          </w:tcPr>
          <w:p w14:paraId="15E81205">
            <w:pPr>
              <w:jc w:val="center"/>
              <w:textAlignment w:val="center"/>
              <w:rPr>
                <w:rFonts w:hint="eastAsia"/>
                <w:szCs w:val="21"/>
              </w:rPr>
            </w:pPr>
            <w:r>
              <w:rPr>
                <w:rFonts w:hint="eastAsia"/>
                <w:szCs w:val="21"/>
                <w:lang w:bidi="ar"/>
              </w:rPr>
              <w:t>二</w:t>
            </w:r>
          </w:p>
        </w:tc>
        <w:tc>
          <w:tcPr>
            <w:tcW w:w="3518" w:type="dxa"/>
            <w:gridSpan w:val="4"/>
            <w:vAlign w:val="center"/>
          </w:tcPr>
          <w:p w14:paraId="03080B75">
            <w:pPr>
              <w:jc w:val="center"/>
              <w:textAlignment w:val="center"/>
              <w:rPr>
                <w:rFonts w:hint="eastAsia"/>
                <w:b/>
                <w:bCs/>
                <w:szCs w:val="21"/>
              </w:rPr>
            </w:pPr>
            <w:r>
              <w:rPr>
                <w:rFonts w:hint="eastAsia"/>
                <w:b/>
                <w:bCs/>
                <w:szCs w:val="21"/>
                <w:lang w:bidi="ar"/>
              </w:rPr>
              <w:t>商务部分</w:t>
            </w:r>
          </w:p>
        </w:tc>
        <w:tc>
          <w:tcPr>
            <w:tcW w:w="4976" w:type="dxa"/>
          </w:tcPr>
          <w:p w14:paraId="66AC3F79">
            <w:pPr>
              <w:jc w:val="center"/>
              <w:textAlignment w:val="top"/>
              <w:rPr>
                <w:rFonts w:hint="eastAsia"/>
                <w:b/>
                <w:bCs/>
                <w:szCs w:val="21"/>
              </w:rPr>
            </w:pPr>
            <w:r>
              <w:rPr>
                <w:b/>
                <w:bCs/>
                <w:szCs w:val="21"/>
                <w:lang w:bidi="ar"/>
              </w:rPr>
              <w:t>3</w:t>
            </w:r>
            <w:r>
              <w:rPr>
                <w:rFonts w:hint="eastAsia"/>
                <w:b/>
                <w:bCs/>
                <w:szCs w:val="21"/>
                <w:lang w:val="en-US" w:eastAsia="zh-CN" w:bidi="ar"/>
              </w:rPr>
              <w:t>0</w:t>
            </w:r>
          </w:p>
        </w:tc>
      </w:tr>
      <w:tr w14:paraId="7651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vAlign w:val="center"/>
          </w:tcPr>
          <w:p w14:paraId="5B601364">
            <w:pPr>
              <w:jc w:val="center"/>
              <w:rPr>
                <w:rFonts w:hint="eastAsia"/>
                <w:szCs w:val="21"/>
              </w:rPr>
            </w:pPr>
          </w:p>
        </w:tc>
        <w:tc>
          <w:tcPr>
            <w:tcW w:w="638" w:type="dxa"/>
            <w:vAlign w:val="center"/>
          </w:tcPr>
          <w:p w14:paraId="0FD4BEF8">
            <w:pPr>
              <w:jc w:val="center"/>
              <w:textAlignment w:val="center"/>
              <w:rPr>
                <w:rFonts w:hint="eastAsia"/>
                <w:szCs w:val="21"/>
              </w:rPr>
            </w:pPr>
            <w:r>
              <w:rPr>
                <w:rFonts w:hint="eastAsia"/>
                <w:szCs w:val="21"/>
                <w:lang w:bidi="ar"/>
              </w:rPr>
              <w:t>序号</w:t>
            </w:r>
          </w:p>
        </w:tc>
        <w:tc>
          <w:tcPr>
            <w:tcW w:w="1115" w:type="dxa"/>
            <w:vAlign w:val="center"/>
          </w:tcPr>
          <w:p w14:paraId="6FAEE930">
            <w:pPr>
              <w:jc w:val="center"/>
              <w:textAlignment w:val="center"/>
              <w:rPr>
                <w:rFonts w:hint="eastAsia"/>
                <w:szCs w:val="21"/>
              </w:rPr>
            </w:pPr>
            <w:r>
              <w:rPr>
                <w:rFonts w:hint="eastAsia"/>
                <w:szCs w:val="21"/>
                <w:lang w:bidi="ar"/>
              </w:rPr>
              <w:t>评分因素</w:t>
            </w:r>
          </w:p>
        </w:tc>
        <w:tc>
          <w:tcPr>
            <w:tcW w:w="657" w:type="dxa"/>
            <w:vAlign w:val="center"/>
          </w:tcPr>
          <w:p w14:paraId="2434C003">
            <w:pPr>
              <w:jc w:val="center"/>
              <w:textAlignment w:val="center"/>
              <w:rPr>
                <w:rFonts w:hint="eastAsia"/>
                <w:szCs w:val="21"/>
              </w:rPr>
            </w:pPr>
            <w:r>
              <w:rPr>
                <w:rFonts w:hint="eastAsia"/>
                <w:szCs w:val="21"/>
                <w:lang w:bidi="ar"/>
              </w:rPr>
              <w:t>权重</w:t>
            </w:r>
          </w:p>
        </w:tc>
        <w:tc>
          <w:tcPr>
            <w:tcW w:w="1108" w:type="dxa"/>
            <w:vAlign w:val="center"/>
          </w:tcPr>
          <w:p w14:paraId="16B70A62">
            <w:pPr>
              <w:jc w:val="center"/>
              <w:textAlignment w:val="center"/>
              <w:rPr>
                <w:rFonts w:hint="eastAsia"/>
                <w:szCs w:val="21"/>
              </w:rPr>
            </w:pPr>
            <w:r>
              <w:rPr>
                <w:rFonts w:hint="eastAsia"/>
                <w:szCs w:val="21"/>
                <w:lang w:bidi="ar"/>
              </w:rPr>
              <w:t>评分方式</w:t>
            </w:r>
          </w:p>
        </w:tc>
        <w:tc>
          <w:tcPr>
            <w:tcW w:w="4976" w:type="dxa"/>
          </w:tcPr>
          <w:p w14:paraId="07161C89">
            <w:pPr>
              <w:jc w:val="center"/>
              <w:textAlignment w:val="top"/>
              <w:rPr>
                <w:rFonts w:hint="eastAsia"/>
                <w:szCs w:val="21"/>
              </w:rPr>
            </w:pPr>
            <w:r>
              <w:rPr>
                <w:rFonts w:hint="eastAsia"/>
                <w:szCs w:val="21"/>
                <w:lang w:bidi="ar"/>
              </w:rPr>
              <w:t>评分准则</w:t>
            </w:r>
          </w:p>
        </w:tc>
      </w:tr>
      <w:tr w14:paraId="6FC8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vAlign w:val="center"/>
          </w:tcPr>
          <w:p w14:paraId="29E1C55B">
            <w:pPr>
              <w:jc w:val="center"/>
              <w:rPr>
                <w:rFonts w:hint="eastAsia"/>
                <w:szCs w:val="21"/>
              </w:rPr>
            </w:pPr>
          </w:p>
        </w:tc>
        <w:tc>
          <w:tcPr>
            <w:tcW w:w="638" w:type="dxa"/>
            <w:vAlign w:val="center"/>
          </w:tcPr>
          <w:p w14:paraId="555D049B">
            <w:pPr>
              <w:jc w:val="center"/>
              <w:textAlignment w:val="center"/>
              <w:rPr>
                <w:rFonts w:hint="eastAsia"/>
                <w:szCs w:val="21"/>
              </w:rPr>
            </w:pPr>
            <w:r>
              <w:rPr>
                <w:szCs w:val="21"/>
                <w:lang w:bidi="ar"/>
              </w:rPr>
              <w:t>1</w:t>
            </w:r>
          </w:p>
        </w:tc>
        <w:tc>
          <w:tcPr>
            <w:tcW w:w="1115" w:type="dxa"/>
            <w:vAlign w:val="center"/>
          </w:tcPr>
          <w:p w14:paraId="6C869243">
            <w:pPr>
              <w:jc w:val="center"/>
              <w:textAlignment w:val="center"/>
              <w:rPr>
                <w:rFonts w:hint="eastAsia"/>
                <w:szCs w:val="21"/>
              </w:rPr>
            </w:pPr>
            <w:r>
              <w:rPr>
                <w:rFonts w:hint="eastAsia"/>
                <w:szCs w:val="21"/>
              </w:rPr>
              <w:t>服务能力</w:t>
            </w:r>
          </w:p>
        </w:tc>
        <w:tc>
          <w:tcPr>
            <w:tcW w:w="657" w:type="dxa"/>
            <w:vAlign w:val="center"/>
          </w:tcPr>
          <w:p w14:paraId="01A5FA06">
            <w:pPr>
              <w:jc w:val="center"/>
              <w:textAlignment w:val="center"/>
              <w:rPr>
                <w:rFonts w:hint="eastAsia"/>
                <w:szCs w:val="21"/>
              </w:rPr>
            </w:pPr>
            <w:r>
              <w:rPr>
                <w:rFonts w:hint="eastAsia"/>
                <w:szCs w:val="21"/>
                <w:lang w:val="en-US" w:eastAsia="zh-CN" w:bidi="ar"/>
              </w:rPr>
              <w:t>5</w:t>
            </w:r>
          </w:p>
        </w:tc>
        <w:tc>
          <w:tcPr>
            <w:tcW w:w="1108" w:type="dxa"/>
            <w:vAlign w:val="center"/>
          </w:tcPr>
          <w:p w14:paraId="57755806">
            <w:pPr>
              <w:jc w:val="center"/>
              <w:textAlignment w:val="center"/>
              <w:rPr>
                <w:rFonts w:hint="eastAsia"/>
                <w:szCs w:val="21"/>
              </w:rPr>
            </w:pPr>
            <w:r>
              <w:rPr>
                <w:rFonts w:hint="eastAsia"/>
                <w:szCs w:val="21"/>
                <w:lang w:bidi="ar"/>
              </w:rPr>
              <w:t>专家打分</w:t>
            </w:r>
          </w:p>
        </w:tc>
        <w:tc>
          <w:tcPr>
            <w:tcW w:w="4976" w:type="dxa"/>
          </w:tcPr>
          <w:p w14:paraId="5B76BC25">
            <w:pPr>
              <w:spacing w:line="380" w:lineRule="exact"/>
              <w:rPr>
                <w:rFonts w:ascii="宋体" w:hAnsi="宋体"/>
                <w:szCs w:val="21"/>
              </w:rPr>
            </w:pPr>
            <w:r>
              <w:rPr>
                <w:rFonts w:hint="eastAsia" w:ascii="宋体" w:hAnsi="宋体"/>
                <w:szCs w:val="21"/>
              </w:rPr>
              <w:t>（一）评</w:t>
            </w:r>
            <w:r>
              <w:rPr>
                <w:rFonts w:hint="eastAsia" w:ascii="宋体" w:hAnsi="宋体"/>
                <w:szCs w:val="21"/>
                <w:lang w:val="en-US" w:eastAsia="zh-CN"/>
              </w:rPr>
              <w:t>分</w:t>
            </w:r>
            <w:r>
              <w:rPr>
                <w:rFonts w:hint="eastAsia" w:ascii="宋体" w:hAnsi="宋体"/>
                <w:szCs w:val="21"/>
              </w:rPr>
              <w:t>内容：</w:t>
            </w:r>
          </w:p>
          <w:p w14:paraId="54A43CBF">
            <w:pPr>
              <w:widowControl/>
              <w:spacing w:line="380" w:lineRule="exact"/>
              <w:jc w:val="left"/>
              <w:textAlignment w:val="top"/>
              <w:rPr>
                <w:rFonts w:hint="default"/>
                <w:lang w:val="en-US"/>
              </w:rPr>
            </w:pPr>
            <w:r>
              <w:rPr>
                <w:rFonts w:hint="eastAsia" w:ascii="宋体" w:hAnsi="宋体"/>
                <w:szCs w:val="21"/>
                <w:lang w:bidi="ar"/>
              </w:rPr>
              <w:t>投标人提供有效的质量管理体系认证</w:t>
            </w:r>
            <w:r>
              <w:rPr>
                <w:rFonts w:hint="eastAsia" w:ascii="宋体" w:hAnsi="宋体"/>
                <w:szCs w:val="21"/>
                <w:lang w:eastAsia="zh-CN" w:bidi="ar"/>
              </w:rPr>
              <w:t>，</w:t>
            </w:r>
            <w:r>
              <w:rPr>
                <w:rFonts w:hint="eastAsia" w:ascii="宋体" w:hAnsi="宋体"/>
                <w:szCs w:val="21"/>
                <w:lang w:val="en-US" w:eastAsia="zh-CN" w:bidi="ar"/>
              </w:rPr>
              <w:t>得5分。</w:t>
            </w:r>
          </w:p>
          <w:p w14:paraId="7D662736">
            <w:pPr>
              <w:widowControl/>
              <w:spacing w:line="380" w:lineRule="exact"/>
              <w:jc w:val="left"/>
              <w:textAlignment w:val="top"/>
              <w:rPr>
                <w:rFonts w:hint="eastAsia" w:ascii="宋体" w:hAnsi="宋体" w:eastAsia="宋体" w:cs="宋体"/>
                <w:b/>
                <w:bCs/>
                <w:kern w:val="0"/>
                <w:szCs w:val="21"/>
                <w:lang w:eastAsia="zh-CN"/>
              </w:rPr>
            </w:pPr>
            <w:r>
              <w:rPr>
                <w:rFonts w:hint="eastAsia" w:ascii="宋体" w:hAnsi="宋体" w:eastAsia="宋体" w:cs="Times New Roman"/>
                <w:szCs w:val="21"/>
                <w:lang w:bidi="ar"/>
              </w:rPr>
              <w:t>（二）评</w:t>
            </w:r>
            <w:r>
              <w:rPr>
                <w:rFonts w:hint="eastAsia" w:ascii="宋体" w:hAnsi="宋体" w:eastAsia="宋体" w:cs="Times New Roman"/>
                <w:szCs w:val="21"/>
                <w:lang w:val="en-US" w:eastAsia="zh-CN" w:bidi="ar"/>
              </w:rPr>
              <w:t>分</w:t>
            </w:r>
            <w:r>
              <w:rPr>
                <w:rFonts w:hint="eastAsia" w:ascii="宋体" w:hAnsi="宋体" w:eastAsia="宋体" w:cs="Times New Roman"/>
                <w:szCs w:val="21"/>
                <w:lang w:bidi="ar"/>
              </w:rPr>
              <w:t>依据：</w:t>
            </w:r>
          </w:p>
          <w:p w14:paraId="7E15C154">
            <w:pPr>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1.提供认证证书扫描件；同时提供在全国认证认可信息公共服务平台（认e云）（http://cx.cnca.cn）查询截图且显示有效及证书编号一致</w:t>
            </w:r>
            <w:r>
              <w:rPr>
                <w:rFonts w:hint="eastAsia" w:asciiTheme="minorEastAsia" w:hAnsiTheme="minorEastAsia" w:eastAsiaTheme="minorEastAsia" w:cstheme="minorEastAsia"/>
                <w:bCs/>
                <w:color w:val="FF0000"/>
                <w:sz w:val="21"/>
                <w:szCs w:val="21"/>
                <w:lang w:eastAsia="zh-CN"/>
              </w:rPr>
              <w:t>，</w:t>
            </w:r>
            <w:r>
              <w:rPr>
                <w:rFonts w:hint="eastAsia" w:asciiTheme="minorEastAsia" w:hAnsiTheme="minorEastAsia" w:eastAsiaTheme="minorEastAsia" w:cstheme="minorEastAsia"/>
                <w:bCs/>
                <w:color w:val="FF0000"/>
                <w:sz w:val="21"/>
                <w:szCs w:val="21"/>
                <w:lang w:val="en-US" w:eastAsia="zh-CN"/>
              </w:rPr>
              <w:t>状态需为“有效”</w:t>
            </w:r>
            <w:r>
              <w:rPr>
                <w:rFonts w:hint="eastAsia" w:asciiTheme="minorEastAsia" w:hAnsiTheme="minorEastAsia" w:eastAsiaTheme="minorEastAsia" w:cstheme="minorEastAsia"/>
                <w:bCs/>
                <w:color w:val="FF0000"/>
                <w:sz w:val="21"/>
                <w:szCs w:val="21"/>
              </w:rPr>
              <w:t>；由于成立时间不足三个月导致不能办理相应认证证书的，提供 “成立时间不足三个月，无法办理认证”的承诺函亦可得分。</w:t>
            </w:r>
          </w:p>
          <w:p w14:paraId="68E0FF48">
            <w:pPr>
              <w:rPr>
                <w:rFonts w:hint="eastAsia" w:eastAsiaTheme="minorEastAsia"/>
                <w:lang w:eastAsia="zh-CN"/>
              </w:rPr>
            </w:pPr>
            <w:r>
              <w:rPr>
                <w:rFonts w:hint="eastAsia" w:asciiTheme="minorEastAsia" w:hAnsiTheme="minorEastAsia" w:eastAsiaTheme="minorEastAsia" w:cstheme="minorEastAsia"/>
                <w:bCs/>
                <w:color w:val="FF0000"/>
                <w:sz w:val="21"/>
                <w:szCs w:val="21"/>
              </w:rPr>
              <w:t>2.评分中出现无证明资料或专家无法凭所提供资料判断是否得分的情况，一律作不得分处理</w:t>
            </w:r>
            <w:r>
              <w:rPr>
                <w:rFonts w:hint="eastAsia" w:asciiTheme="minorEastAsia" w:hAnsiTheme="minorEastAsia" w:eastAsiaTheme="minorEastAsia" w:cstheme="minorEastAsia"/>
                <w:bCs/>
                <w:color w:val="FF0000"/>
                <w:sz w:val="21"/>
                <w:szCs w:val="21"/>
                <w:lang w:eastAsia="zh-CN"/>
              </w:rPr>
              <w:t>。</w:t>
            </w:r>
          </w:p>
        </w:tc>
      </w:tr>
      <w:tr w14:paraId="5901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15" w:type="dxa"/>
            <w:vMerge w:val="continue"/>
            <w:vAlign w:val="center"/>
          </w:tcPr>
          <w:p w14:paraId="04A94CF9">
            <w:pPr>
              <w:jc w:val="center"/>
              <w:rPr>
                <w:rFonts w:hint="eastAsia"/>
                <w:szCs w:val="21"/>
              </w:rPr>
            </w:pPr>
          </w:p>
        </w:tc>
        <w:tc>
          <w:tcPr>
            <w:tcW w:w="638" w:type="dxa"/>
            <w:vAlign w:val="center"/>
          </w:tcPr>
          <w:p w14:paraId="6DFAA985">
            <w:pPr>
              <w:jc w:val="center"/>
              <w:textAlignment w:val="center"/>
              <w:rPr>
                <w:rFonts w:hint="eastAsia"/>
                <w:szCs w:val="21"/>
              </w:rPr>
            </w:pPr>
            <w:r>
              <w:rPr>
                <w:szCs w:val="21"/>
                <w:lang w:bidi="ar"/>
              </w:rPr>
              <w:t>2</w:t>
            </w:r>
          </w:p>
        </w:tc>
        <w:tc>
          <w:tcPr>
            <w:tcW w:w="1115" w:type="dxa"/>
            <w:vAlign w:val="center"/>
          </w:tcPr>
          <w:p w14:paraId="444654F1">
            <w:pPr>
              <w:jc w:val="center"/>
              <w:textAlignment w:val="center"/>
              <w:rPr>
                <w:rFonts w:hint="eastAsia"/>
                <w:szCs w:val="21"/>
              </w:rPr>
            </w:pPr>
            <w:r>
              <w:rPr>
                <w:rFonts w:hint="eastAsia"/>
                <w:szCs w:val="21"/>
                <w:lang w:val="en-US" w:eastAsia="zh-CN"/>
              </w:rPr>
              <w:t>业绩情况</w:t>
            </w:r>
          </w:p>
        </w:tc>
        <w:tc>
          <w:tcPr>
            <w:tcW w:w="657" w:type="dxa"/>
            <w:vAlign w:val="center"/>
          </w:tcPr>
          <w:p w14:paraId="593584AE">
            <w:pPr>
              <w:jc w:val="center"/>
              <w:textAlignment w:val="center"/>
              <w:rPr>
                <w:rFonts w:hint="eastAsia"/>
                <w:szCs w:val="21"/>
              </w:rPr>
            </w:pPr>
            <w:r>
              <w:rPr>
                <w:szCs w:val="21"/>
                <w:lang w:bidi="ar"/>
              </w:rPr>
              <w:t>8</w:t>
            </w:r>
          </w:p>
        </w:tc>
        <w:tc>
          <w:tcPr>
            <w:tcW w:w="1108" w:type="dxa"/>
            <w:vAlign w:val="center"/>
          </w:tcPr>
          <w:p w14:paraId="752FECF6">
            <w:pPr>
              <w:jc w:val="center"/>
              <w:textAlignment w:val="center"/>
              <w:rPr>
                <w:rFonts w:hint="eastAsia"/>
                <w:szCs w:val="21"/>
              </w:rPr>
            </w:pPr>
            <w:r>
              <w:rPr>
                <w:rFonts w:hint="eastAsia"/>
                <w:szCs w:val="21"/>
                <w:lang w:bidi="ar"/>
              </w:rPr>
              <w:t>专家打分</w:t>
            </w:r>
          </w:p>
        </w:tc>
        <w:tc>
          <w:tcPr>
            <w:tcW w:w="4976" w:type="dxa"/>
          </w:tcPr>
          <w:p w14:paraId="2D57B44C">
            <w:pPr>
              <w:spacing w:line="240" w:lineRule="auto"/>
              <w:textAlignment w:val="top"/>
              <w:rPr>
                <w:rFonts w:ascii="宋体" w:hAnsi="宋体"/>
                <w:szCs w:val="21"/>
              </w:rPr>
            </w:pPr>
            <w:r>
              <w:rPr>
                <w:rFonts w:hint="eastAsia" w:ascii="宋体" w:hAnsi="宋体"/>
                <w:szCs w:val="21"/>
              </w:rPr>
              <w:t>（一）评</w:t>
            </w:r>
            <w:r>
              <w:rPr>
                <w:rFonts w:hint="eastAsia" w:ascii="宋体" w:hAnsi="宋体"/>
                <w:szCs w:val="21"/>
                <w:lang w:val="en-US" w:eastAsia="zh-CN"/>
              </w:rPr>
              <w:t>分</w:t>
            </w:r>
            <w:r>
              <w:rPr>
                <w:rFonts w:hint="eastAsia" w:ascii="宋体" w:hAnsi="宋体"/>
                <w:szCs w:val="21"/>
              </w:rPr>
              <w:t>内容：</w:t>
            </w:r>
          </w:p>
          <w:p w14:paraId="0EB74CF8">
            <w:pPr>
              <w:spacing w:line="240" w:lineRule="auto"/>
              <w:textAlignment w:val="top"/>
              <w:rPr>
                <w:rFonts w:hint="eastAsia" w:ascii="宋体" w:hAnsi="宋体" w:eastAsia="宋体" w:cs="Times New Roman"/>
                <w:szCs w:val="21"/>
                <w:lang w:bidi="ar"/>
              </w:rPr>
            </w:pPr>
            <w:r>
              <w:rPr>
                <w:rFonts w:hint="eastAsia" w:ascii="宋体" w:hAnsi="宋体" w:eastAsia="宋体" w:cs="Times New Roman"/>
                <w:szCs w:val="21"/>
                <w:lang w:val="en-US" w:eastAsia="zh-CN" w:bidi="ar"/>
              </w:rPr>
              <w:t>提供近三年（</w:t>
            </w:r>
            <w:r>
              <w:rPr>
                <w:rFonts w:hint="eastAsia" w:ascii="宋体" w:hAnsi="宋体" w:eastAsia="宋体" w:cs="Times New Roman"/>
                <w:color w:val="0000FF"/>
                <w:szCs w:val="21"/>
                <w:lang w:val="en-US" w:eastAsia="zh-CN" w:bidi="ar"/>
              </w:rPr>
              <w:t>202</w:t>
            </w:r>
            <w:r>
              <w:rPr>
                <w:rFonts w:hint="eastAsia" w:ascii="宋体" w:hAnsi="宋体" w:cs="Times New Roman"/>
                <w:color w:val="0000FF"/>
                <w:szCs w:val="21"/>
                <w:lang w:val="en-US" w:eastAsia="zh-CN" w:bidi="ar"/>
              </w:rPr>
              <w:t>3</w:t>
            </w:r>
            <w:r>
              <w:rPr>
                <w:rFonts w:hint="eastAsia" w:ascii="宋体" w:hAnsi="宋体" w:eastAsia="宋体" w:cs="Times New Roman"/>
                <w:color w:val="0000FF"/>
                <w:szCs w:val="21"/>
                <w:lang w:val="en-US" w:eastAsia="zh-CN" w:bidi="ar"/>
              </w:rPr>
              <w:t>年</w:t>
            </w:r>
            <w:r>
              <w:rPr>
                <w:rFonts w:hint="eastAsia" w:ascii="宋体" w:hAnsi="宋体" w:cs="Times New Roman"/>
                <w:color w:val="0000FF"/>
                <w:szCs w:val="21"/>
                <w:lang w:val="en-US" w:eastAsia="zh-CN" w:bidi="ar"/>
              </w:rPr>
              <w:t>1</w:t>
            </w:r>
            <w:r>
              <w:rPr>
                <w:rFonts w:hint="eastAsia" w:ascii="宋体" w:hAnsi="宋体" w:eastAsia="宋体" w:cs="Times New Roman"/>
                <w:color w:val="0000FF"/>
                <w:szCs w:val="21"/>
                <w:lang w:val="en-US" w:eastAsia="zh-CN" w:bidi="ar"/>
              </w:rPr>
              <w:t>月1日</w:t>
            </w:r>
            <w:r>
              <w:rPr>
                <w:rFonts w:hint="eastAsia" w:ascii="宋体" w:hAnsi="宋体" w:eastAsia="宋体" w:cs="Times New Roman"/>
                <w:szCs w:val="21"/>
                <w:lang w:val="en-US" w:eastAsia="zh-CN" w:bidi="ar"/>
              </w:rPr>
              <w:t>至投标截止之日止）</w:t>
            </w:r>
            <w:r>
              <w:rPr>
                <w:rFonts w:hint="eastAsia" w:ascii="宋体" w:hAnsi="宋体" w:eastAsia="宋体" w:cs="Times New Roman"/>
                <w:szCs w:val="21"/>
                <w:lang w:bidi="ar"/>
              </w:rPr>
              <w:t>投标人提供</w:t>
            </w:r>
            <w:r>
              <w:rPr>
                <w:rFonts w:hint="eastAsia" w:ascii="宋体" w:hAnsi="宋体" w:eastAsia="宋体" w:cs="Times New Roman"/>
                <w:szCs w:val="21"/>
                <w:lang w:val="en-US" w:eastAsia="zh-CN" w:bidi="ar"/>
              </w:rPr>
              <w:t>同类</w:t>
            </w:r>
            <w:r>
              <w:rPr>
                <w:rFonts w:hint="eastAsia" w:ascii="宋体" w:hAnsi="宋体" w:eastAsia="宋体" w:cs="Times New Roman"/>
                <w:szCs w:val="21"/>
                <w:lang w:bidi="ar"/>
              </w:rPr>
              <w:t>信息化业绩，每提供1个</w:t>
            </w:r>
            <w:r>
              <w:rPr>
                <w:rFonts w:hint="eastAsia" w:ascii="宋体" w:hAnsi="宋体" w:eastAsia="宋体" w:cs="Times New Roman"/>
                <w:szCs w:val="21"/>
                <w:lang w:val="en-US" w:eastAsia="zh-CN" w:bidi="ar"/>
              </w:rPr>
              <w:t>业绩</w:t>
            </w:r>
            <w:r>
              <w:rPr>
                <w:rFonts w:hint="eastAsia" w:ascii="宋体" w:hAnsi="宋体" w:eastAsia="宋体" w:cs="Times New Roman"/>
                <w:szCs w:val="21"/>
                <w:lang w:bidi="ar"/>
              </w:rPr>
              <w:t>得</w:t>
            </w:r>
            <w:r>
              <w:rPr>
                <w:rFonts w:hint="eastAsia" w:ascii="宋体" w:hAnsi="宋体" w:eastAsia="宋体" w:cs="Times New Roman"/>
                <w:szCs w:val="21"/>
                <w:lang w:val="en-US" w:eastAsia="zh-CN" w:bidi="ar"/>
              </w:rPr>
              <w:t>4</w:t>
            </w:r>
            <w:r>
              <w:rPr>
                <w:rFonts w:hint="eastAsia" w:ascii="宋体" w:hAnsi="宋体" w:eastAsia="宋体" w:cs="Times New Roman"/>
                <w:szCs w:val="21"/>
                <w:lang w:bidi="ar"/>
              </w:rPr>
              <w:t>分，满分</w:t>
            </w:r>
            <w:r>
              <w:rPr>
                <w:rFonts w:hint="eastAsia" w:ascii="宋体" w:hAnsi="宋体" w:eastAsia="宋体" w:cs="Times New Roman"/>
                <w:szCs w:val="21"/>
                <w:lang w:val="en-US" w:eastAsia="zh-CN" w:bidi="ar"/>
              </w:rPr>
              <w:t>8</w:t>
            </w:r>
            <w:r>
              <w:rPr>
                <w:rFonts w:hint="eastAsia" w:ascii="宋体" w:hAnsi="宋体" w:eastAsia="宋体" w:cs="Times New Roman"/>
                <w:szCs w:val="21"/>
                <w:lang w:bidi="ar"/>
              </w:rPr>
              <w:t>分。</w:t>
            </w:r>
          </w:p>
          <w:p w14:paraId="5667EA78">
            <w:pPr>
              <w:spacing w:line="240" w:lineRule="auto"/>
              <w:textAlignment w:val="top"/>
              <w:rPr>
                <w:rFonts w:hint="eastAsia" w:ascii="宋体" w:hAnsi="宋体" w:eastAsia="宋体" w:cs="Times New Roman"/>
                <w:szCs w:val="21"/>
                <w:lang w:bidi="ar"/>
              </w:rPr>
            </w:pPr>
            <w:r>
              <w:rPr>
                <w:rFonts w:hint="eastAsia" w:ascii="宋体" w:hAnsi="宋体" w:eastAsia="宋体" w:cs="Times New Roman"/>
                <w:szCs w:val="21"/>
                <w:lang w:bidi="ar"/>
              </w:rPr>
              <w:t>（二）评</w:t>
            </w:r>
            <w:r>
              <w:rPr>
                <w:rFonts w:hint="eastAsia" w:ascii="宋体" w:hAnsi="宋体" w:eastAsia="宋体" w:cs="Times New Roman"/>
                <w:szCs w:val="21"/>
                <w:lang w:val="en-US" w:eastAsia="zh-CN" w:bidi="ar"/>
              </w:rPr>
              <w:t>分</w:t>
            </w:r>
            <w:r>
              <w:rPr>
                <w:rFonts w:hint="eastAsia" w:ascii="宋体" w:hAnsi="宋体" w:eastAsia="宋体" w:cs="Times New Roman"/>
                <w:szCs w:val="21"/>
                <w:lang w:bidi="ar"/>
              </w:rPr>
              <w:t>依据：</w:t>
            </w:r>
          </w:p>
          <w:p w14:paraId="098E4C9D">
            <w:pPr>
              <w:textAlignment w:val="top"/>
              <w:rPr>
                <w:rFonts w:hint="eastAsia" w:eastAsia="宋体"/>
                <w:szCs w:val="21"/>
                <w:lang w:eastAsia="zh-CN" w:bidi="ar"/>
              </w:rPr>
            </w:pPr>
            <w:r>
              <w:rPr>
                <w:rFonts w:hint="eastAsia" w:ascii="宋体" w:hAnsi="宋体" w:eastAsia="宋体" w:cs="Times New Roman"/>
                <w:szCs w:val="21"/>
                <w:lang w:bidi="ar"/>
              </w:rPr>
              <w:t>须提供合同关键信息</w:t>
            </w:r>
            <w:r>
              <w:rPr>
                <w:rFonts w:hint="eastAsia" w:ascii="宋体" w:hAnsi="宋体" w:eastAsia="宋体" w:cs="宋体"/>
                <w:color w:val="FF0000"/>
                <w:sz w:val="21"/>
                <w:szCs w:val="21"/>
                <w:highlight w:val="none"/>
                <w:lang w:val="en-US" w:eastAsia="zh-CN"/>
              </w:rPr>
              <w:t>（含签订合同双方的单位名称、</w:t>
            </w:r>
            <w:r>
              <w:rPr>
                <w:rFonts w:hint="eastAsia" w:ascii="宋体" w:hAnsi="宋体" w:eastAsia="宋体" w:cs="Times New Roman"/>
                <w:szCs w:val="21"/>
                <w:lang w:bidi="ar"/>
              </w:rPr>
              <w:t>系统运维服务</w:t>
            </w:r>
            <w:r>
              <w:rPr>
                <w:rFonts w:hint="eastAsia" w:ascii="宋体" w:hAnsi="宋体" w:eastAsia="宋体" w:cs="Times New Roman"/>
                <w:szCs w:val="21"/>
                <w:lang w:val="en-US" w:eastAsia="zh-CN" w:bidi="ar"/>
              </w:rPr>
              <w:t>内容页、</w:t>
            </w:r>
            <w:r>
              <w:rPr>
                <w:rFonts w:hint="eastAsia" w:ascii="宋体" w:hAnsi="宋体" w:eastAsia="宋体" w:cs="宋体"/>
                <w:color w:val="FF0000"/>
                <w:sz w:val="21"/>
                <w:szCs w:val="21"/>
                <w:highlight w:val="none"/>
                <w:lang w:val="en-US" w:eastAsia="zh-CN"/>
              </w:rPr>
              <w:t>合同项目名称与含签订合同双方的落款盖章、签订日期的关键页）</w:t>
            </w:r>
            <w:r>
              <w:rPr>
                <w:rFonts w:hint="eastAsia" w:ascii="宋体" w:hAnsi="宋体" w:eastAsia="宋体" w:cs="Times New Roman"/>
                <w:szCs w:val="21"/>
                <w:lang w:val="en-US" w:eastAsia="zh-CN" w:bidi="ar"/>
              </w:rPr>
              <w:t>并</w:t>
            </w:r>
            <w:r>
              <w:rPr>
                <w:rFonts w:hint="eastAsia" w:ascii="宋体" w:hAnsi="宋体" w:eastAsia="宋体" w:cs="Times New Roman"/>
                <w:szCs w:val="21"/>
                <w:lang w:bidi="ar"/>
              </w:rPr>
              <w:t>加盖单位公章</w:t>
            </w:r>
            <w:r>
              <w:rPr>
                <w:rFonts w:hint="eastAsia" w:ascii="宋体" w:hAnsi="宋体" w:eastAsia="宋体" w:cs="Times New Roman"/>
                <w:szCs w:val="21"/>
                <w:lang w:eastAsia="zh-CN" w:bidi="ar"/>
              </w:rPr>
              <w:t>。</w:t>
            </w:r>
          </w:p>
        </w:tc>
      </w:tr>
      <w:tr w14:paraId="1686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2E0E78F7">
            <w:pPr>
              <w:jc w:val="center"/>
              <w:rPr>
                <w:rFonts w:hint="eastAsia"/>
                <w:szCs w:val="21"/>
              </w:rPr>
            </w:pPr>
          </w:p>
        </w:tc>
        <w:tc>
          <w:tcPr>
            <w:tcW w:w="638" w:type="dxa"/>
            <w:vAlign w:val="center"/>
          </w:tcPr>
          <w:p w14:paraId="7C4372DE">
            <w:pPr>
              <w:jc w:val="center"/>
              <w:textAlignment w:val="center"/>
              <w:rPr>
                <w:rFonts w:hint="eastAsia"/>
                <w:szCs w:val="21"/>
              </w:rPr>
            </w:pPr>
            <w:r>
              <w:rPr>
                <w:szCs w:val="21"/>
              </w:rPr>
              <w:t>3</w:t>
            </w:r>
          </w:p>
        </w:tc>
        <w:tc>
          <w:tcPr>
            <w:tcW w:w="1115" w:type="dxa"/>
            <w:vAlign w:val="center"/>
          </w:tcPr>
          <w:p w14:paraId="429AB85E">
            <w:pPr>
              <w:jc w:val="center"/>
              <w:textAlignment w:val="center"/>
              <w:rPr>
                <w:rFonts w:hint="eastAsia"/>
                <w:szCs w:val="21"/>
                <w:lang w:bidi="ar"/>
              </w:rPr>
            </w:pPr>
            <w:r>
              <w:rPr>
                <w:rFonts w:hint="eastAsia"/>
                <w:szCs w:val="21"/>
                <w:lang w:bidi="ar"/>
              </w:rPr>
              <w:t>项目团队</w:t>
            </w:r>
          </w:p>
        </w:tc>
        <w:tc>
          <w:tcPr>
            <w:tcW w:w="657" w:type="dxa"/>
            <w:vAlign w:val="center"/>
          </w:tcPr>
          <w:p w14:paraId="449FC298">
            <w:pPr>
              <w:jc w:val="center"/>
              <w:textAlignment w:val="center"/>
              <w:rPr>
                <w:rFonts w:hint="eastAsia"/>
                <w:color w:val="FF0000"/>
                <w:szCs w:val="21"/>
                <w:lang w:bidi="ar"/>
              </w:rPr>
            </w:pPr>
            <w:r>
              <w:rPr>
                <w:szCs w:val="21"/>
                <w:lang w:bidi="ar"/>
              </w:rPr>
              <w:t>12</w:t>
            </w:r>
          </w:p>
        </w:tc>
        <w:tc>
          <w:tcPr>
            <w:tcW w:w="1108" w:type="dxa"/>
            <w:vAlign w:val="center"/>
          </w:tcPr>
          <w:p w14:paraId="3FF90FE5">
            <w:pPr>
              <w:jc w:val="center"/>
              <w:textAlignment w:val="center"/>
              <w:rPr>
                <w:rFonts w:hint="eastAsia"/>
                <w:szCs w:val="21"/>
                <w:lang w:bidi="ar"/>
              </w:rPr>
            </w:pPr>
            <w:r>
              <w:rPr>
                <w:rFonts w:hint="eastAsia"/>
                <w:szCs w:val="21"/>
                <w:lang w:bidi="ar"/>
              </w:rPr>
              <w:t>专家打分</w:t>
            </w:r>
          </w:p>
        </w:tc>
        <w:tc>
          <w:tcPr>
            <w:tcW w:w="4976" w:type="dxa"/>
          </w:tcPr>
          <w:p w14:paraId="2BB8C1FE">
            <w:pPr>
              <w:textAlignment w:val="top"/>
              <w:rPr>
                <w:rFonts w:hint="eastAsia"/>
                <w:szCs w:val="21"/>
                <w:lang w:bidi="ar"/>
              </w:rPr>
            </w:pPr>
            <w:r>
              <w:rPr>
                <w:rFonts w:hint="eastAsia" w:asciiTheme="minorEastAsia" w:hAnsiTheme="minorEastAsia" w:eastAsiaTheme="minorEastAsia" w:cstheme="minorEastAsia"/>
                <w:b/>
                <w:color w:val="FF0000"/>
                <w:sz w:val="21"/>
                <w:szCs w:val="21"/>
              </w:rPr>
              <w:t>（一）评分内容：</w:t>
            </w:r>
          </w:p>
          <w:p w14:paraId="50E39364">
            <w:pPr>
              <w:textAlignment w:val="top"/>
              <w:rPr>
                <w:rFonts w:hint="eastAsia"/>
                <w:szCs w:val="21"/>
                <w:lang w:bidi="ar"/>
              </w:rPr>
            </w:pPr>
            <w:r>
              <w:rPr>
                <w:rFonts w:hint="eastAsia"/>
                <w:szCs w:val="21"/>
                <w:lang w:bidi="ar"/>
              </w:rPr>
              <w:t>1.拟投入本项目的项目负责人资质要求：</w:t>
            </w:r>
          </w:p>
          <w:p w14:paraId="459A3CF1">
            <w:pPr>
              <w:textAlignment w:val="top"/>
              <w:rPr>
                <w:rFonts w:hint="eastAsia"/>
                <w:szCs w:val="21"/>
                <w:lang w:bidi="ar"/>
              </w:rPr>
            </w:pPr>
            <w:r>
              <w:rPr>
                <w:rFonts w:hint="eastAsia"/>
                <w:szCs w:val="21"/>
                <w:lang w:bidi="ar"/>
              </w:rPr>
              <w:t>项目负责人具备</w:t>
            </w:r>
            <w:r>
              <w:rPr>
                <w:rFonts w:hint="eastAsia" w:ascii="宋体" w:hAnsi="宋体"/>
                <w:szCs w:val="21"/>
                <w:lang w:bidi="ar"/>
              </w:rPr>
              <w:t>信息系统项目管理师证书</w:t>
            </w:r>
            <w:r>
              <w:rPr>
                <w:rFonts w:hint="eastAsia"/>
                <w:szCs w:val="21"/>
                <w:lang w:bidi="ar"/>
              </w:rPr>
              <w:t>。</w:t>
            </w:r>
            <w:r>
              <w:rPr>
                <w:rFonts w:hint="eastAsia"/>
                <w:szCs w:val="21"/>
                <w:lang w:val="en-US" w:eastAsia="zh-CN" w:bidi="ar"/>
              </w:rPr>
              <w:t>满足得6</w:t>
            </w:r>
            <w:r>
              <w:rPr>
                <w:rFonts w:hint="eastAsia"/>
                <w:szCs w:val="21"/>
                <w:lang w:bidi="ar"/>
              </w:rPr>
              <w:t>分；不提供者不得分。</w:t>
            </w:r>
          </w:p>
          <w:p w14:paraId="6CA7661B">
            <w:pPr>
              <w:spacing w:line="380" w:lineRule="exact"/>
              <w:textAlignment w:val="top"/>
              <w:rPr>
                <w:rFonts w:hint="eastAsia" w:ascii="宋体" w:hAnsi="宋体"/>
                <w:szCs w:val="21"/>
                <w:lang w:bidi="ar"/>
              </w:rPr>
            </w:pPr>
            <w:r>
              <w:rPr>
                <w:rFonts w:ascii="宋体" w:hAnsi="宋体"/>
                <w:szCs w:val="21"/>
                <w:lang w:bidi="ar"/>
              </w:rPr>
              <w:t>2.</w:t>
            </w:r>
            <w:r>
              <w:rPr>
                <w:rFonts w:hint="eastAsia" w:ascii="宋体" w:hAnsi="宋体"/>
                <w:szCs w:val="21"/>
                <w:lang w:bidi="ar"/>
              </w:rPr>
              <w:t>拟投入本项目的项目团队（项目负责人除外）：</w:t>
            </w:r>
          </w:p>
          <w:p w14:paraId="70D2BC11">
            <w:pPr>
              <w:spacing w:line="380" w:lineRule="exact"/>
              <w:textAlignment w:val="top"/>
              <w:rPr>
                <w:rFonts w:ascii="宋体" w:hAnsi="宋体"/>
                <w:szCs w:val="21"/>
                <w:lang w:bidi="ar"/>
              </w:rPr>
            </w:pPr>
            <w:r>
              <w:rPr>
                <w:rFonts w:hint="eastAsia" w:ascii="宋体" w:hAnsi="宋体"/>
                <w:szCs w:val="21"/>
                <w:lang w:bidi="ar"/>
              </w:rPr>
              <w:t>需要一个完备的项目技术团队确保项目顺利实施，团队成员中每具有</w:t>
            </w:r>
            <w:r>
              <w:rPr>
                <w:rFonts w:hint="eastAsia" w:ascii="宋体" w:hAnsi="宋体"/>
                <w:szCs w:val="21"/>
                <w:lang w:val="en-US" w:eastAsia="zh-CN" w:bidi="ar"/>
              </w:rPr>
              <w:t>下述任意</w:t>
            </w:r>
            <w:r>
              <w:rPr>
                <w:rFonts w:hint="eastAsia" w:ascii="宋体" w:hAnsi="宋体"/>
                <w:szCs w:val="21"/>
                <w:lang w:bidi="ar"/>
              </w:rPr>
              <w:t>一个</w:t>
            </w:r>
            <w:r>
              <w:rPr>
                <w:rFonts w:hint="eastAsia" w:ascii="宋体" w:hAnsi="宋体"/>
                <w:szCs w:val="21"/>
                <w:lang w:val="en-US" w:eastAsia="zh-CN" w:bidi="ar"/>
              </w:rPr>
              <w:t>证书</w:t>
            </w:r>
            <w:r>
              <w:rPr>
                <w:rFonts w:hint="eastAsia" w:ascii="宋体" w:hAnsi="宋体"/>
                <w:szCs w:val="21"/>
                <w:lang w:eastAsia="zh-CN" w:bidi="ar"/>
              </w:rPr>
              <w:t>：</w:t>
            </w:r>
            <w:r>
              <w:rPr>
                <w:rFonts w:hint="eastAsia" w:ascii="宋体" w:hAnsi="宋体"/>
                <w:szCs w:val="21"/>
                <w:lang w:bidi="ar"/>
              </w:rPr>
              <w:t>系统架构设计师、系统分析师、软件设计师</w:t>
            </w:r>
            <w:r>
              <w:rPr>
                <w:rFonts w:hint="eastAsia" w:ascii="宋体" w:hAnsi="宋体"/>
                <w:szCs w:val="21"/>
                <w:lang w:eastAsia="zh-CN" w:bidi="ar"/>
              </w:rPr>
              <w:t>，</w:t>
            </w:r>
            <w:r>
              <w:rPr>
                <w:rFonts w:hint="eastAsia" w:ascii="宋体" w:hAnsi="宋体"/>
                <w:szCs w:val="21"/>
                <w:lang w:val="en-US" w:eastAsia="zh-CN" w:bidi="ar"/>
              </w:rPr>
              <w:t>得</w:t>
            </w:r>
            <w:r>
              <w:rPr>
                <w:rFonts w:ascii="宋体" w:hAnsi="宋体"/>
                <w:szCs w:val="21"/>
                <w:lang w:bidi="ar"/>
              </w:rPr>
              <w:t>3</w:t>
            </w:r>
            <w:r>
              <w:rPr>
                <w:rFonts w:hint="eastAsia" w:ascii="宋体" w:hAnsi="宋体"/>
                <w:szCs w:val="21"/>
                <w:lang w:bidi="ar"/>
              </w:rPr>
              <w:t>分，一名成员同时具有多个证书按</w:t>
            </w:r>
            <w:r>
              <w:rPr>
                <w:rFonts w:ascii="宋体" w:hAnsi="宋体"/>
                <w:szCs w:val="21"/>
                <w:lang w:bidi="ar"/>
              </w:rPr>
              <w:t>1</w:t>
            </w:r>
            <w:r>
              <w:rPr>
                <w:rFonts w:hint="eastAsia" w:ascii="宋体" w:hAnsi="宋体"/>
                <w:szCs w:val="21"/>
                <w:lang w:bidi="ar"/>
              </w:rPr>
              <w:t>个证书计算，满分</w:t>
            </w:r>
            <w:r>
              <w:rPr>
                <w:rFonts w:hint="eastAsia" w:ascii="宋体" w:hAnsi="宋体"/>
                <w:szCs w:val="21"/>
                <w:lang w:val="en-US" w:eastAsia="zh-CN" w:bidi="ar"/>
              </w:rPr>
              <w:t>6</w:t>
            </w:r>
            <w:r>
              <w:rPr>
                <w:rFonts w:hint="eastAsia" w:ascii="宋体" w:hAnsi="宋体"/>
                <w:szCs w:val="21"/>
                <w:lang w:bidi="ar"/>
              </w:rPr>
              <w:t>分，不满足不得分。</w:t>
            </w:r>
          </w:p>
          <w:p w14:paraId="799B0BF3">
            <w:pPr>
              <w:rPr>
                <w:rFonts w:hint="eastAsia"/>
                <w:lang w:val="en-US" w:eastAsia="zh-CN" w:bidi="ar"/>
              </w:rPr>
            </w:pPr>
            <w:r>
              <w:rPr>
                <w:rFonts w:hint="eastAsia" w:ascii="宋体" w:hAnsi="宋体" w:eastAsia="宋体" w:cs="宋体"/>
                <w:b/>
                <w:bCs/>
                <w:color w:val="FF0000"/>
                <w:kern w:val="0"/>
                <w:sz w:val="21"/>
                <w:szCs w:val="21"/>
                <w:highlight w:val="none"/>
              </w:rPr>
              <w:t>（二）评分依据：</w:t>
            </w:r>
          </w:p>
          <w:p w14:paraId="577EE404">
            <w:pPr>
              <w:rPr>
                <w:rFonts w:hint="eastAsia"/>
                <w:color w:val="FF0000"/>
                <w:lang w:bidi="ar"/>
              </w:rPr>
            </w:pPr>
            <w:r>
              <w:rPr>
                <w:rFonts w:hint="eastAsia"/>
                <w:lang w:val="en-US" w:eastAsia="zh-CN" w:bidi="ar"/>
              </w:rPr>
              <w:t>1.</w:t>
            </w:r>
            <w:r>
              <w:rPr>
                <w:rFonts w:hint="eastAsia"/>
                <w:lang w:bidi="ar"/>
              </w:rPr>
              <w:t>项目负责人和团队成员的资质证书提供复印件及</w:t>
            </w:r>
            <w:r>
              <w:rPr>
                <w:rFonts w:hint="eastAsia" w:asciiTheme="minorEastAsia" w:hAnsiTheme="minorEastAsia" w:eastAsiaTheme="minorEastAsia" w:cstheme="minorEastAsia"/>
                <w:bCs/>
                <w:color w:val="FF0000"/>
                <w:sz w:val="21"/>
                <w:szCs w:val="21"/>
              </w:rPr>
              <w:t>提供通过投标人缴纳的近一个月的社保证明作为本单位员工的证明依据，如供应商成立不足一个月，提供情况说明函(格式自拟)，无需提供相关人员社保，亦可得分</w:t>
            </w:r>
            <w:r>
              <w:rPr>
                <w:rFonts w:hint="eastAsia"/>
                <w:color w:val="FF0000"/>
                <w:lang w:bidi="ar"/>
              </w:rPr>
              <w:t>；</w:t>
            </w:r>
          </w:p>
          <w:p w14:paraId="0A5914F8">
            <w:pPr>
              <w:rPr>
                <w:rFonts w:hint="eastAsia" w:asciiTheme="minorEastAsia" w:hAnsiTheme="minorEastAsia" w:eastAsiaTheme="minorEastAsia" w:cstheme="minorEastAsia"/>
                <w:bCs/>
                <w:color w:val="FF0000"/>
                <w:sz w:val="21"/>
                <w:szCs w:val="21"/>
                <w:lang w:eastAsia="zh-CN"/>
              </w:rPr>
            </w:pPr>
            <w:r>
              <w:rPr>
                <w:rFonts w:hint="eastAsia"/>
                <w:color w:val="FF0000"/>
                <w:lang w:val="en-US" w:eastAsia="zh-CN" w:bidi="ar"/>
              </w:rPr>
              <w:t>2.</w:t>
            </w:r>
            <w:r>
              <w:rPr>
                <w:rFonts w:hint="eastAsia" w:asciiTheme="minorEastAsia" w:hAnsiTheme="minorEastAsia" w:eastAsiaTheme="minorEastAsia" w:cstheme="minorEastAsia"/>
                <w:bCs/>
                <w:color w:val="FF0000"/>
                <w:sz w:val="21"/>
                <w:szCs w:val="21"/>
              </w:rPr>
              <w:t>若人员证书为协会颁发的，则还需要提供该协会在全国社会组织信用信息公示平台（网址https://xxgs.chinanpo.mca.gov.cn)的查询“正常”页面截图</w:t>
            </w:r>
            <w:r>
              <w:rPr>
                <w:rFonts w:hint="eastAsia" w:asciiTheme="minorEastAsia" w:hAnsiTheme="minorEastAsia" w:eastAsiaTheme="minorEastAsia" w:cstheme="minorEastAsia"/>
                <w:bCs/>
                <w:color w:val="FF0000"/>
                <w:sz w:val="21"/>
                <w:szCs w:val="21"/>
                <w:lang w:eastAsia="zh-CN"/>
              </w:rPr>
              <w:t>。</w:t>
            </w:r>
          </w:p>
          <w:p w14:paraId="41D12723">
            <w:pPr>
              <w:rPr>
                <w:rFonts w:hint="default"/>
                <w:lang w:val="en-US" w:eastAsia="zh-CN"/>
              </w:rPr>
            </w:pPr>
            <w:r>
              <w:rPr>
                <w:rFonts w:hint="eastAsia" w:asciiTheme="minorEastAsia" w:hAnsiTheme="minorEastAsia" w:eastAsiaTheme="minorEastAsia" w:cstheme="minorEastAsia"/>
                <w:bCs/>
                <w:color w:val="FF0000"/>
                <w:sz w:val="21"/>
                <w:szCs w:val="21"/>
                <w:lang w:val="en-US" w:eastAsia="zh-CN"/>
              </w:rPr>
              <w:t>3.上述资料均要求提供扫描件，加盖投标人公章。评分中出现无证明资料或者专家无法凭所提供资料判断是否得分的情况，一律做不得分处理。</w:t>
            </w:r>
          </w:p>
        </w:tc>
      </w:tr>
      <w:tr w14:paraId="4980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49A4AA3F">
            <w:pPr>
              <w:jc w:val="center"/>
              <w:rPr>
                <w:rFonts w:hint="eastAsia"/>
                <w:szCs w:val="21"/>
              </w:rPr>
            </w:pPr>
          </w:p>
        </w:tc>
        <w:tc>
          <w:tcPr>
            <w:tcW w:w="638" w:type="dxa"/>
            <w:vAlign w:val="center"/>
          </w:tcPr>
          <w:p w14:paraId="57BE98B8">
            <w:pPr>
              <w:jc w:val="center"/>
              <w:textAlignment w:val="center"/>
              <w:rPr>
                <w:rFonts w:hint="eastAsia" w:eastAsia="宋体"/>
                <w:szCs w:val="21"/>
                <w:lang w:val="en-US" w:eastAsia="zh-CN"/>
              </w:rPr>
            </w:pPr>
            <w:r>
              <w:rPr>
                <w:rFonts w:hint="eastAsia"/>
                <w:szCs w:val="21"/>
                <w:lang w:val="en-US" w:eastAsia="zh-CN"/>
              </w:rPr>
              <w:t>4</w:t>
            </w:r>
          </w:p>
        </w:tc>
        <w:tc>
          <w:tcPr>
            <w:tcW w:w="1115" w:type="dxa"/>
            <w:vAlign w:val="center"/>
          </w:tcPr>
          <w:p w14:paraId="35BBE350">
            <w:pPr>
              <w:jc w:val="center"/>
              <w:textAlignment w:val="center"/>
              <w:rPr>
                <w:rFonts w:hint="default" w:eastAsia="宋体"/>
                <w:szCs w:val="21"/>
                <w:lang w:val="en-US" w:eastAsia="zh-CN" w:bidi="ar"/>
              </w:rPr>
            </w:pPr>
            <w:r>
              <w:rPr>
                <w:rFonts w:hint="eastAsia"/>
                <w:szCs w:val="21"/>
                <w:lang w:val="en-US" w:eastAsia="zh-CN" w:bidi="ar"/>
              </w:rPr>
              <w:t>诚信评价</w:t>
            </w:r>
          </w:p>
        </w:tc>
        <w:tc>
          <w:tcPr>
            <w:tcW w:w="657" w:type="dxa"/>
            <w:vAlign w:val="center"/>
          </w:tcPr>
          <w:p w14:paraId="5E0DDC32">
            <w:pPr>
              <w:jc w:val="center"/>
              <w:textAlignment w:val="center"/>
              <w:rPr>
                <w:rFonts w:hint="default" w:eastAsia="宋体"/>
                <w:szCs w:val="21"/>
                <w:lang w:val="en-US" w:eastAsia="zh-CN" w:bidi="ar"/>
              </w:rPr>
            </w:pPr>
            <w:r>
              <w:rPr>
                <w:rFonts w:hint="eastAsia"/>
                <w:szCs w:val="21"/>
                <w:lang w:val="en-US" w:eastAsia="zh-CN" w:bidi="ar"/>
              </w:rPr>
              <w:t>5</w:t>
            </w:r>
          </w:p>
        </w:tc>
        <w:tc>
          <w:tcPr>
            <w:tcW w:w="1108" w:type="dxa"/>
            <w:vAlign w:val="center"/>
          </w:tcPr>
          <w:p w14:paraId="1B8D26BA">
            <w:pPr>
              <w:jc w:val="center"/>
              <w:textAlignment w:val="center"/>
              <w:rPr>
                <w:rFonts w:hint="eastAsia"/>
                <w:szCs w:val="21"/>
                <w:lang w:bidi="ar"/>
              </w:rPr>
            </w:pPr>
            <w:r>
              <w:rPr>
                <w:rFonts w:hint="eastAsia" w:ascii="宋体" w:hAnsi="宋体"/>
                <w:szCs w:val="21"/>
                <w:lang w:bidi="ar"/>
              </w:rPr>
              <w:t>专家打分</w:t>
            </w:r>
          </w:p>
        </w:tc>
        <w:tc>
          <w:tcPr>
            <w:tcW w:w="4976" w:type="dxa"/>
          </w:tcPr>
          <w:p w14:paraId="366ECD7B">
            <w:pPr>
              <w:rPr>
                <w:rFonts w:hint="eastAsia" w:asciiTheme="minorEastAsia" w:hAnsiTheme="minorEastAsia" w:eastAsiaTheme="minorEastAsia" w:cstheme="minorEastAsia"/>
                <w:bCs/>
                <w:color w:val="FF0000"/>
                <w:sz w:val="21"/>
                <w:szCs w:val="21"/>
                <w:lang w:val="en-US" w:eastAsia="zh-CN"/>
              </w:rPr>
            </w:pPr>
            <w:r>
              <w:rPr>
                <w:rFonts w:hint="eastAsia" w:ascii="宋体" w:hAnsi="宋体" w:eastAsia="宋体" w:cs="宋体"/>
                <w:sz w:val="21"/>
                <w:szCs w:val="21"/>
                <w:highlight w:val="none"/>
                <w:lang w:val="en-US" w:eastAsia="zh-CN" w:bidi="ar"/>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采购代理机构通过“信用中国”“中国政府采购网”、“深圳市政府采购监管网”以及市、区财政部门认定的其他渠道查询供应商信用信息，投标人无需提供证明材料。)</w:t>
            </w:r>
          </w:p>
        </w:tc>
      </w:tr>
      <w:tr w14:paraId="3FC8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restart"/>
            <w:vAlign w:val="center"/>
          </w:tcPr>
          <w:p w14:paraId="30DA05B3">
            <w:pPr>
              <w:jc w:val="center"/>
              <w:textAlignment w:val="center"/>
              <w:rPr>
                <w:rFonts w:hint="eastAsia"/>
                <w:szCs w:val="21"/>
              </w:rPr>
            </w:pPr>
            <w:r>
              <w:rPr>
                <w:rFonts w:hint="eastAsia"/>
                <w:szCs w:val="21"/>
                <w:lang w:bidi="ar"/>
              </w:rPr>
              <w:t>三</w:t>
            </w:r>
          </w:p>
        </w:tc>
        <w:tc>
          <w:tcPr>
            <w:tcW w:w="3518" w:type="dxa"/>
            <w:gridSpan w:val="4"/>
            <w:vAlign w:val="center"/>
          </w:tcPr>
          <w:p w14:paraId="37196118">
            <w:pPr>
              <w:jc w:val="center"/>
              <w:textAlignment w:val="center"/>
              <w:rPr>
                <w:rFonts w:hint="eastAsia"/>
                <w:b/>
                <w:bCs/>
                <w:szCs w:val="21"/>
              </w:rPr>
            </w:pPr>
            <w:r>
              <w:rPr>
                <w:rFonts w:hint="eastAsia"/>
                <w:b/>
                <w:bCs/>
                <w:szCs w:val="21"/>
                <w:lang w:bidi="ar"/>
              </w:rPr>
              <w:t>技术部分</w:t>
            </w:r>
          </w:p>
        </w:tc>
        <w:tc>
          <w:tcPr>
            <w:tcW w:w="4976" w:type="dxa"/>
          </w:tcPr>
          <w:p w14:paraId="63AEB0FB">
            <w:pPr>
              <w:jc w:val="center"/>
              <w:textAlignment w:val="top"/>
              <w:rPr>
                <w:rFonts w:hint="eastAsia"/>
                <w:b/>
                <w:bCs/>
                <w:szCs w:val="21"/>
              </w:rPr>
            </w:pPr>
            <w:r>
              <w:rPr>
                <w:rFonts w:hint="eastAsia"/>
                <w:b/>
                <w:bCs/>
                <w:szCs w:val="21"/>
                <w:lang w:val="en-US" w:eastAsia="zh-CN" w:bidi="ar"/>
              </w:rPr>
              <w:t>60</w:t>
            </w:r>
          </w:p>
        </w:tc>
      </w:tr>
      <w:tr w14:paraId="2BA3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vAlign w:val="center"/>
          </w:tcPr>
          <w:p w14:paraId="0783D314">
            <w:pPr>
              <w:jc w:val="center"/>
              <w:rPr>
                <w:rFonts w:hint="eastAsia"/>
                <w:szCs w:val="21"/>
              </w:rPr>
            </w:pPr>
          </w:p>
        </w:tc>
        <w:tc>
          <w:tcPr>
            <w:tcW w:w="638" w:type="dxa"/>
            <w:vAlign w:val="center"/>
          </w:tcPr>
          <w:p w14:paraId="6745553E">
            <w:pPr>
              <w:jc w:val="center"/>
              <w:textAlignment w:val="center"/>
              <w:rPr>
                <w:rFonts w:hint="eastAsia"/>
                <w:szCs w:val="21"/>
              </w:rPr>
            </w:pPr>
            <w:r>
              <w:rPr>
                <w:rFonts w:hint="eastAsia"/>
                <w:szCs w:val="21"/>
                <w:lang w:bidi="ar"/>
              </w:rPr>
              <w:t>序号</w:t>
            </w:r>
          </w:p>
        </w:tc>
        <w:tc>
          <w:tcPr>
            <w:tcW w:w="1115" w:type="dxa"/>
            <w:vAlign w:val="center"/>
          </w:tcPr>
          <w:p w14:paraId="69E42774">
            <w:pPr>
              <w:jc w:val="center"/>
              <w:textAlignment w:val="center"/>
              <w:rPr>
                <w:rFonts w:hint="eastAsia"/>
                <w:szCs w:val="21"/>
              </w:rPr>
            </w:pPr>
            <w:r>
              <w:rPr>
                <w:rFonts w:hint="eastAsia"/>
                <w:szCs w:val="21"/>
                <w:lang w:bidi="ar"/>
              </w:rPr>
              <w:t>评分因素</w:t>
            </w:r>
          </w:p>
        </w:tc>
        <w:tc>
          <w:tcPr>
            <w:tcW w:w="657" w:type="dxa"/>
            <w:vAlign w:val="center"/>
          </w:tcPr>
          <w:p w14:paraId="70CA779C">
            <w:pPr>
              <w:jc w:val="center"/>
              <w:textAlignment w:val="center"/>
              <w:rPr>
                <w:rFonts w:hint="eastAsia"/>
                <w:szCs w:val="21"/>
              </w:rPr>
            </w:pPr>
            <w:r>
              <w:rPr>
                <w:rFonts w:hint="eastAsia"/>
                <w:szCs w:val="21"/>
                <w:lang w:bidi="ar"/>
              </w:rPr>
              <w:t>权重</w:t>
            </w:r>
          </w:p>
        </w:tc>
        <w:tc>
          <w:tcPr>
            <w:tcW w:w="1108" w:type="dxa"/>
            <w:vAlign w:val="center"/>
          </w:tcPr>
          <w:p w14:paraId="225BA026">
            <w:pPr>
              <w:jc w:val="center"/>
              <w:textAlignment w:val="center"/>
              <w:rPr>
                <w:rFonts w:hint="eastAsia"/>
                <w:szCs w:val="21"/>
              </w:rPr>
            </w:pPr>
            <w:r>
              <w:rPr>
                <w:rFonts w:hint="eastAsia"/>
                <w:szCs w:val="21"/>
                <w:lang w:bidi="ar"/>
              </w:rPr>
              <w:t>评分方式</w:t>
            </w:r>
          </w:p>
        </w:tc>
        <w:tc>
          <w:tcPr>
            <w:tcW w:w="4976" w:type="dxa"/>
          </w:tcPr>
          <w:p w14:paraId="301B8AAD">
            <w:pPr>
              <w:jc w:val="center"/>
              <w:textAlignment w:val="top"/>
              <w:rPr>
                <w:rFonts w:hint="eastAsia"/>
                <w:szCs w:val="21"/>
              </w:rPr>
            </w:pPr>
            <w:r>
              <w:rPr>
                <w:rFonts w:hint="eastAsia"/>
                <w:szCs w:val="21"/>
                <w:lang w:bidi="ar"/>
              </w:rPr>
              <w:t>评分准则</w:t>
            </w:r>
          </w:p>
        </w:tc>
      </w:tr>
      <w:tr w14:paraId="5343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vAlign w:val="center"/>
          </w:tcPr>
          <w:p w14:paraId="495C2288">
            <w:pPr>
              <w:jc w:val="center"/>
              <w:rPr>
                <w:rFonts w:hint="eastAsia"/>
                <w:szCs w:val="21"/>
              </w:rPr>
            </w:pPr>
          </w:p>
        </w:tc>
        <w:tc>
          <w:tcPr>
            <w:tcW w:w="638" w:type="dxa"/>
            <w:vAlign w:val="center"/>
          </w:tcPr>
          <w:p w14:paraId="6EA5A49A">
            <w:pPr>
              <w:jc w:val="center"/>
              <w:textAlignment w:val="center"/>
              <w:rPr>
                <w:rFonts w:hint="eastAsia"/>
                <w:szCs w:val="21"/>
              </w:rPr>
            </w:pPr>
            <w:r>
              <w:rPr>
                <w:rFonts w:hint="eastAsia"/>
                <w:szCs w:val="21"/>
                <w:lang w:bidi="ar"/>
              </w:rPr>
              <w:t>1</w:t>
            </w:r>
          </w:p>
        </w:tc>
        <w:tc>
          <w:tcPr>
            <w:tcW w:w="1115" w:type="dxa"/>
            <w:vAlign w:val="center"/>
          </w:tcPr>
          <w:p w14:paraId="63A8A90B">
            <w:pPr>
              <w:jc w:val="center"/>
              <w:textAlignment w:val="center"/>
              <w:rPr>
                <w:rFonts w:hint="eastAsia"/>
                <w:szCs w:val="21"/>
              </w:rPr>
            </w:pPr>
            <w:r>
              <w:rPr>
                <w:rFonts w:hint="eastAsia"/>
                <w:szCs w:val="21"/>
                <w:lang w:bidi="ar"/>
              </w:rPr>
              <w:t>运维服务内容要求满足度</w:t>
            </w:r>
          </w:p>
        </w:tc>
        <w:tc>
          <w:tcPr>
            <w:tcW w:w="657" w:type="dxa"/>
            <w:vAlign w:val="center"/>
          </w:tcPr>
          <w:p w14:paraId="586A0A00">
            <w:pPr>
              <w:jc w:val="center"/>
              <w:textAlignment w:val="center"/>
              <w:rPr>
                <w:rFonts w:hint="eastAsia"/>
                <w:szCs w:val="21"/>
              </w:rPr>
            </w:pPr>
            <w:r>
              <w:rPr>
                <w:szCs w:val="21"/>
                <w:lang w:bidi="ar"/>
              </w:rPr>
              <w:t>2</w:t>
            </w:r>
            <w:r>
              <w:rPr>
                <w:rFonts w:hint="eastAsia"/>
                <w:szCs w:val="21"/>
                <w:lang w:bidi="ar"/>
              </w:rPr>
              <w:t>0</w:t>
            </w:r>
          </w:p>
        </w:tc>
        <w:tc>
          <w:tcPr>
            <w:tcW w:w="1108" w:type="dxa"/>
            <w:vAlign w:val="center"/>
          </w:tcPr>
          <w:p w14:paraId="770E7744">
            <w:pPr>
              <w:jc w:val="center"/>
              <w:textAlignment w:val="center"/>
              <w:rPr>
                <w:rFonts w:hint="eastAsia"/>
                <w:szCs w:val="21"/>
              </w:rPr>
            </w:pPr>
            <w:r>
              <w:rPr>
                <w:rFonts w:hint="eastAsia"/>
                <w:szCs w:val="21"/>
                <w:lang w:bidi="ar"/>
              </w:rPr>
              <w:t>专家打分</w:t>
            </w:r>
          </w:p>
        </w:tc>
        <w:tc>
          <w:tcPr>
            <w:tcW w:w="4976" w:type="dxa"/>
          </w:tcPr>
          <w:p w14:paraId="56607E64">
            <w:pPr>
              <w:textAlignment w:val="top"/>
              <w:rPr>
                <w:rFonts w:hint="eastAsia"/>
                <w:szCs w:val="21"/>
                <w:lang w:bidi="ar"/>
              </w:rPr>
            </w:pPr>
            <w:r>
              <w:rPr>
                <w:rFonts w:hint="eastAsia" w:asciiTheme="minorEastAsia" w:hAnsiTheme="minorEastAsia" w:eastAsiaTheme="minorEastAsia" w:cstheme="minorEastAsia"/>
                <w:b/>
                <w:color w:val="FF0000"/>
                <w:sz w:val="21"/>
                <w:szCs w:val="21"/>
              </w:rPr>
              <w:t>（一）评分内容：</w:t>
            </w:r>
          </w:p>
          <w:p w14:paraId="010260AC">
            <w:pPr>
              <w:textAlignment w:val="top"/>
              <w:rPr>
                <w:rFonts w:hint="eastAsia"/>
                <w:szCs w:val="21"/>
                <w:lang w:bidi="ar"/>
              </w:rPr>
            </w:pPr>
            <w:r>
              <w:rPr>
                <w:rFonts w:hint="eastAsia" w:ascii="宋体" w:hAnsi="宋体" w:eastAsia="宋体" w:cs="宋体"/>
                <w:color w:val="FF0000"/>
                <w:sz w:val="21"/>
                <w:szCs w:val="21"/>
                <w:highlight w:val="none"/>
                <w:lang w:val="en-US" w:eastAsia="zh-CN"/>
              </w:rPr>
              <w:t>投标人应如是填写《用户需求偏离表》评审专家</w:t>
            </w:r>
            <w:r>
              <w:rPr>
                <w:rFonts w:hint="eastAsia"/>
                <w:szCs w:val="21"/>
                <w:lang w:bidi="ar"/>
              </w:rPr>
              <w:t>根据对</w:t>
            </w:r>
            <w:r>
              <w:rPr>
                <w:rFonts w:hint="eastAsia"/>
                <w:color w:val="00B050"/>
                <w:szCs w:val="21"/>
                <w:lang w:val="en-US" w:eastAsia="zh-CN" w:bidi="ar"/>
              </w:rPr>
              <w:t>投标人对</w:t>
            </w:r>
            <w:r>
              <w:rPr>
                <w:rFonts w:hint="eastAsia"/>
                <w:szCs w:val="21"/>
                <w:lang w:bidi="ar"/>
              </w:rPr>
              <w:t>采购文件运维服务内容的响应程度进行评分：每有一项带“</w:t>
            </w:r>
            <w:bookmarkStart w:id="1" w:name="OLE_LINK2"/>
            <w:r>
              <w:rPr>
                <w:rFonts w:hint="eastAsia"/>
                <w:szCs w:val="21"/>
                <w:lang w:bidi="ar"/>
              </w:rPr>
              <w:t>▲</w:t>
            </w:r>
            <w:bookmarkEnd w:id="1"/>
            <w:r>
              <w:rPr>
                <w:rFonts w:hint="eastAsia"/>
                <w:szCs w:val="21"/>
                <w:lang w:bidi="ar"/>
              </w:rPr>
              <w:t>”项</w:t>
            </w:r>
            <w:bookmarkStart w:id="2" w:name="OLE_LINK29"/>
            <w:r>
              <w:rPr>
                <w:rFonts w:hint="eastAsia"/>
                <w:szCs w:val="21"/>
                <w:lang w:bidi="ar"/>
              </w:rPr>
              <w:t>不满足或者未实质性响应的</w:t>
            </w:r>
            <w:bookmarkEnd w:id="2"/>
            <w:r>
              <w:rPr>
                <w:rFonts w:hint="eastAsia"/>
                <w:szCs w:val="21"/>
                <w:lang w:bidi="ar"/>
              </w:rPr>
              <w:t>，扣</w:t>
            </w:r>
            <w:r>
              <w:rPr>
                <w:szCs w:val="21"/>
                <w:lang w:bidi="ar"/>
              </w:rPr>
              <w:t>3</w:t>
            </w:r>
            <w:r>
              <w:rPr>
                <w:rFonts w:hint="eastAsia"/>
                <w:szCs w:val="21"/>
                <w:lang w:bidi="ar"/>
              </w:rPr>
              <w:t>分，其他每一项不满足或者未实质性响应的扣</w:t>
            </w:r>
            <w:r>
              <w:rPr>
                <w:szCs w:val="21"/>
                <w:lang w:bidi="ar"/>
              </w:rPr>
              <w:t>2</w:t>
            </w:r>
            <w:r>
              <w:rPr>
                <w:rFonts w:hint="eastAsia"/>
                <w:szCs w:val="21"/>
                <w:lang w:bidi="ar"/>
              </w:rPr>
              <w:t>分，扣完为止。</w:t>
            </w:r>
          </w:p>
          <w:p w14:paraId="226EDA00">
            <w:pPr>
              <w:widowControl/>
              <w:spacing w:line="240" w:lineRule="auto"/>
              <w:jc w:val="left"/>
              <w:rPr>
                <w:rFonts w:hint="eastAsia" w:ascii="宋体" w:hAnsi="宋体" w:eastAsia="宋体" w:cs="宋体"/>
                <w:b/>
                <w:bCs/>
                <w:color w:val="FF0000"/>
                <w:kern w:val="0"/>
                <w:sz w:val="21"/>
                <w:szCs w:val="21"/>
                <w:highlight w:val="none"/>
              </w:rPr>
            </w:pPr>
            <w:r>
              <w:rPr>
                <w:rFonts w:hint="eastAsia" w:ascii="宋体" w:hAnsi="宋体" w:eastAsia="宋体" w:cs="宋体"/>
                <w:b/>
                <w:bCs/>
                <w:color w:val="FF0000"/>
                <w:kern w:val="0"/>
                <w:sz w:val="21"/>
                <w:szCs w:val="21"/>
                <w:highlight w:val="none"/>
              </w:rPr>
              <w:t>（二）评分依据：</w:t>
            </w:r>
          </w:p>
          <w:p w14:paraId="550D8894">
            <w:pPr>
              <w:pStyle w:val="7"/>
              <w:spacing w:line="240" w:lineRule="auto"/>
              <w:ind w:firstLine="0"/>
              <w:rPr>
                <w:rFonts w:hint="eastAsia" w:ascii="宋体" w:hAnsi="宋体" w:eastAsia="宋体" w:cs="宋体"/>
                <w:color w:val="00B050"/>
                <w:sz w:val="21"/>
                <w:szCs w:val="21"/>
                <w:highlight w:val="none"/>
              </w:rPr>
            </w:pPr>
            <w:r>
              <w:rPr>
                <w:rFonts w:hint="eastAsia" w:ascii="宋体" w:hAnsi="宋体" w:eastAsia="宋体" w:cs="宋体"/>
                <w:color w:val="FF0000"/>
                <w:sz w:val="21"/>
                <w:szCs w:val="21"/>
                <w:highlight w:val="none"/>
              </w:rPr>
              <w:t>偏离表应如实对应填写所投产品的具体参数。如要求提供“厂家网站截图/说明书/厂家出具的参数文件/检验报告”等证明资料的，需按要求提供相关证明资料；提供的证明资料与所填写内容不一致的，以证明资料为准。证明材料不能满足招标要求的，该项按负偏离处理。未提供或未按要求提供或提供的不清晰导致专家无法判断的，不得分</w:t>
            </w:r>
            <w:r>
              <w:rPr>
                <w:rFonts w:hint="eastAsia" w:ascii="宋体" w:hAnsi="宋体" w:eastAsia="宋体" w:cs="宋体"/>
                <w:color w:val="FF0000"/>
                <w:sz w:val="21"/>
                <w:szCs w:val="21"/>
                <w:highlight w:val="none"/>
                <w:lang w:eastAsia="zh-CN"/>
              </w:rPr>
              <w:t>。</w:t>
            </w:r>
          </w:p>
          <w:p w14:paraId="57E7F0B8">
            <w:pPr>
              <w:pStyle w:val="2"/>
              <w:rPr>
                <w:rFonts w:hint="eastAsia"/>
              </w:rPr>
            </w:pPr>
            <w:r>
              <w:rPr>
                <w:rFonts w:hint="eastAsia" w:ascii="宋体" w:hAnsi="宋体" w:eastAsia="宋体" w:cs="宋体"/>
                <w:b/>
                <w:bCs/>
                <w:color w:val="FF0000"/>
                <w:sz w:val="21"/>
                <w:szCs w:val="21"/>
                <w:highlight w:val="none"/>
              </w:rPr>
              <w:t>提示：投标人的</w:t>
            </w:r>
            <w:r>
              <w:rPr>
                <w:rFonts w:hint="eastAsia" w:ascii="宋体" w:hAnsi="宋体" w:eastAsia="宋体" w:cs="宋体"/>
                <w:b/>
                <w:bCs/>
                <w:color w:val="FF0000"/>
                <w:sz w:val="21"/>
                <w:szCs w:val="21"/>
                <w:highlight w:val="none"/>
                <w:lang w:val="en-US" w:eastAsia="zh-CN"/>
              </w:rPr>
              <w:t>“《用户需求偏离表》”</w:t>
            </w:r>
            <w:r>
              <w:rPr>
                <w:rFonts w:hint="eastAsia" w:ascii="宋体" w:hAnsi="宋体" w:eastAsia="宋体" w:cs="宋体"/>
                <w:b/>
                <w:bCs/>
                <w:color w:val="FF0000"/>
                <w:sz w:val="21"/>
                <w:szCs w:val="21"/>
                <w:highlight w:val="none"/>
              </w:rPr>
              <w:t>必须与客观实际保持一致，响应不实且情节严重的，经查实，将依法记入供应商诚信档案或受到行政处罚。</w:t>
            </w:r>
          </w:p>
        </w:tc>
      </w:tr>
      <w:tr w14:paraId="70E4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vAlign w:val="center"/>
          </w:tcPr>
          <w:p w14:paraId="573E624D">
            <w:pPr>
              <w:jc w:val="center"/>
              <w:rPr>
                <w:rFonts w:hint="eastAsia"/>
                <w:szCs w:val="21"/>
              </w:rPr>
            </w:pPr>
          </w:p>
        </w:tc>
        <w:tc>
          <w:tcPr>
            <w:tcW w:w="638" w:type="dxa"/>
            <w:vAlign w:val="center"/>
          </w:tcPr>
          <w:p w14:paraId="0F4E0E13">
            <w:pPr>
              <w:jc w:val="center"/>
              <w:textAlignment w:val="center"/>
              <w:rPr>
                <w:rFonts w:hint="eastAsia"/>
                <w:szCs w:val="21"/>
              </w:rPr>
            </w:pPr>
            <w:r>
              <w:rPr>
                <w:rFonts w:hint="eastAsia"/>
                <w:szCs w:val="21"/>
                <w:lang w:bidi="ar"/>
              </w:rPr>
              <w:t>2</w:t>
            </w:r>
          </w:p>
        </w:tc>
        <w:tc>
          <w:tcPr>
            <w:tcW w:w="1115" w:type="dxa"/>
            <w:vAlign w:val="center"/>
          </w:tcPr>
          <w:p w14:paraId="407EAA2C">
            <w:pPr>
              <w:jc w:val="center"/>
              <w:textAlignment w:val="center"/>
              <w:rPr>
                <w:rFonts w:hint="eastAsia"/>
                <w:szCs w:val="21"/>
              </w:rPr>
            </w:pPr>
            <w:r>
              <w:rPr>
                <w:rFonts w:hint="eastAsia"/>
                <w:szCs w:val="21"/>
                <w:lang w:bidi="ar"/>
              </w:rPr>
              <w:t>项目实施方案</w:t>
            </w:r>
          </w:p>
        </w:tc>
        <w:tc>
          <w:tcPr>
            <w:tcW w:w="657" w:type="dxa"/>
            <w:vAlign w:val="center"/>
          </w:tcPr>
          <w:p w14:paraId="56532776">
            <w:pPr>
              <w:jc w:val="center"/>
              <w:textAlignment w:val="center"/>
              <w:rPr>
                <w:rFonts w:hint="eastAsia"/>
                <w:szCs w:val="21"/>
              </w:rPr>
            </w:pPr>
            <w:r>
              <w:rPr>
                <w:rFonts w:hint="eastAsia"/>
                <w:szCs w:val="21"/>
                <w:lang w:val="en-US" w:eastAsia="zh-CN" w:bidi="ar"/>
              </w:rPr>
              <w:t>10</w:t>
            </w:r>
          </w:p>
        </w:tc>
        <w:tc>
          <w:tcPr>
            <w:tcW w:w="1108" w:type="dxa"/>
            <w:vAlign w:val="center"/>
          </w:tcPr>
          <w:p w14:paraId="4F1DACAA">
            <w:pPr>
              <w:jc w:val="center"/>
              <w:textAlignment w:val="center"/>
              <w:rPr>
                <w:rFonts w:hint="eastAsia"/>
                <w:szCs w:val="21"/>
              </w:rPr>
            </w:pPr>
            <w:r>
              <w:rPr>
                <w:rFonts w:hint="eastAsia"/>
                <w:szCs w:val="21"/>
                <w:lang w:bidi="ar"/>
              </w:rPr>
              <w:t>专家打分</w:t>
            </w:r>
          </w:p>
        </w:tc>
        <w:tc>
          <w:tcPr>
            <w:tcW w:w="4976" w:type="dxa"/>
          </w:tcPr>
          <w:p w14:paraId="1CEB3542">
            <w:pPr>
              <w:textAlignment w:val="top"/>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（一）评分内容：</w:t>
            </w:r>
          </w:p>
          <w:p w14:paraId="4075C495">
            <w:pPr>
              <w:textAlignment w:val="top"/>
              <w:rPr>
                <w:rFonts w:hint="eastAsia"/>
                <w:szCs w:val="21"/>
                <w:lang w:bidi="ar"/>
              </w:rPr>
            </w:pPr>
            <w:r>
              <w:rPr>
                <w:rFonts w:hint="eastAsia"/>
                <w:szCs w:val="21"/>
                <w:lang w:bidi="ar"/>
              </w:rPr>
              <w:t>根据投标人提供的项目实施方案（应包括但不限于①组织实施和项目管理承诺、②实施管理框架及内容体系、③项目范围管理、④项目整体管理、⑤项目变更管理、⑥项目组织管理、⑦项目进度管理、⑧项目风险管理、⑨质量安全管理）进行综合评审：</w:t>
            </w:r>
          </w:p>
          <w:p w14:paraId="6407D043">
            <w:pPr>
              <w:keepNext w:val="0"/>
              <w:keepLines w:val="0"/>
              <w:pageBreakBefore w:val="0"/>
              <w:widowControl/>
              <w:kinsoku/>
              <w:overflowPunct/>
              <w:topLinePunct w:val="0"/>
              <w:autoSpaceDE/>
              <w:autoSpaceDN/>
              <w:bidi w:val="0"/>
              <w:adjustRightInd/>
              <w:snapToGrid/>
              <w:spacing w:line="240" w:lineRule="auto"/>
              <w:jc w:val="left"/>
              <w:textAlignment w:val="top"/>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
                <w:color w:val="FF0000"/>
                <w:sz w:val="21"/>
                <w:szCs w:val="21"/>
              </w:rPr>
              <w:t>（二）评分依据：</w:t>
            </w:r>
            <w:r>
              <w:rPr>
                <w:rFonts w:hint="eastAsia" w:asciiTheme="minorEastAsia" w:hAnsiTheme="minorEastAsia" w:eastAsiaTheme="minorEastAsia" w:cstheme="minorEastAsia"/>
                <w:b w:val="0"/>
                <w:bCs/>
                <w:color w:val="FF0000"/>
                <w:sz w:val="21"/>
                <w:szCs w:val="21"/>
                <w:lang w:val="en-US" w:eastAsia="zh-CN"/>
              </w:rPr>
              <w:t>每</w:t>
            </w:r>
            <w:r>
              <w:rPr>
                <w:rFonts w:hint="eastAsia" w:asciiTheme="minorEastAsia" w:hAnsiTheme="minorEastAsia" w:eastAsiaTheme="minorEastAsia" w:cstheme="minorEastAsia"/>
                <w:bCs/>
                <w:color w:val="FF0000"/>
                <w:sz w:val="21"/>
                <w:szCs w:val="21"/>
              </w:rPr>
              <w:t>满足</w:t>
            </w:r>
            <w:r>
              <w:rPr>
                <w:rFonts w:hint="eastAsia" w:asciiTheme="minorEastAsia" w:hAnsiTheme="minorEastAsia" w:eastAsiaTheme="minorEastAsia" w:cstheme="minorEastAsia"/>
                <w:bCs/>
                <w:color w:val="FF0000"/>
                <w:sz w:val="21"/>
                <w:szCs w:val="21"/>
                <w:lang w:val="en-US" w:eastAsia="zh-CN"/>
              </w:rPr>
              <w:t>一</w:t>
            </w:r>
            <w:r>
              <w:rPr>
                <w:rFonts w:hint="eastAsia" w:asciiTheme="minorEastAsia" w:hAnsiTheme="minorEastAsia" w:eastAsiaTheme="minorEastAsia" w:cstheme="minorEastAsia"/>
                <w:bCs/>
                <w:color w:val="FF0000"/>
                <w:sz w:val="21"/>
                <w:szCs w:val="21"/>
              </w:rPr>
              <w:t>点得</w:t>
            </w:r>
            <w:r>
              <w:rPr>
                <w:rFonts w:hint="eastAsia" w:asciiTheme="minorEastAsia" w:hAnsiTheme="minorEastAsia" w:eastAsiaTheme="minorEastAsia" w:cstheme="minorEastAsia"/>
                <w:bCs/>
                <w:color w:val="FF0000"/>
                <w:sz w:val="21"/>
                <w:szCs w:val="21"/>
                <w:lang w:val="en-US" w:eastAsia="zh-CN"/>
              </w:rPr>
              <w:t>0.6</w:t>
            </w:r>
            <w:r>
              <w:rPr>
                <w:rFonts w:hint="eastAsia" w:asciiTheme="minorEastAsia" w:hAnsiTheme="minorEastAsia" w:eastAsiaTheme="minorEastAsia" w:cstheme="minorEastAsia"/>
                <w:bCs/>
                <w:color w:val="FF0000"/>
                <w:sz w:val="21"/>
                <w:szCs w:val="21"/>
              </w:rPr>
              <w:t>分，</w:t>
            </w:r>
            <w:r>
              <w:rPr>
                <w:rFonts w:hint="eastAsia" w:asciiTheme="minorEastAsia" w:hAnsiTheme="minorEastAsia" w:eastAsiaTheme="minorEastAsia" w:cstheme="minorEastAsia"/>
                <w:bCs/>
                <w:color w:val="FF0000"/>
                <w:sz w:val="21"/>
                <w:szCs w:val="21"/>
                <w:lang w:val="en-US" w:eastAsia="zh-CN"/>
              </w:rPr>
              <w:t>最高</w:t>
            </w:r>
            <w:r>
              <w:rPr>
                <w:rFonts w:hint="eastAsia" w:asciiTheme="minorEastAsia" w:hAnsiTheme="minorEastAsia" w:eastAsiaTheme="minorEastAsia" w:cstheme="minorEastAsia"/>
                <w:bCs/>
                <w:color w:val="FF0000"/>
                <w:sz w:val="21"/>
                <w:szCs w:val="21"/>
              </w:rPr>
              <w:t>得</w:t>
            </w:r>
            <w:r>
              <w:rPr>
                <w:rFonts w:hint="eastAsia" w:asciiTheme="minorEastAsia" w:hAnsiTheme="minorEastAsia" w:eastAsiaTheme="minorEastAsia" w:cstheme="minorEastAsia"/>
                <w:bCs/>
                <w:color w:val="FF0000"/>
                <w:sz w:val="21"/>
                <w:szCs w:val="21"/>
                <w:lang w:val="en-US" w:eastAsia="zh-CN"/>
              </w:rPr>
              <w:t>5.4</w:t>
            </w:r>
            <w:r>
              <w:rPr>
                <w:rFonts w:hint="eastAsia" w:asciiTheme="minorEastAsia" w:hAnsiTheme="minorEastAsia" w:eastAsiaTheme="minorEastAsia" w:cstheme="minorEastAsia"/>
                <w:bCs/>
                <w:color w:val="FF0000"/>
                <w:sz w:val="21"/>
                <w:szCs w:val="21"/>
              </w:rPr>
              <w:t>分，在此基础上，根据供应商的具体响应内容按照量化的评审因素指标进一步评审：</w:t>
            </w:r>
          </w:p>
          <w:p w14:paraId="6087AE68">
            <w:pPr>
              <w:keepNext w:val="0"/>
              <w:keepLines w:val="0"/>
              <w:pageBreakBefore w:val="0"/>
              <w:widowControl/>
              <w:kinsoku/>
              <w:overflowPunct/>
              <w:topLinePunct w:val="0"/>
              <w:autoSpaceDE/>
              <w:autoSpaceDN/>
              <w:bidi w:val="0"/>
              <w:adjustRightInd/>
              <w:snapToGrid/>
              <w:spacing w:line="240" w:lineRule="auto"/>
              <w:jc w:val="left"/>
              <w:textAlignment w:val="top"/>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1.方案整体科学合理、针对性强、可操作性强，评审为优的，加</w:t>
            </w:r>
            <w:r>
              <w:rPr>
                <w:rFonts w:hint="eastAsia" w:asciiTheme="minorEastAsia" w:hAnsiTheme="minorEastAsia" w:eastAsiaTheme="minorEastAsia" w:cstheme="minorEastAsia"/>
                <w:bCs/>
                <w:color w:val="FF0000"/>
                <w:sz w:val="21"/>
                <w:szCs w:val="21"/>
                <w:lang w:val="en-US" w:eastAsia="zh-CN"/>
              </w:rPr>
              <w:t>4.6</w:t>
            </w:r>
            <w:r>
              <w:rPr>
                <w:rFonts w:hint="eastAsia" w:asciiTheme="minorEastAsia" w:hAnsiTheme="minorEastAsia" w:eastAsiaTheme="minorEastAsia" w:cstheme="minorEastAsia"/>
                <w:bCs/>
                <w:color w:val="FF0000"/>
                <w:sz w:val="21"/>
                <w:szCs w:val="21"/>
              </w:rPr>
              <w:t>分；</w:t>
            </w:r>
          </w:p>
          <w:p w14:paraId="60DBD9E5">
            <w:pPr>
              <w:keepNext w:val="0"/>
              <w:keepLines w:val="0"/>
              <w:pageBreakBefore w:val="0"/>
              <w:widowControl/>
              <w:kinsoku/>
              <w:overflowPunct/>
              <w:topLinePunct w:val="0"/>
              <w:autoSpaceDE/>
              <w:autoSpaceDN/>
              <w:bidi w:val="0"/>
              <w:adjustRightInd/>
              <w:snapToGrid/>
              <w:spacing w:line="240" w:lineRule="auto"/>
              <w:jc w:val="left"/>
              <w:textAlignment w:val="top"/>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2.方案较合理、有一定针对性、一定可操作性，评审为良的，加</w:t>
            </w:r>
            <w:r>
              <w:rPr>
                <w:rFonts w:hint="eastAsia" w:asciiTheme="minorEastAsia" w:hAnsiTheme="minorEastAsia" w:eastAsiaTheme="minorEastAsia" w:cstheme="minorEastAsia"/>
                <w:bCs/>
                <w:color w:val="FF0000"/>
                <w:sz w:val="21"/>
                <w:szCs w:val="21"/>
                <w:lang w:val="en-US" w:eastAsia="zh-CN"/>
              </w:rPr>
              <w:t>2</w:t>
            </w:r>
            <w:r>
              <w:rPr>
                <w:rFonts w:hint="eastAsia" w:asciiTheme="minorEastAsia" w:hAnsiTheme="minorEastAsia" w:eastAsiaTheme="minorEastAsia" w:cstheme="minorEastAsia"/>
                <w:bCs/>
                <w:color w:val="FF0000"/>
                <w:sz w:val="21"/>
                <w:szCs w:val="21"/>
              </w:rPr>
              <w:t>分；</w:t>
            </w:r>
          </w:p>
          <w:p w14:paraId="2B72317D">
            <w:pPr>
              <w:keepNext w:val="0"/>
              <w:keepLines w:val="0"/>
              <w:pageBreakBefore w:val="0"/>
              <w:widowControl/>
              <w:kinsoku/>
              <w:overflowPunct/>
              <w:topLinePunct w:val="0"/>
              <w:autoSpaceDE/>
              <w:autoSpaceDN/>
              <w:bidi w:val="0"/>
              <w:adjustRightInd/>
              <w:snapToGrid/>
              <w:spacing w:line="240" w:lineRule="auto"/>
              <w:jc w:val="left"/>
              <w:textAlignment w:val="top"/>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3.方案不尽合理、针对性一般、可操作性一般，评审为中的，加</w:t>
            </w:r>
            <w:r>
              <w:rPr>
                <w:rFonts w:hint="eastAsia" w:asciiTheme="minorEastAsia" w:hAnsiTheme="minorEastAsia" w:eastAsiaTheme="minorEastAsia" w:cstheme="minorEastAsia"/>
                <w:bCs/>
                <w:color w:val="FF0000"/>
                <w:sz w:val="21"/>
                <w:szCs w:val="21"/>
                <w:lang w:val="en-US" w:eastAsia="zh-CN"/>
              </w:rPr>
              <w:t>1</w:t>
            </w:r>
            <w:r>
              <w:rPr>
                <w:rFonts w:hint="eastAsia" w:asciiTheme="minorEastAsia" w:hAnsiTheme="minorEastAsia" w:eastAsiaTheme="minorEastAsia" w:cstheme="minorEastAsia"/>
                <w:bCs/>
                <w:color w:val="FF0000"/>
                <w:sz w:val="21"/>
                <w:szCs w:val="21"/>
              </w:rPr>
              <w:t>分；</w:t>
            </w:r>
          </w:p>
          <w:p w14:paraId="704DB9FA">
            <w:pPr>
              <w:textAlignment w:val="top"/>
              <w:rPr>
                <w:rFonts w:hint="eastAsia"/>
                <w:szCs w:val="21"/>
              </w:rPr>
            </w:pPr>
            <w:r>
              <w:rPr>
                <w:rFonts w:hint="eastAsia" w:asciiTheme="minorEastAsia" w:hAnsiTheme="minorEastAsia" w:eastAsiaTheme="minorEastAsia" w:cstheme="minorEastAsia"/>
                <w:bCs/>
                <w:color w:val="FF0000"/>
                <w:sz w:val="21"/>
                <w:szCs w:val="21"/>
              </w:rPr>
              <w:t>4.方案不合理、无针对性、无可操作性，评审为差的，加0分。</w:t>
            </w:r>
          </w:p>
        </w:tc>
      </w:tr>
      <w:tr w14:paraId="6A8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vAlign w:val="center"/>
          </w:tcPr>
          <w:p w14:paraId="0E3564B0">
            <w:pPr>
              <w:jc w:val="center"/>
              <w:rPr>
                <w:rFonts w:hint="eastAsia"/>
                <w:szCs w:val="21"/>
              </w:rPr>
            </w:pPr>
          </w:p>
        </w:tc>
        <w:tc>
          <w:tcPr>
            <w:tcW w:w="638" w:type="dxa"/>
            <w:vAlign w:val="center"/>
          </w:tcPr>
          <w:p w14:paraId="31646F82">
            <w:pPr>
              <w:jc w:val="center"/>
              <w:textAlignment w:val="center"/>
              <w:rPr>
                <w:rFonts w:hint="eastAsia"/>
                <w:szCs w:val="21"/>
              </w:rPr>
            </w:pPr>
            <w:r>
              <w:rPr>
                <w:rFonts w:hint="eastAsia"/>
                <w:szCs w:val="21"/>
                <w:lang w:bidi="ar"/>
              </w:rPr>
              <w:t>3</w:t>
            </w:r>
          </w:p>
        </w:tc>
        <w:tc>
          <w:tcPr>
            <w:tcW w:w="1115" w:type="dxa"/>
            <w:vAlign w:val="center"/>
          </w:tcPr>
          <w:p w14:paraId="75169136">
            <w:pPr>
              <w:jc w:val="center"/>
              <w:textAlignment w:val="center"/>
              <w:rPr>
                <w:rFonts w:hint="eastAsia"/>
                <w:szCs w:val="21"/>
              </w:rPr>
            </w:pPr>
            <w:r>
              <w:rPr>
                <w:rFonts w:hint="eastAsia"/>
                <w:szCs w:val="21"/>
              </w:rPr>
              <w:t>售后运维服务方案</w:t>
            </w:r>
          </w:p>
        </w:tc>
        <w:tc>
          <w:tcPr>
            <w:tcW w:w="657" w:type="dxa"/>
            <w:vAlign w:val="center"/>
          </w:tcPr>
          <w:p w14:paraId="7DCDAD4A">
            <w:pPr>
              <w:jc w:val="center"/>
              <w:textAlignment w:val="center"/>
              <w:rPr>
                <w:rFonts w:hint="eastAsia"/>
                <w:szCs w:val="21"/>
              </w:rPr>
            </w:pPr>
            <w:r>
              <w:rPr>
                <w:szCs w:val="21"/>
                <w:lang w:bidi="ar"/>
              </w:rPr>
              <w:t>15</w:t>
            </w:r>
          </w:p>
        </w:tc>
        <w:tc>
          <w:tcPr>
            <w:tcW w:w="1108" w:type="dxa"/>
            <w:vAlign w:val="center"/>
          </w:tcPr>
          <w:p w14:paraId="567DE6A5">
            <w:pPr>
              <w:jc w:val="center"/>
              <w:textAlignment w:val="center"/>
              <w:rPr>
                <w:rFonts w:hint="eastAsia"/>
                <w:szCs w:val="21"/>
              </w:rPr>
            </w:pPr>
            <w:r>
              <w:rPr>
                <w:rFonts w:hint="eastAsia"/>
                <w:szCs w:val="21"/>
                <w:lang w:bidi="ar"/>
              </w:rPr>
              <w:t>专家打分</w:t>
            </w:r>
          </w:p>
        </w:tc>
        <w:tc>
          <w:tcPr>
            <w:tcW w:w="4976" w:type="dxa"/>
            <w:vAlign w:val="center"/>
          </w:tcPr>
          <w:p w14:paraId="12DFB96F">
            <w:pPr>
              <w:textAlignment w:val="auto"/>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（一）评分内容：</w:t>
            </w:r>
          </w:p>
          <w:p w14:paraId="1BF06735">
            <w:pPr>
              <w:textAlignment w:val="auto"/>
              <w:rPr>
                <w:rFonts w:hint="eastAsia"/>
                <w:szCs w:val="21"/>
                <w:lang w:bidi="ar"/>
              </w:rPr>
            </w:pPr>
            <w:r>
              <w:rPr>
                <w:rFonts w:hint="eastAsia"/>
                <w:szCs w:val="21"/>
                <w:lang w:bidi="ar"/>
              </w:rPr>
              <w:t>根据投标人提供的售后运维服务方案（应包括但不限于</w:t>
            </w:r>
            <w:bookmarkStart w:id="3" w:name="OLE_LINK75"/>
            <w:r>
              <w:rPr>
                <w:rFonts w:hint="eastAsia"/>
                <w:szCs w:val="21"/>
                <w:lang w:bidi="ar"/>
              </w:rPr>
              <w:t>①售后服务承诺、②服务体系框架搭建、③服务方式、④服务内容及范围、⑤运维服务保障、⑥技术服务手段</w:t>
            </w:r>
            <w:bookmarkEnd w:id="3"/>
            <w:r>
              <w:rPr>
                <w:rFonts w:hint="eastAsia"/>
                <w:szCs w:val="21"/>
                <w:lang w:bidi="ar"/>
              </w:rPr>
              <w:t>）进行综合评审：</w:t>
            </w:r>
          </w:p>
          <w:p w14:paraId="2CACCE1A">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
                <w:color w:val="FF0000"/>
                <w:sz w:val="21"/>
                <w:szCs w:val="21"/>
              </w:rPr>
              <w:t>（二）评分依据：</w:t>
            </w:r>
            <w:r>
              <w:rPr>
                <w:rFonts w:hint="eastAsia" w:asciiTheme="minorEastAsia" w:hAnsiTheme="minorEastAsia" w:eastAsiaTheme="minorEastAsia" w:cstheme="minorEastAsia"/>
                <w:b w:val="0"/>
                <w:bCs/>
                <w:color w:val="FF0000"/>
                <w:sz w:val="21"/>
                <w:szCs w:val="21"/>
                <w:lang w:val="en-US" w:eastAsia="zh-CN"/>
              </w:rPr>
              <w:t>每</w:t>
            </w:r>
            <w:r>
              <w:rPr>
                <w:rFonts w:hint="eastAsia" w:asciiTheme="minorEastAsia" w:hAnsiTheme="minorEastAsia" w:eastAsiaTheme="minorEastAsia" w:cstheme="minorEastAsia"/>
                <w:bCs/>
                <w:color w:val="FF0000"/>
                <w:sz w:val="21"/>
                <w:szCs w:val="21"/>
              </w:rPr>
              <w:t>满足</w:t>
            </w:r>
            <w:r>
              <w:rPr>
                <w:rFonts w:hint="eastAsia" w:asciiTheme="minorEastAsia" w:hAnsiTheme="minorEastAsia" w:eastAsiaTheme="minorEastAsia" w:cstheme="minorEastAsia"/>
                <w:bCs/>
                <w:color w:val="FF0000"/>
                <w:sz w:val="21"/>
                <w:szCs w:val="21"/>
                <w:lang w:val="en-US" w:eastAsia="zh-CN"/>
              </w:rPr>
              <w:t>一</w:t>
            </w:r>
            <w:r>
              <w:rPr>
                <w:rFonts w:hint="eastAsia" w:asciiTheme="minorEastAsia" w:hAnsiTheme="minorEastAsia" w:eastAsiaTheme="minorEastAsia" w:cstheme="minorEastAsia"/>
                <w:bCs/>
                <w:color w:val="FF0000"/>
                <w:sz w:val="21"/>
                <w:szCs w:val="21"/>
              </w:rPr>
              <w:t>点得</w:t>
            </w:r>
            <w:r>
              <w:rPr>
                <w:rFonts w:hint="eastAsia" w:asciiTheme="minorEastAsia" w:hAnsiTheme="minorEastAsia" w:eastAsiaTheme="minorEastAsia" w:cstheme="minorEastAsia"/>
                <w:bCs/>
                <w:color w:val="FF0000"/>
                <w:sz w:val="21"/>
                <w:szCs w:val="21"/>
                <w:lang w:val="en-US" w:eastAsia="zh-CN"/>
              </w:rPr>
              <w:t>1.5</w:t>
            </w:r>
            <w:r>
              <w:rPr>
                <w:rFonts w:hint="eastAsia" w:asciiTheme="minorEastAsia" w:hAnsiTheme="minorEastAsia" w:eastAsiaTheme="minorEastAsia" w:cstheme="minorEastAsia"/>
                <w:bCs/>
                <w:color w:val="FF0000"/>
                <w:sz w:val="21"/>
                <w:szCs w:val="21"/>
              </w:rPr>
              <w:t>分，</w:t>
            </w:r>
            <w:r>
              <w:rPr>
                <w:rFonts w:hint="eastAsia" w:asciiTheme="minorEastAsia" w:hAnsiTheme="minorEastAsia" w:eastAsiaTheme="minorEastAsia" w:cstheme="minorEastAsia"/>
                <w:bCs/>
                <w:color w:val="FF0000"/>
                <w:sz w:val="21"/>
                <w:szCs w:val="21"/>
                <w:lang w:val="en-US" w:eastAsia="zh-CN"/>
              </w:rPr>
              <w:t>最高</w:t>
            </w:r>
            <w:r>
              <w:rPr>
                <w:rFonts w:hint="eastAsia" w:asciiTheme="minorEastAsia" w:hAnsiTheme="minorEastAsia" w:eastAsiaTheme="minorEastAsia" w:cstheme="minorEastAsia"/>
                <w:bCs/>
                <w:color w:val="FF0000"/>
                <w:sz w:val="21"/>
                <w:szCs w:val="21"/>
              </w:rPr>
              <w:t>得</w:t>
            </w:r>
            <w:r>
              <w:rPr>
                <w:rFonts w:hint="eastAsia" w:asciiTheme="minorEastAsia" w:hAnsiTheme="minorEastAsia" w:eastAsiaTheme="minorEastAsia" w:cstheme="minorEastAsia"/>
                <w:bCs/>
                <w:color w:val="FF0000"/>
                <w:sz w:val="21"/>
                <w:szCs w:val="21"/>
                <w:lang w:val="en-US" w:eastAsia="zh-CN"/>
              </w:rPr>
              <w:t>9</w:t>
            </w:r>
            <w:r>
              <w:rPr>
                <w:rFonts w:hint="eastAsia" w:asciiTheme="minorEastAsia" w:hAnsiTheme="minorEastAsia" w:eastAsiaTheme="minorEastAsia" w:cstheme="minorEastAsia"/>
                <w:bCs/>
                <w:color w:val="FF0000"/>
                <w:sz w:val="21"/>
                <w:szCs w:val="21"/>
              </w:rPr>
              <w:t>分，在此基础上，根据供应商的具体响应内容按照量化的评审因素指标进一步评审：</w:t>
            </w:r>
          </w:p>
          <w:p w14:paraId="2D035C4A">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1.方案整体科学合理、针对性强、可操作性强，评审为优的，加</w:t>
            </w:r>
            <w:r>
              <w:rPr>
                <w:rFonts w:hint="eastAsia" w:asciiTheme="minorEastAsia" w:hAnsiTheme="minorEastAsia" w:eastAsiaTheme="minorEastAsia" w:cstheme="minorEastAsia"/>
                <w:bCs/>
                <w:color w:val="FF0000"/>
                <w:sz w:val="21"/>
                <w:szCs w:val="21"/>
                <w:lang w:val="en-US" w:eastAsia="zh-CN"/>
              </w:rPr>
              <w:t>6</w:t>
            </w:r>
            <w:r>
              <w:rPr>
                <w:rFonts w:hint="eastAsia" w:asciiTheme="minorEastAsia" w:hAnsiTheme="minorEastAsia" w:eastAsiaTheme="minorEastAsia" w:cstheme="minorEastAsia"/>
                <w:bCs/>
                <w:color w:val="FF0000"/>
                <w:sz w:val="21"/>
                <w:szCs w:val="21"/>
              </w:rPr>
              <w:t>分；</w:t>
            </w:r>
          </w:p>
          <w:p w14:paraId="28D18411">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2.方案较合理、有一定针对性、一定可操作性，评审为良的，加</w:t>
            </w:r>
            <w:r>
              <w:rPr>
                <w:rFonts w:hint="eastAsia" w:asciiTheme="minorEastAsia" w:hAnsiTheme="minorEastAsia" w:eastAsiaTheme="minorEastAsia" w:cstheme="minorEastAsia"/>
                <w:bCs/>
                <w:color w:val="FF0000"/>
                <w:sz w:val="21"/>
                <w:szCs w:val="21"/>
                <w:lang w:val="en-US" w:eastAsia="zh-CN"/>
              </w:rPr>
              <w:t>3</w:t>
            </w:r>
            <w:r>
              <w:rPr>
                <w:rFonts w:hint="eastAsia" w:asciiTheme="minorEastAsia" w:hAnsiTheme="minorEastAsia" w:eastAsiaTheme="minorEastAsia" w:cstheme="minorEastAsia"/>
                <w:bCs/>
                <w:color w:val="FF0000"/>
                <w:sz w:val="21"/>
                <w:szCs w:val="21"/>
              </w:rPr>
              <w:t>分；</w:t>
            </w:r>
          </w:p>
          <w:p w14:paraId="5CD3E6CD">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3.方案不尽合理、针对性一般、可操作性一般，评审为中的，加</w:t>
            </w:r>
            <w:r>
              <w:rPr>
                <w:rFonts w:hint="eastAsia" w:asciiTheme="minorEastAsia" w:hAnsiTheme="minorEastAsia" w:eastAsiaTheme="minorEastAsia" w:cstheme="minorEastAsia"/>
                <w:bCs/>
                <w:color w:val="FF0000"/>
                <w:sz w:val="21"/>
                <w:szCs w:val="21"/>
                <w:lang w:val="en-US" w:eastAsia="zh-CN"/>
              </w:rPr>
              <w:t>1</w:t>
            </w:r>
            <w:r>
              <w:rPr>
                <w:rFonts w:hint="eastAsia" w:asciiTheme="minorEastAsia" w:hAnsiTheme="minorEastAsia" w:eastAsiaTheme="minorEastAsia" w:cstheme="minorEastAsia"/>
                <w:bCs/>
                <w:color w:val="FF0000"/>
                <w:sz w:val="21"/>
                <w:szCs w:val="21"/>
              </w:rPr>
              <w:t>分；</w:t>
            </w:r>
          </w:p>
          <w:p w14:paraId="29FF43DD">
            <w:pPr>
              <w:textAlignment w:val="auto"/>
              <w:rPr>
                <w:rFonts w:hint="eastAsia"/>
                <w:szCs w:val="21"/>
              </w:rPr>
            </w:pPr>
            <w:r>
              <w:rPr>
                <w:rFonts w:hint="eastAsia" w:asciiTheme="minorEastAsia" w:hAnsiTheme="minorEastAsia" w:eastAsiaTheme="minorEastAsia" w:cstheme="minorEastAsia"/>
                <w:bCs/>
                <w:color w:val="FF0000"/>
                <w:sz w:val="21"/>
                <w:szCs w:val="21"/>
              </w:rPr>
              <w:t>4.方案不合理、无针对性、无可操作性，评审为差的，加0分。</w:t>
            </w:r>
          </w:p>
        </w:tc>
      </w:tr>
      <w:tr w14:paraId="07FD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vAlign w:val="center"/>
          </w:tcPr>
          <w:p w14:paraId="08F33B36">
            <w:pPr>
              <w:rPr>
                <w:rFonts w:hint="eastAsia"/>
                <w:szCs w:val="21"/>
              </w:rPr>
            </w:pPr>
          </w:p>
        </w:tc>
        <w:tc>
          <w:tcPr>
            <w:tcW w:w="638" w:type="dxa"/>
            <w:vAlign w:val="center"/>
          </w:tcPr>
          <w:p w14:paraId="763330B9">
            <w:pPr>
              <w:jc w:val="center"/>
              <w:textAlignment w:val="center"/>
              <w:rPr>
                <w:rFonts w:hint="eastAsia"/>
                <w:szCs w:val="21"/>
              </w:rPr>
            </w:pPr>
            <w:r>
              <w:rPr>
                <w:rFonts w:hint="eastAsia"/>
                <w:szCs w:val="21"/>
                <w:lang w:bidi="ar"/>
              </w:rPr>
              <w:t>4</w:t>
            </w:r>
          </w:p>
        </w:tc>
        <w:tc>
          <w:tcPr>
            <w:tcW w:w="1115" w:type="dxa"/>
            <w:vAlign w:val="center"/>
          </w:tcPr>
          <w:p w14:paraId="24E12C8F">
            <w:pPr>
              <w:jc w:val="center"/>
              <w:textAlignment w:val="center"/>
              <w:rPr>
                <w:rFonts w:hint="eastAsia"/>
                <w:szCs w:val="21"/>
              </w:rPr>
            </w:pPr>
            <w:r>
              <w:rPr>
                <w:rFonts w:hint="eastAsia"/>
                <w:szCs w:val="21"/>
              </w:rPr>
              <w:t>培训方案</w:t>
            </w:r>
          </w:p>
        </w:tc>
        <w:tc>
          <w:tcPr>
            <w:tcW w:w="657" w:type="dxa"/>
            <w:vAlign w:val="center"/>
          </w:tcPr>
          <w:p w14:paraId="6D772D75">
            <w:pPr>
              <w:jc w:val="center"/>
              <w:textAlignment w:val="center"/>
              <w:rPr>
                <w:rFonts w:hint="eastAsia"/>
                <w:szCs w:val="21"/>
              </w:rPr>
            </w:pPr>
            <w:r>
              <w:rPr>
                <w:szCs w:val="21"/>
                <w:lang w:bidi="ar"/>
              </w:rPr>
              <w:t>1</w:t>
            </w:r>
            <w:r>
              <w:rPr>
                <w:rFonts w:hint="eastAsia"/>
                <w:szCs w:val="21"/>
                <w:lang w:val="en-US" w:eastAsia="zh-CN" w:bidi="ar"/>
              </w:rPr>
              <w:t>5</w:t>
            </w:r>
          </w:p>
        </w:tc>
        <w:tc>
          <w:tcPr>
            <w:tcW w:w="1108" w:type="dxa"/>
            <w:vAlign w:val="center"/>
          </w:tcPr>
          <w:p w14:paraId="1017D499">
            <w:pPr>
              <w:jc w:val="center"/>
              <w:textAlignment w:val="center"/>
              <w:rPr>
                <w:rFonts w:hint="eastAsia"/>
                <w:szCs w:val="21"/>
              </w:rPr>
            </w:pPr>
            <w:r>
              <w:rPr>
                <w:rFonts w:hint="eastAsia"/>
                <w:szCs w:val="21"/>
                <w:lang w:bidi="ar"/>
              </w:rPr>
              <w:t>专家打分</w:t>
            </w:r>
          </w:p>
        </w:tc>
        <w:tc>
          <w:tcPr>
            <w:tcW w:w="4976" w:type="dxa"/>
          </w:tcPr>
          <w:p w14:paraId="58C09086">
            <w:pPr>
              <w:textAlignment w:val="auto"/>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（一）评分内容：</w:t>
            </w:r>
          </w:p>
          <w:p w14:paraId="7D43A50E">
            <w:pPr>
              <w:textAlignment w:val="top"/>
              <w:rPr>
                <w:rFonts w:hint="eastAsia"/>
                <w:szCs w:val="21"/>
                <w:lang w:bidi="ar"/>
              </w:rPr>
            </w:pPr>
            <w:r>
              <w:rPr>
                <w:rFonts w:hint="eastAsia"/>
                <w:szCs w:val="21"/>
                <w:lang w:bidi="ar"/>
              </w:rPr>
              <w:t>根据投标人提供的培训方案（应包括但不限于</w:t>
            </w:r>
            <w:bookmarkStart w:id="4" w:name="OLE_LINK74"/>
            <w:r>
              <w:rPr>
                <w:rFonts w:hint="eastAsia"/>
                <w:szCs w:val="21"/>
                <w:lang w:bidi="ar"/>
              </w:rPr>
              <w:t>①培训承诺、②培训体系、③培训计划、④培训内容、⑤培训组织机构、⑥培训质量保障</w:t>
            </w:r>
            <w:bookmarkEnd w:id="4"/>
            <w:r>
              <w:rPr>
                <w:rFonts w:hint="eastAsia"/>
                <w:szCs w:val="21"/>
                <w:lang w:bidi="ar"/>
              </w:rPr>
              <w:t>）进行综合评审：</w:t>
            </w:r>
          </w:p>
          <w:p w14:paraId="3F668950">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
                <w:color w:val="FF0000"/>
                <w:sz w:val="21"/>
                <w:szCs w:val="21"/>
              </w:rPr>
              <w:t>（二）评分依据：</w:t>
            </w:r>
            <w:r>
              <w:rPr>
                <w:rFonts w:hint="eastAsia" w:asciiTheme="minorEastAsia" w:hAnsiTheme="minorEastAsia" w:eastAsiaTheme="minorEastAsia" w:cstheme="minorEastAsia"/>
                <w:b w:val="0"/>
                <w:bCs/>
                <w:color w:val="FF0000"/>
                <w:sz w:val="21"/>
                <w:szCs w:val="21"/>
                <w:lang w:val="en-US" w:eastAsia="zh-CN"/>
              </w:rPr>
              <w:t>每</w:t>
            </w:r>
            <w:r>
              <w:rPr>
                <w:rFonts w:hint="eastAsia" w:asciiTheme="minorEastAsia" w:hAnsiTheme="minorEastAsia" w:eastAsiaTheme="minorEastAsia" w:cstheme="minorEastAsia"/>
                <w:bCs/>
                <w:color w:val="FF0000"/>
                <w:sz w:val="21"/>
                <w:szCs w:val="21"/>
              </w:rPr>
              <w:t>满足</w:t>
            </w:r>
            <w:r>
              <w:rPr>
                <w:rFonts w:hint="eastAsia" w:asciiTheme="minorEastAsia" w:hAnsiTheme="minorEastAsia" w:eastAsiaTheme="minorEastAsia" w:cstheme="minorEastAsia"/>
                <w:bCs/>
                <w:color w:val="FF0000"/>
                <w:sz w:val="21"/>
                <w:szCs w:val="21"/>
                <w:lang w:val="en-US" w:eastAsia="zh-CN"/>
              </w:rPr>
              <w:t>一</w:t>
            </w:r>
            <w:r>
              <w:rPr>
                <w:rFonts w:hint="eastAsia" w:asciiTheme="minorEastAsia" w:hAnsiTheme="minorEastAsia" w:eastAsiaTheme="minorEastAsia" w:cstheme="minorEastAsia"/>
                <w:bCs/>
                <w:color w:val="FF0000"/>
                <w:sz w:val="21"/>
                <w:szCs w:val="21"/>
              </w:rPr>
              <w:t>点得</w:t>
            </w:r>
            <w:r>
              <w:rPr>
                <w:rFonts w:hint="eastAsia" w:asciiTheme="minorEastAsia" w:hAnsiTheme="minorEastAsia" w:eastAsiaTheme="minorEastAsia" w:cstheme="minorEastAsia"/>
                <w:bCs/>
                <w:color w:val="FF0000"/>
                <w:sz w:val="21"/>
                <w:szCs w:val="21"/>
                <w:lang w:val="en-US" w:eastAsia="zh-CN"/>
              </w:rPr>
              <w:t>1.5</w:t>
            </w:r>
            <w:r>
              <w:rPr>
                <w:rFonts w:hint="eastAsia" w:asciiTheme="minorEastAsia" w:hAnsiTheme="minorEastAsia" w:eastAsiaTheme="minorEastAsia" w:cstheme="minorEastAsia"/>
                <w:bCs/>
                <w:color w:val="FF0000"/>
                <w:sz w:val="21"/>
                <w:szCs w:val="21"/>
              </w:rPr>
              <w:t>分，</w:t>
            </w:r>
            <w:r>
              <w:rPr>
                <w:rFonts w:hint="eastAsia" w:asciiTheme="minorEastAsia" w:hAnsiTheme="minorEastAsia" w:eastAsiaTheme="minorEastAsia" w:cstheme="minorEastAsia"/>
                <w:bCs/>
                <w:color w:val="FF0000"/>
                <w:sz w:val="21"/>
                <w:szCs w:val="21"/>
                <w:lang w:val="en-US" w:eastAsia="zh-CN"/>
              </w:rPr>
              <w:t>最高</w:t>
            </w:r>
            <w:r>
              <w:rPr>
                <w:rFonts w:hint="eastAsia" w:asciiTheme="minorEastAsia" w:hAnsiTheme="minorEastAsia" w:eastAsiaTheme="minorEastAsia" w:cstheme="minorEastAsia"/>
                <w:bCs/>
                <w:color w:val="FF0000"/>
                <w:sz w:val="21"/>
                <w:szCs w:val="21"/>
              </w:rPr>
              <w:t>得</w:t>
            </w:r>
            <w:r>
              <w:rPr>
                <w:rFonts w:hint="eastAsia" w:asciiTheme="minorEastAsia" w:hAnsiTheme="minorEastAsia" w:eastAsiaTheme="minorEastAsia" w:cstheme="minorEastAsia"/>
                <w:bCs/>
                <w:color w:val="FF0000"/>
                <w:sz w:val="21"/>
                <w:szCs w:val="21"/>
                <w:lang w:val="en-US" w:eastAsia="zh-CN"/>
              </w:rPr>
              <w:t>9</w:t>
            </w:r>
            <w:r>
              <w:rPr>
                <w:rFonts w:hint="eastAsia" w:asciiTheme="minorEastAsia" w:hAnsiTheme="minorEastAsia" w:eastAsiaTheme="minorEastAsia" w:cstheme="minorEastAsia"/>
                <w:bCs/>
                <w:color w:val="FF0000"/>
                <w:sz w:val="21"/>
                <w:szCs w:val="21"/>
              </w:rPr>
              <w:t>分，在此基础上，根据供应商的具体响应内容按照量化的评审因素指标进一步评审：</w:t>
            </w:r>
          </w:p>
          <w:p w14:paraId="01791916">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1.方案整体科学合理、针对性强、可操作性强，评审为优的，加</w:t>
            </w:r>
            <w:r>
              <w:rPr>
                <w:rFonts w:hint="eastAsia" w:asciiTheme="minorEastAsia" w:hAnsiTheme="minorEastAsia" w:eastAsiaTheme="minorEastAsia" w:cstheme="minorEastAsia"/>
                <w:bCs/>
                <w:color w:val="FF0000"/>
                <w:sz w:val="21"/>
                <w:szCs w:val="21"/>
                <w:lang w:val="en-US" w:eastAsia="zh-CN"/>
              </w:rPr>
              <w:t>6</w:t>
            </w:r>
            <w:r>
              <w:rPr>
                <w:rFonts w:hint="eastAsia" w:asciiTheme="minorEastAsia" w:hAnsiTheme="minorEastAsia" w:eastAsiaTheme="minorEastAsia" w:cstheme="minorEastAsia"/>
                <w:bCs/>
                <w:color w:val="FF0000"/>
                <w:sz w:val="21"/>
                <w:szCs w:val="21"/>
              </w:rPr>
              <w:t>分；</w:t>
            </w:r>
          </w:p>
          <w:p w14:paraId="225FD0B1">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2.方案较合理、有一定针对性、一定可操作性，评审为良的，加</w:t>
            </w:r>
            <w:r>
              <w:rPr>
                <w:rFonts w:hint="eastAsia" w:asciiTheme="minorEastAsia" w:hAnsiTheme="minorEastAsia" w:eastAsiaTheme="minorEastAsia" w:cstheme="minorEastAsia"/>
                <w:bCs/>
                <w:color w:val="FF0000"/>
                <w:sz w:val="21"/>
                <w:szCs w:val="21"/>
                <w:lang w:val="en-US" w:eastAsia="zh-CN"/>
              </w:rPr>
              <w:t>3</w:t>
            </w:r>
            <w:r>
              <w:rPr>
                <w:rFonts w:hint="eastAsia" w:asciiTheme="minorEastAsia" w:hAnsiTheme="minorEastAsia" w:eastAsiaTheme="minorEastAsia" w:cstheme="minorEastAsia"/>
                <w:bCs/>
                <w:color w:val="FF0000"/>
                <w:sz w:val="21"/>
                <w:szCs w:val="21"/>
              </w:rPr>
              <w:t>分；</w:t>
            </w:r>
          </w:p>
          <w:p w14:paraId="0D13CA80">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3.方案不尽合理、针对性一般、可操作性一般，评审为中的，加</w:t>
            </w:r>
            <w:r>
              <w:rPr>
                <w:rFonts w:hint="eastAsia" w:asciiTheme="minorEastAsia" w:hAnsiTheme="minorEastAsia" w:eastAsiaTheme="minorEastAsia" w:cstheme="minorEastAsia"/>
                <w:bCs/>
                <w:color w:val="FF0000"/>
                <w:sz w:val="21"/>
                <w:szCs w:val="21"/>
                <w:lang w:val="en-US" w:eastAsia="zh-CN"/>
              </w:rPr>
              <w:t>1</w:t>
            </w:r>
            <w:r>
              <w:rPr>
                <w:rFonts w:hint="eastAsia" w:asciiTheme="minorEastAsia" w:hAnsiTheme="minorEastAsia" w:eastAsiaTheme="minorEastAsia" w:cstheme="minorEastAsia"/>
                <w:bCs/>
                <w:color w:val="FF0000"/>
                <w:sz w:val="21"/>
                <w:szCs w:val="21"/>
              </w:rPr>
              <w:t>分；</w:t>
            </w:r>
          </w:p>
          <w:p w14:paraId="09E3ECBB">
            <w:pPr>
              <w:textAlignment w:val="top"/>
              <w:rPr>
                <w:rFonts w:hint="eastAsia"/>
                <w:szCs w:val="21"/>
              </w:rPr>
            </w:pPr>
            <w:r>
              <w:rPr>
                <w:rFonts w:hint="eastAsia" w:asciiTheme="minorEastAsia" w:hAnsiTheme="minorEastAsia" w:eastAsiaTheme="minorEastAsia" w:cstheme="minorEastAsia"/>
                <w:bCs/>
                <w:color w:val="FF0000"/>
                <w:sz w:val="21"/>
                <w:szCs w:val="21"/>
              </w:rPr>
              <w:t>4.方案不合理、无针对性、无可操作性，评审为差的，加0分。</w:t>
            </w:r>
          </w:p>
        </w:tc>
      </w:tr>
    </w:tbl>
    <w:p w14:paraId="1F970573">
      <w:pPr>
        <w:spacing w:line="400" w:lineRule="exact"/>
        <w:ind w:firstLine="360"/>
        <w:rPr>
          <w:rFonts w:hint="eastAsia" w:ascii="微软雅黑" w:hAnsi="微软雅黑" w:eastAsia="微软雅黑" w:cs="微软雅黑"/>
          <w:b/>
          <w:szCs w:val="21"/>
        </w:rPr>
      </w:pPr>
    </w:p>
    <w:p w14:paraId="47F03B46">
      <w:pPr>
        <w:tabs>
          <w:tab w:val="left" w:pos="1429"/>
        </w:tabs>
        <w:spacing w:line="520" w:lineRule="exact"/>
        <w:ind w:firstLine="560" w:firstLineChars="200"/>
        <w:rPr>
          <w:rFonts w:hint="eastAsia" w:ascii="仿宋" w:hAnsi="仿宋" w:eastAsia="仿宋" w:cs="仿宋"/>
          <w:sz w:val="28"/>
          <w:szCs w:val="28"/>
        </w:rPr>
      </w:pPr>
    </w:p>
    <w:bookmarkEnd w:id="0"/>
    <w:p w14:paraId="40D6173F">
      <w:pPr>
        <w:pStyle w:val="21"/>
        <w:widowControl/>
        <w:numPr>
          <w:ilvl w:val="0"/>
          <w:numId w:val="0"/>
        </w:numPr>
        <w:ind w:leftChars="0"/>
        <w:jc w:val="left"/>
        <w:rPr>
          <w:rFonts w:hint="eastAsia" w:ascii="宋体" w:hAnsi="宋体" w:eastAsia="宋体"/>
          <w:b w:val="0"/>
          <w:bCs w:val="0"/>
          <w:szCs w:val="21"/>
          <w:lang w:val="en-US" w:eastAsia="zh-CN"/>
        </w:rPr>
      </w:pPr>
    </w:p>
    <w:sectPr>
      <w:headerReference r:id="rId3" w:type="default"/>
      <w:footerReference r:id="rId4" w:type="default"/>
      <w:pgSz w:w="11850" w:h="16783"/>
      <w:pgMar w:top="1440" w:right="1080" w:bottom="1440" w:left="1080" w:header="737" w:footer="680"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B9BE0">
    <w:pPr>
      <w:pStyle w:val="12"/>
    </w:pPr>
    <w:r>
      <w:rPr>
        <w:rFonts w:hint="eastAsia"/>
        <w:b/>
        <w:i/>
      </w:rPr>
      <w:t xml:space="preserve">            </w:t>
    </w:r>
    <w:r>
      <w:rPr>
        <w:rFonts w:hint="eastAsia"/>
      </w:rPr>
      <w:t xml:space="preserve">                       </w:t>
    </w:r>
    <w:r>
      <w:rPr>
        <w:rFonts w:hint="eastAsia"/>
      </w:rPr>
      <w:tab/>
    </w:r>
    <w:r>
      <w:rPr>
        <w:rFonts w:hint="eastAsia"/>
      </w:rPr>
      <w:tab/>
    </w:r>
    <w:r>
      <w:rPr>
        <w:rFonts w:hint="eastAsia"/>
      </w:rPr>
      <w:t xml:space="preserve">   </w:t>
    </w:r>
    <w:r>
      <w:rPr>
        <w:rStyle w:val="18"/>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9487">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DBC13"/>
    <w:multiLevelType w:val="singleLevel"/>
    <w:tmpl w:val="8E9DBC13"/>
    <w:lvl w:ilvl="0" w:tentative="0">
      <w:start w:val="1"/>
      <w:numFmt w:val="decimal"/>
      <w:suff w:val="nothing"/>
      <w:lvlText w:val="%1、"/>
      <w:lvlJc w:val="left"/>
    </w:lvl>
  </w:abstractNum>
  <w:abstractNum w:abstractNumId="1">
    <w:nsid w:val="B2E87432"/>
    <w:multiLevelType w:val="singleLevel"/>
    <w:tmpl w:val="B2E87432"/>
    <w:lvl w:ilvl="0" w:tentative="0">
      <w:start w:val="1"/>
      <w:numFmt w:val="decimal"/>
      <w:lvlText w:val="(%1)"/>
      <w:lvlJc w:val="left"/>
      <w:pPr>
        <w:ind w:left="425" w:hanging="425"/>
      </w:pPr>
      <w:rPr>
        <w:rFonts w:hint="default"/>
      </w:rPr>
    </w:lvl>
  </w:abstractNum>
  <w:abstractNum w:abstractNumId="2">
    <w:nsid w:val="D7A3C96D"/>
    <w:multiLevelType w:val="singleLevel"/>
    <w:tmpl w:val="D7A3C96D"/>
    <w:lvl w:ilvl="0" w:tentative="0">
      <w:start w:val="1"/>
      <w:numFmt w:val="chineseCounting"/>
      <w:suff w:val="nothing"/>
      <w:lvlText w:val="%1、"/>
      <w:lvlJc w:val="left"/>
      <w:rPr>
        <w:rFonts w:hint="eastAsia"/>
      </w:rPr>
    </w:lvl>
  </w:abstractNum>
  <w:abstractNum w:abstractNumId="3">
    <w:nsid w:val="F85AD350"/>
    <w:multiLevelType w:val="singleLevel"/>
    <w:tmpl w:val="F85AD350"/>
    <w:lvl w:ilvl="0" w:tentative="0">
      <w:start w:val="1"/>
      <w:numFmt w:val="decimal"/>
      <w:lvlText w:val="%1."/>
      <w:lvlJc w:val="left"/>
      <w:pPr>
        <w:ind w:left="425" w:hanging="425"/>
      </w:pPr>
      <w:rPr>
        <w:rFonts w:hint="default"/>
      </w:rPr>
    </w:lvl>
  </w:abstractNum>
  <w:abstractNum w:abstractNumId="4">
    <w:nsid w:val="14AB26F4"/>
    <w:multiLevelType w:val="singleLevel"/>
    <w:tmpl w:val="14AB26F4"/>
    <w:lvl w:ilvl="0" w:tentative="0">
      <w:start w:val="1"/>
      <w:numFmt w:val="decimal"/>
      <w:suff w:val="nothing"/>
      <w:lvlText w:val="%1、"/>
      <w:lvlJc w:val="left"/>
    </w:lvl>
  </w:abstractNum>
  <w:abstractNum w:abstractNumId="5">
    <w:nsid w:val="16C87B61"/>
    <w:multiLevelType w:val="singleLevel"/>
    <w:tmpl w:val="16C87B61"/>
    <w:lvl w:ilvl="0" w:tentative="0">
      <w:start w:val="2"/>
      <w:numFmt w:val="chineseCounting"/>
      <w:suff w:val="nothing"/>
      <w:lvlText w:val="（%1）"/>
      <w:lvlJc w:val="left"/>
      <w:rPr>
        <w:rFonts w:hint="eastAsia"/>
      </w:rPr>
    </w:lvl>
  </w:abstractNum>
  <w:abstractNum w:abstractNumId="6">
    <w:nsid w:val="42946389"/>
    <w:multiLevelType w:val="multilevel"/>
    <w:tmpl w:val="42946389"/>
    <w:lvl w:ilvl="0" w:tentative="0">
      <w:start w:val="1"/>
      <w:numFmt w:val="chineseCountingThousand"/>
      <w:lvlText w:val="(%1)"/>
      <w:lvlJc w:val="left"/>
      <w:pPr>
        <w:ind w:left="420" w:hanging="420"/>
      </w:pPr>
      <w:rPr>
        <w:b/>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1E7550F"/>
    <w:multiLevelType w:val="singleLevel"/>
    <w:tmpl w:val="51E7550F"/>
    <w:lvl w:ilvl="0" w:tentative="0">
      <w:start w:val="1"/>
      <w:numFmt w:val="decimal"/>
      <w:lvlText w:val="(%1)"/>
      <w:lvlJc w:val="left"/>
      <w:pPr>
        <w:ind w:left="425" w:hanging="425"/>
      </w:pPr>
      <w:rPr>
        <w:rFonts w:hint="default"/>
      </w:rPr>
    </w:lvl>
  </w:abstractNum>
  <w:abstractNum w:abstractNumId="8">
    <w:nsid w:val="5A617354"/>
    <w:multiLevelType w:val="singleLevel"/>
    <w:tmpl w:val="5A617354"/>
    <w:lvl w:ilvl="0" w:tentative="0">
      <w:start w:val="1"/>
      <w:numFmt w:val="decimal"/>
      <w:lvlText w:val="(%1)"/>
      <w:lvlJc w:val="left"/>
      <w:pPr>
        <w:ind w:left="425" w:hanging="425"/>
      </w:pPr>
      <w:rPr>
        <w:rFonts w:hint="default"/>
      </w:rPr>
    </w:lvl>
  </w:abstractNum>
  <w:abstractNum w:abstractNumId="9">
    <w:nsid w:val="716AD1F2"/>
    <w:multiLevelType w:val="singleLevel"/>
    <w:tmpl w:val="716AD1F2"/>
    <w:lvl w:ilvl="0" w:tentative="0">
      <w:start w:val="1"/>
      <w:numFmt w:val="decimal"/>
      <w:lvlText w:val="%1."/>
      <w:lvlJc w:val="left"/>
      <w:pPr>
        <w:ind w:left="425" w:hanging="425"/>
      </w:pPr>
      <w:rPr>
        <w:rFonts w:hint="default"/>
      </w:rPr>
    </w:lvl>
  </w:abstractNum>
  <w:abstractNum w:abstractNumId="10">
    <w:nsid w:val="73DE6D9D"/>
    <w:multiLevelType w:val="singleLevel"/>
    <w:tmpl w:val="73DE6D9D"/>
    <w:lvl w:ilvl="0" w:tentative="0">
      <w:start w:val="1"/>
      <w:numFmt w:val="decimal"/>
      <w:lvlText w:val="(%1)"/>
      <w:lvlJc w:val="left"/>
      <w:pPr>
        <w:ind w:left="425" w:hanging="425"/>
      </w:pPr>
      <w:rPr>
        <w:rFonts w:hint="default"/>
      </w:rPr>
    </w:lvl>
  </w:abstractNum>
  <w:num w:numId="1">
    <w:abstractNumId w:val="2"/>
  </w:num>
  <w:num w:numId="2">
    <w:abstractNumId w:val="4"/>
  </w:num>
  <w:num w:numId="3">
    <w:abstractNumId w:val="1"/>
  </w:num>
  <w:num w:numId="4">
    <w:abstractNumId w:val="8"/>
  </w:num>
  <w:num w:numId="5">
    <w:abstractNumId w:val="7"/>
  </w:num>
  <w:num w:numId="6">
    <w:abstractNumId w:val="10"/>
  </w:num>
  <w:num w:numId="7">
    <w:abstractNumId w:val="6"/>
  </w:num>
  <w:num w:numId="8">
    <w:abstractNumId w:val="5"/>
  </w:num>
  <w:num w:numId="9">
    <w:abstractNumId w:val="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B45"/>
    <w:rsid w:val="000028F4"/>
    <w:rsid w:val="000042AA"/>
    <w:rsid w:val="00005402"/>
    <w:rsid w:val="00016980"/>
    <w:rsid w:val="00024715"/>
    <w:rsid w:val="00030B9D"/>
    <w:rsid w:val="00040787"/>
    <w:rsid w:val="00062E78"/>
    <w:rsid w:val="00062EB3"/>
    <w:rsid w:val="00063F20"/>
    <w:rsid w:val="000700AB"/>
    <w:rsid w:val="00072352"/>
    <w:rsid w:val="0007283F"/>
    <w:rsid w:val="00074B7F"/>
    <w:rsid w:val="000758D3"/>
    <w:rsid w:val="0007713B"/>
    <w:rsid w:val="000844C3"/>
    <w:rsid w:val="0009436C"/>
    <w:rsid w:val="0009602A"/>
    <w:rsid w:val="000A1397"/>
    <w:rsid w:val="000A68D2"/>
    <w:rsid w:val="000C4E1B"/>
    <w:rsid w:val="000C52DF"/>
    <w:rsid w:val="000E7E1A"/>
    <w:rsid w:val="000F04B3"/>
    <w:rsid w:val="000F2F33"/>
    <w:rsid w:val="0010237A"/>
    <w:rsid w:val="00104408"/>
    <w:rsid w:val="00112C17"/>
    <w:rsid w:val="00114F27"/>
    <w:rsid w:val="00126B57"/>
    <w:rsid w:val="0013046C"/>
    <w:rsid w:val="0013467B"/>
    <w:rsid w:val="001406F5"/>
    <w:rsid w:val="00145BC7"/>
    <w:rsid w:val="001570A4"/>
    <w:rsid w:val="00172EAA"/>
    <w:rsid w:val="00173CCA"/>
    <w:rsid w:val="00184C67"/>
    <w:rsid w:val="001944AA"/>
    <w:rsid w:val="0019573B"/>
    <w:rsid w:val="00195BAC"/>
    <w:rsid w:val="001A47F1"/>
    <w:rsid w:val="001B5488"/>
    <w:rsid w:val="001B7B0A"/>
    <w:rsid w:val="001C0D6C"/>
    <w:rsid w:val="001C0FBC"/>
    <w:rsid w:val="001C19EE"/>
    <w:rsid w:val="001C4B82"/>
    <w:rsid w:val="001C5263"/>
    <w:rsid w:val="001C666E"/>
    <w:rsid w:val="001D6F07"/>
    <w:rsid w:val="001E054C"/>
    <w:rsid w:val="001E5A2C"/>
    <w:rsid w:val="001E7B34"/>
    <w:rsid w:val="001F1D23"/>
    <w:rsid w:val="001F240C"/>
    <w:rsid w:val="00214CC1"/>
    <w:rsid w:val="002301D5"/>
    <w:rsid w:val="00236A84"/>
    <w:rsid w:val="00246FDB"/>
    <w:rsid w:val="0024789C"/>
    <w:rsid w:val="002531BE"/>
    <w:rsid w:val="002575C2"/>
    <w:rsid w:val="002677AF"/>
    <w:rsid w:val="0027245F"/>
    <w:rsid w:val="00277131"/>
    <w:rsid w:val="00280E5D"/>
    <w:rsid w:val="00296612"/>
    <w:rsid w:val="002A4C71"/>
    <w:rsid w:val="002A6F74"/>
    <w:rsid w:val="002B350C"/>
    <w:rsid w:val="002B53BF"/>
    <w:rsid w:val="002B6DFF"/>
    <w:rsid w:val="002C0BD9"/>
    <w:rsid w:val="002C3125"/>
    <w:rsid w:val="002D2421"/>
    <w:rsid w:val="002D47F2"/>
    <w:rsid w:val="002D50CA"/>
    <w:rsid w:val="002E025A"/>
    <w:rsid w:val="002E12A2"/>
    <w:rsid w:val="002F044D"/>
    <w:rsid w:val="002F7557"/>
    <w:rsid w:val="003138C0"/>
    <w:rsid w:val="00322AA7"/>
    <w:rsid w:val="00346706"/>
    <w:rsid w:val="003477A3"/>
    <w:rsid w:val="003536DB"/>
    <w:rsid w:val="00356A22"/>
    <w:rsid w:val="00362293"/>
    <w:rsid w:val="00362CEF"/>
    <w:rsid w:val="00363E4B"/>
    <w:rsid w:val="003651D7"/>
    <w:rsid w:val="0037444A"/>
    <w:rsid w:val="0037746A"/>
    <w:rsid w:val="0038506D"/>
    <w:rsid w:val="00387839"/>
    <w:rsid w:val="003A017A"/>
    <w:rsid w:val="003A058E"/>
    <w:rsid w:val="003B0C3F"/>
    <w:rsid w:val="003B4EBE"/>
    <w:rsid w:val="003C5CA3"/>
    <w:rsid w:val="003D4AF7"/>
    <w:rsid w:val="003E7D05"/>
    <w:rsid w:val="003F7BD5"/>
    <w:rsid w:val="004001D3"/>
    <w:rsid w:val="00413EB2"/>
    <w:rsid w:val="00416833"/>
    <w:rsid w:val="0043529C"/>
    <w:rsid w:val="00436830"/>
    <w:rsid w:val="004518CA"/>
    <w:rsid w:val="00453993"/>
    <w:rsid w:val="004751E7"/>
    <w:rsid w:val="00480984"/>
    <w:rsid w:val="004868A7"/>
    <w:rsid w:val="00486901"/>
    <w:rsid w:val="004874D5"/>
    <w:rsid w:val="0049040D"/>
    <w:rsid w:val="004911B3"/>
    <w:rsid w:val="004927AD"/>
    <w:rsid w:val="004976CF"/>
    <w:rsid w:val="004A09D4"/>
    <w:rsid w:val="004A2D12"/>
    <w:rsid w:val="004A7EBE"/>
    <w:rsid w:val="004B6764"/>
    <w:rsid w:val="004C278A"/>
    <w:rsid w:val="004C5C79"/>
    <w:rsid w:val="004D35C1"/>
    <w:rsid w:val="004D41B2"/>
    <w:rsid w:val="004E2CB6"/>
    <w:rsid w:val="004E4F17"/>
    <w:rsid w:val="004E64D1"/>
    <w:rsid w:val="004E65C5"/>
    <w:rsid w:val="004E7153"/>
    <w:rsid w:val="004E73C4"/>
    <w:rsid w:val="004F2A5D"/>
    <w:rsid w:val="004F46C3"/>
    <w:rsid w:val="004F75BC"/>
    <w:rsid w:val="005057DA"/>
    <w:rsid w:val="00507EEE"/>
    <w:rsid w:val="0053189A"/>
    <w:rsid w:val="0054027C"/>
    <w:rsid w:val="00543121"/>
    <w:rsid w:val="0055508E"/>
    <w:rsid w:val="005675F8"/>
    <w:rsid w:val="00580CA3"/>
    <w:rsid w:val="0058422D"/>
    <w:rsid w:val="0058758F"/>
    <w:rsid w:val="005A46D3"/>
    <w:rsid w:val="005A5D10"/>
    <w:rsid w:val="005B4D5D"/>
    <w:rsid w:val="005C0841"/>
    <w:rsid w:val="005C65D1"/>
    <w:rsid w:val="005D0201"/>
    <w:rsid w:val="005E2013"/>
    <w:rsid w:val="005E7317"/>
    <w:rsid w:val="005E758C"/>
    <w:rsid w:val="005F3B4D"/>
    <w:rsid w:val="005F4C66"/>
    <w:rsid w:val="005F54B9"/>
    <w:rsid w:val="00602EC6"/>
    <w:rsid w:val="0061122A"/>
    <w:rsid w:val="006142E5"/>
    <w:rsid w:val="0062067C"/>
    <w:rsid w:val="00623301"/>
    <w:rsid w:val="0063509C"/>
    <w:rsid w:val="00636F84"/>
    <w:rsid w:val="00665E33"/>
    <w:rsid w:val="006771D8"/>
    <w:rsid w:val="00690C3A"/>
    <w:rsid w:val="00692E7B"/>
    <w:rsid w:val="00695178"/>
    <w:rsid w:val="00695565"/>
    <w:rsid w:val="006A00C6"/>
    <w:rsid w:val="006B0D5E"/>
    <w:rsid w:val="006B2958"/>
    <w:rsid w:val="006B3BDF"/>
    <w:rsid w:val="006B5F33"/>
    <w:rsid w:val="006F4017"/>
    <w:rsid w:val="007114BB"/>
    <w:rsid w:val="00712055"/>
    <w:rsid w:val="00712A40"/>
    <w:rsid w:val="0072018D"/>
    <w:rsid w:val="00727FF5"/>
    <w:rsid w:val="00730B37"/>
    <w:rsid w:val="0073527F"/>
    <w:rsid w:val="007501A5"/>
    <w:rsid w:val="00751E62"/>
    <w:rsid w:val="007538A5"/>
    <w:rsid w:val="00754179"/>
    <w:rsid w:val="00755715"/>
    <w:rsid w:val="007613B4"/>
    <w:rsid w:val="0076252D"/>
    <w:rsid w:val="0077110B"/>
    <w:rsid w:val="00772B09"/>
    <w:rsid w:val="007751E0"/>
    <w:rsid w:val="00777531"/>
    <w:rsid w:val="0078104B"/>
    <w:rsid w:val="007835F4"/>
    <w:rsid w:val="00784F58"/>
    <w:rsid w:val="00786355"/>
    <w:rsid w:val="007956FD"/>
    <w:rsid w:val="007A0871"/>
    <w:rsid w:val="007A18AD"/>
    <w:rsid w:val="007B0D29"/>
    <w:rsid w:val="007C3877"/>
    <w:rsid w:val="007C39C6"/>
    <w:rsid w:val="007C5CDE"/>
    <w:rsid w:val="007C5D1E"/>
    <w:rsid w:val="007D4AE6"/>
    <w:rsid w:val="007D55AC"/>
    <w:rsid w:val="007F5278"/>
    <w:rsid w:val="007F7EF6"/>
    <w:rsid w:val="00815FBB"/>
    <w:rsid w:val="0082149E"/>
    <w:rsid w:val="00823A5E"/>
    <w:rsid w:val="00826A23"/>
    <w:rsid w:val="00827ED7"/>
    <w:rsid w:val="00830AA5"/>
    <w:rsid w:val="00837999"/>
    <w:rsid w:val="00837ECE"/>
    <w:rsid w:val="0084292E"/>
    <w:rsid w:val="00850C72"/>
    <w:rsid w:val="008544DE"/>
    <w:rsid w:val="008614C6"/>
    <w:rsid w:val="008631AF"/>
    <w:rsid w:val="00863F54"/>
    <w:rsid w:val="0087179A"/>
    <w:rsid w:val="00871C97"/>
    <w:rsid w:val="008914B7"/>
    <w:rsid w:val="008937EA"/>
    <w:rsid w:val="008A1555"/>
    <w:rsid w:val="008A28EC"/>
    <w:rsid w:val="008B1858"/>
    <w:rsid w:val="008B30CF"/>
    <w:rsid w:val="008B388C"/>
    <w:rsid w:val="008B38E2"/>
    <w:rsid w:val="008B3AC9"/>
    <w:rsid w:val="008B5660"/>
    <w:rsid w:val="008B7BDA"/>
    <w:rsid w:val="008B7F5F"/>
    <w:rsid w:val="008C0555"/>
    <w:rsid w:val="008C2B39"/>
    <w:rsid w:val="008C67CD"/>
    <w:rsid w:val="008C77C5"/>
    <w:rsid w:val="008C7B45"/>
    <w:rsid w:val="008D01C4"/>
    <w:rsid w:val="008D1B48"/>
    <w:rsid w:val="008E15F6"/>
    <w:rsid w:val="008E79B6"/>
    <w:rsid w:val="008F67AC"/>
    <w:rsid w:val="008F7133"/>
    <w:rsid w:val="00901024"/>
    <w:rsid w:val="009106B5"/>
    <w:rsid w:val="00916D31"/>
    <w:rsid w:val="00923B99"/>
    <w:rsid w:val="009259EC"/>
    <w:rsid w:val="00931422"/>
    <w:rsid w:val="00944495"/>
    <w:rsid w:val="00947DFC"/>
    <w:rsid w:val="009501F4"/>
    <w:rsid w:val="00952DEC"/>
    <w:rsid w:val="00956199"/>
    <w:rsid w:val="00961E75"/>
    <w:rsid w:val="00965A07"/>
    <w:rsid w:val="0097603C"/>
    <w:rsid w:val="009811CD"/>
    <w:rsid w:val="009902EB"/>
    <w:rsid w:val="00995737"/>
    <w:rsid w:val="009A74B7"/>
    <w:rsid w:val="009B176A"/>
    <w:rsid w:val="009B58B9"/>
    <w:rsid w:val="009C1097"/>
    <w:rsid w:val="009C767E"/>
    <w:rsid w:val="009E4A1F"/>
    <w:rsid w:val="009F702C"/>
    <w:rsid w:val="00A046A0"/>
    <w:rsid w:val="00A262BA"/>
    <w:rsid w:val="00A42857"/>
    <w:rsid w:val="00A4446F"/>
    <w:rsid w:val="00A44C62"/>
    <w:rsid w:val="00A45BF4"/>
    <w:rsid w:val="00A478A2"/>
    <w:rsid w:val="00A56D82"/>
    <w:rsid w:val="00A670E4"/>
    <w:rsid w:val="00A700D7"/>
    <w:rsid w:val="00A73311"/>
    <w:rsid w:val="00A911FD"/>
    <w:rsid w:val="00A91776"/>
    <w:rsid w:val="00A91DE5"/>
    <w:rsid w:val="00A94870"/>
    <w:rsid w:val="00AA02C2"/>
    <w:rsid w:val="00AA5FDA"/>
    <w:rsid w:val="00AB1337"/>
    <w:rsid w:val="00AB28EB"/>
    <w:rsid w:val="00AB300C"/>
    <w:rsid w:val="00AB3C59"/>
    <w:rsid w:val="00AC3634"/>
    <w:rsid w:val="00AD12A4"/>
    <w:rsid w:val="00AD24B7"/>
    <w:rsid w:val="00AE40D9"/>
    <w:rsid w:val="00AF4D40"/>
    <w:rsid w:val="00AF5EE3"/>
    <w:rsid w:val="00B119CA"/>
    <w:rsid w:val="00B22E8A"/>
    <w:rsid w:val="00B41163"/>
    <w:rsid w:val="00B469AD"/>
    <w:rsid w:val="00B51014"/>
    <w:rsid w:val="00B55B29"/>
    <w:rsid w:val="00B57A69"/>
    <w:rsid w:val="00B61E45"/>
    <w:rsid w:val="00B649D4"/>
    <w:rsid w:val="00B66838"/>
    <w:rsid w:val="00B76409"/>
    <w:rsid w:val="00B76547"/>
    <w:rsid w:val="00B875C5"/>
    <w:rsid w:val="00B87AA8"/>
    <w:rsid w:val="00B92A3F"/>
    <w:rsid w:val="00B978B4"/>
    <w:rsid w:val="00BB4B7F"/>
    <w:rsid w:val="00BB4FB2"/>
    <w:rsid w:val="00BC659C"/>
    <w:rsid w:val="00BD1835"/>
    <w:rsid w:val="00BD1A31"/>
    <w:rsid w:val="00BD7C0A"/>
    <w:rsid w:val="00BE11F0"/>
    <w:rsid w:val="00BE2155"/>
    <w:rsid w:val="00BE2C55"/>
    <w:rsid w:val="00BF3B4B"/>
    <w:rsid w:val="00BF7BBA"/>
    <w:rsid w:val="00C014FD"/>
    <w:rsid w:val="00C068FA"/>
    <w:rsid w:val="00C07F16"/>
    <w:rsid w:val="00C12B41"/>
    <w:rsid w:val="00C1376F"/>
    <w:rsid w:val="00C20535"/>
    <w:rsid w:val="00C217F5"/>
    <w:rsid w:val="00C23C00"/>
    <w:rsid w:val="00C262CA"/>
    <w:rsid w:val="00C505D0"/>
    <w:rsid w:val="00C52E1C"/>
    <w:rsid w:val="00C72E67"/>
    <w:rsid w:val="00C86271"/>
    <w:rsid w:val="00CA13ED"/>
    <w:rsid w:val="00CA1CDD"/>
    <w:rsid w:val="00CA6AB9"/>
    <w:rsid w:val="00CB0829"/>
    <w:rsid w:val="00CB6EBE"/>
    <w:rsid w:val="00CC2DCC"/>
    <w:rsid w:val="00CC50F1"/>
    <w:rsid w:val="00CE08F3"/>
    <w:rsid w:val="00CE11A3"/>
    <w:rsid w:val="00CE66D4"/>
    <w:rsid w:val="00D061F1"/>
    <w:rsid w:val="00D20361"/>
    <w:rsid w:val="00D332F9"/>
    <w:rsid w:val="00D37D39"/>
    <w:rsid w:val="00D44A76"/>
    <w:rsid w:val="00D453B6"/>
    <w:rsid w:val="00D5060F"/>
    <w:rsid w:val="00D5405E"/>
    <w:rsid w:val="00D54E89"/>
    <w:rsid w:val="00D642EB"/>
    <w:rsid w:val="00D67337"/>
    <w:rsid w:val="00D67A1D"/>
    <w:rsid w:val="00D755F6"/>
    <w:rsid w:val="00D86FD0"/>
    <w:rsid w:val="00D8784F"/>
    <w:rsid w:val="00D91449"/>
    <w:rsid w:val="00DD26D7"/>
    <w:rsid w:val="00DD78E7"/>
    <w:rsid w:val="00DE0037"/>
    <w:rsid w:val="00DE1260"/>
    <w:rsid w:val="00DE3BC9"/>
    <w:rsid w:val="00DE69B1"/>
    <w:rsid w:val="00E019C1"/>
    <w:rsid w:val="00E01E8F"/>
    <w:rsid w:val="00E020C5"/>
    <w:rsid w:val="00E02BAD"/>
    <w:rsid w:val="00E04EDF"/>
    <w:rsid w:val="00E0785C"/>
    <w:rsid w:val="00E1099A"/>
    <w:rsid w:val="00E12E70"/>
    <w:rsid w:val="00E13631"/>
    <w:rsid w:val="00E17FB0"/>
    <w:rsid w:val="00E35A96"/>
    <w:rsid w:val="00E36B93"/>
    <w:rsid w:val="00E457FD"/>
    <w:rsid w:val="00E46475"/>
    <w:rsid w:val="00E50B64"/>
    <w:rsid w:val="00E75FBF"/>
    <w:rsid w:val="00E81509"/>
    <w:rsid w:val="00E83446"/>
    <w:rsid w:val="00E83D10"/>
    <w:rsid w:val="00E862A1"/>
    <w:rsid w:val="00E92BA4"/>
    <w:rsid w:val="00EA09B9"/>
    <w:rsid w:val="00EA3745"/>
    <w:rsid w:val="00EC06C6"/>
    <w:rsid w:val="00EC0889"/>
    <w:rsid w:val="00EC3321"/>
    <w:rsid w:val="00ED55F7"/>
    <w:rsid w:val="00ED68CC"/>
    <w:rsid w:val="00EF49E9"/>
    <w:rsid w:val="00F007D0"/>
    <w:rsid w:val="00F04FB8"/>
    <w:rsid w:val="00F061D7"/>
    <w:rsid w:val="00F06508"/>
    <w:rsid w:val="00F12F06"/>
    <w:rsid w:val="00F1569F"/>
    <w:rsid w:val="00F15C1F"/>
    <w:rsid w:val="00F17D0A"/>
    <w:rsid w:val="00F23BAD"/>
    <w:rsid w:val="00F31CD8"/>
    <w:rsid w:val="00F34256"/>
    <w:rsid w:val="00F411DF"/>
    <w:rsid w:val="00F434E0"/>
    <w:rsid w:val="00F4429A"/>
    <w:rsid w:val="00F475E2"/>
    <w:rsid w:val="00F47A39"/>
    <w:rsid w:val="00F5107B"/>
    <w:rsid w:val="00F52AC3"/>
    <w:rsid w:val="00F5698C"/>
    <w:rsid w:val="00F56DA5"/>
    <w:rsid w:val="00F60773"/>
    <w:rsid w:val="00F62C70"/>
    <w:rsid w:val="00F65BF5"/>
    <w:rsid w:val="00F70CE0"/>
    <w:rsid w:val="00F72C46"/>
    <w:rsid w:val="00F7669D"/>
    <w:rsid w:val="00F77099"/>
    <w:rsid w:val="00F77EB3"/>
    <w:rsid w:val="00F83130"/>
    <w:rsid w:val="00F83470"/>
    <w:rsid w:val="00F94005"/>
    <w:rsid w:val="00F96B60"/>
    <w:rsid w:val="00F97718"/>
    <w:rsid w:val="00F97849"/>
    <w:rsid w:val="00FA186D"/>
    <w:rsid w:val="00FB39C8"/>
    <w:rsid w:val="00FC0694"/>
    <w:rsid w:val="00FC1691"/>
    <w:rsid w:val="00FC753D"/>
    <w:rsid w:val="00FD6BAB"/>
    <w:rsid w:val="00FD730A"/>
    <w:rsid w:val="00FF33F4"/>
    <w:rsid w:val="00FF56BA"/>
    <w:rsid w:val="00FF6634"/>
    <w:rsid w:val="0159726C"/>
    <w:rsid w:val="02FA082F"/>
    <w:rsid w:val="036443B3"/>
    <w:rsid w:val="049251C3"/>
    <w:rsid w:val="05793607"/>
    <w:rsid w:val="06A4180F"/>
    <w:rsid w:val="07666909"/>
    <w:rsid w:val="08070A00"/>
    <w:rsid w:val="08CA54C0"/>
    <w:rsid w:val="0983157E"/>
    <w:rsid w:val="09954E0D"/>
    <w:rsid w:val="09A6526C"/>
    <w:rsid w:val="0A273EFA"/>
    <w:rsid w:val="0B354AFA"/>
    <w:rsid w:val="0C711B61"/>
    <w:rsid w:val="0FA67D74"/>
    <w:rsid w:val="10702130"/>
    <w:rsid w:val="10A36062"/>
    <w:rsid w:val="119500A0"/>
    <w:rsid w:val="13767A5D"/>
    <w:rsid w:val="14074B59"/>
    <w:rsid w:val="1537321C"/>
    <w:rsid w:val="153D4CD7"/>
    <w:rsid w:val="15A72150"/>
    <w:rsid w:val="16D276A1"/>
    <w:rsid w:val="180B10BC"/>
    <w:rsid w:val="18445475"/>
    <w:rsid w:val="18845183"/>
    <w:rsid w:val="18BF3C55"/>
    <w:rsid w:val="19940409"/>
    <w:rsid w:val="1A5E5154"/>
    <w:rsid w:val="1B2B55D1"/>
    <w:rsid w:val="1B7E7DF7"/>
    <w:rsid w:val="1EC71AB5"/>
    <w:rsid w:val="1F8310C6"/>
    <w:rsid w:val="1FA94D17"/>
    <w:rsid w:val="24BF3B68"/>
    <w:rsid w:val="251D3512"/>
    <w:rsid w:val="25AE12D9"/>
    <w:rsid w:val="27E5759F"/>
    <w:rsid w:val="280451E0"/>
    <w:rsid w:val="28093C65"/>
    <w:rsid w:val="2A273408"/>
    <w:rsid w:val="2BC5737C"/>
    <w:rsid w:val="2C7C5EDD"/>
    <w:rsid w:val="2D3B5B48"/>
    <w:rsid w:val="2E1F6B96"/>
    <w:rsid w:val="2E8E45A1"/>
    <w:rsid w:val="2F2E7A55"/>
    <w:rsid w:val="3049232A"/>
    <w:rsid w:val="319F53A2"/>
    <w:rsid w:val="31BC6B2B"/>
    <w:rsid w:val="33721193"/>
    <w:rsid w:val="337E678E"/>
    <w:rsid w:val="340500A3"/>
    <w:rsid w:val="35F745D6"/>
    <w:rsid w:val="36016B7B"/>
    <w:rsid w:val="37686C17"/>
    <w:rsid w:val="37D06A81"/>
    <w:rsid w:val="37F012DD"/>
    <w:rsid w:val="38301DBE"/>
    <w:rsid w:val="38641C50"/>
    <w:rsid w:val="38AF73EA"/>
    <w:rsid w:val="38F372D7"/>
    <w:rsid w:val="39F350B4"/>
    <w:rsid w:val="3AAB598F"/>
    <w:rsid w:val="3B1F2605"/>
    <w:rsid w:val="3BBA232E"/>
    <w:rsid w:val="3CF4186F"/>
    <w:rsid w:val="3D644C0E"/>
    <w:rsid w:val="3F782328"/>
    <w:rsid w:val="405451D7"/>
    <w:rsid w:val="40642868"/>
    <w:rsid w:val="40776A3F"/>
    <w:rsid w:val="41CC2DBB"/>
    <w:rsid w:val="43140575"/>
    <w:rsid w:val="437764B0"/>
    <w:rsid w:val="438E7C66"/>
    <w:rsid w:val="44421112"/>
    <w:rsid w:val="44464016"/>
    <w:rsid w:val="4465410B"/>
    <w:rsid w:val="448243AB"/>
    <w:rsid w:val="44F90A89"/>
    <w:rsid w:val="4521777E"/>
    <w:rsid w:val="45317BCE"/>
    <w:rsid w:val="45C25741"/>
    <w:rsid w:val="46724F2F"/>
    <w:rsid w:val="46737CA9"/>
    <w:rsid w:val="471952E9"/>
    <w:rsid w:val="47F03878"/>
    <w:rsid w:val="49425710"/>
    <w:rsid w:val="4B5F673A"/>
    <w:rsid w:val="4B8D6B91"/>
    <w:rsid w:val="4BAB48A6"/>
    <w:rsid w:val="4C255EE1"/>
    <w:rsid w:val="4D19766B"/>
    <w:rsid w:val="4DAE7818"/>
    <w:rsid w:val="50860E67"/>
    <w:rsid w:val="511264FA"/>
    <w:rsid w:val="51200A2D"/>
    <w:rsid w:val="513D513B"/>
    <w:rsid w:val="51F83758"/>
    <w:rsid w:val="52516C94"/>
    <w:rsid w:val="52D60D2E"/>
    <w:rsid w:val="531A3C68"/>
    <w:rsid w:val="541A5CB0"/>
    <w:rsid w:val="5571253B"/>
    <w:rsid w:val="56701B0F"/>
    <w:rsid w:val="56813D1C"/>
    <w:rsid w:val="57C3726B"/>
    <w:rsid w:val="58404F46"/>
    <w:rsid w:val="588E4FEE"/>
    <w:rsid w:val="598C3104"/>
    <w:rsid w:val="5A68536B"/>
    <w:rsid w:val="5B055AC7"/>
    <w:rsid w:val="5BAE65A3"/>
    <w:rsid w:val="5BF62AB6"/>
    <w:rsid w:val="5D1A4582"/>
    <w:rsid w:val="5D5C4B9B"/>
    <w:rsid w:val="5D63417B"/>
    <w:rsid w:val="5E6615F0"/>
    <w:rsid w:val="5EB91099"/>
    <w:rsid w:val="61244ACF"/>
    <w:rsid w:val="63032F4E"/>
    <w:rsid w:val="630F26B0"/>
    <w:rsid w:val="65506306"/>
    <w:rsid w:val="65657A8A"/>
    <w:rsid w:val="65B01354"/>
    <w:rsid w:val="661A1A97"/>
    <w:rsid w:val="676A158C"/>
    <w:rsid w:val="68943F59"/>
    <w:rsid w:val="68C73DE6"/>
    <w:rsid w:val="69DB27B6"/>
    <w:rsid w:val="6ADC731B"/>
    <w:rsid w:val="6ADF6E0B"/>
    <w:rsid w:val="6B3410B7"/>
    <w:rsid w:val="6B5B2936"/>
    <w:rsid w:val="6BF40694"/>
    <w:rsid w:val="6C5F1FB2"/>
    <w:rsid w:val="6D757091"/>
    <w:rsid w:val="6E3A0F28"/>
    <w:rsid w:val="6ED547AD"/>
    <w:rsid w:val="6EEF1D13"/>
    <w:rsid w:val="6F173018"/>
    <w:rsid w:val="6F2D45E9"/>
    <w:rsid w:val="6F5E0C47"/>
    <w:rsid w:val="6FE74798"/>
    <w:rsid w:val="6FED3D79"/>
    <w:rsid w:val="70F42B51"/>
    <w:rsid w:val="716871DC"/>
    <w:rsid w:val="717402AD"/>
    <w:rsid w:val="71B608C6"/>
    <w:rsid w:val="727F33AE"/>
    <w:rsid w:val="73971ED2"/>
    <w:rsid w:val="74212243"/>
    <w:rsid w:val="76AA29C3"/>
    <w:rsid w:val="76B03803"/>
    <w:rsid w:val="77C836CF"/>
    <w:rsid w:val="781C24E2"/>
    <w:rsid w:val="7855353D"/>
    <w:rsid w:val="789E522D"/>
    <w:rsid w:val="79A87D37"/>
    <w:rsid w:val="79EB757B"/>
    <w:rsid w:val="7B0F7299"/>
    <w:rsid w:val="7B7F61CD"/>
    <w:rsid w:val="7BA23C69"/>
    <w:rsid w:val="7BDD7AD8"/>
    <w:rsid w:val="7CF91FAF"/>
    <w:rsid w:val="7DAE0FEB"/>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4"/>
    <w:qFormat/>
    <w:uiPriority w:val="9"/>
    <w:pPr>
      <w:keepNext/>
      <w:keepLines/>
      <w:spacing w:line="360" w:lineRule="auto"/>
      <w:outlineLvl w:val="0"/>
    </w:pPr>
    <w:rPr>
      <w:b/>
      <w:kern w:val="44"/>
      <w:sz w:val="32"/>
    </w:rPr>
  </w:style>
  <w:style w:type="paragraph" w:styleId="4">
    <w:name w:val="heading 2"/>
    <w:basedOn w:val="5"/>
    <w:next w:val="6"/>
    <w:link w:val="27"/>
    <w:unhideWhenUsed/>
    <w:qFormat/>
    <w:uiPriority w:val="0"/>
    <w:pPr>
      <w:keepNext/>
      <w:keepLines/>
      <w:spacing w:before="260" w:after="260" w:line="416" w:lineRule="auto"/>
      <w:outlineLvl w:val="1"/>
    </w:pPr>
    <w:rPr>
      <w:rFonts w:ascii="Cambria" w:hAnsi="Cambria"/>
      <w:sz w:val="32"/>
      <w:szCs w:val="32"/>
    </w:rPr>
  </w:style>
  <w:style w:type="paragraph" w:styleId="5">
    <w:name w:val="heading 3"/>
    <w:basedOn w:val="6"/>
    <w:next w:val="1"/>
    <w:link w:val="30"/>
    <w:unhideWhenUsed/>
    <w:qFormat/>
    <w:uiPriority w:val="9"/>
    <w:pPr>
      <w:keepNext/>
      <w:keepLines/>
      <w:spacing w:before="260" w:after="260" w:line="416" w:lineRule="auto"/>
      <w:outlineLvl w:val="2"/>
    </w:pPr>
    <w:rPr>
      <w:sz w:val="32"/>
      <w:szCs w:val="32"/>
    </w:rPr>
  </w:style>
  <w:style w:type="paragraph" w:styleId="6">
    <w:name w:val="heading 4"/>
    <w:basedOn w:val="1"/>
    <w:next w:val="1"/>
    <w:link w:val="3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2"/>
    <w:semiHidden/>
    <w:unhideWhenUsed/>
    <w:qFormat/>
    <w:uiPriority w:val="99"/>
    <w:pPr>
      <w:spacing w:after="120"/>
    </w:pPr>
    <w:rPr>
      <w:rFonts w:asciiTheme="minorHAnsi" w:hAnsiTheme="minorHAnsi" w:eastAsiaTheme="minorEastAsia" w:cstheme="minorBidi"/>
      <w:szCs w:val="24"/>
    </w:rPr>
  </w:style>
  <w:style w:type="paragraph" w:styleId="7">
    <w:name w:val="Normal Indent"/>
    <w:basedOn w:val="1"/>
    <w:qFormat/>
    <w:uiPriority w:val="0"/>
    <w:pPr>
      <w:adjustRightInd w:val="0"/>
      <w:spacing w:line="360" w:lineRule="atLeast"/>
      <w:ind w:firstLine="420"/>
      <w:jc w:val="left"/>
      <w:textAlignment w:val="baseline"/>
    </w:pPr>
    <w:rPr>
      <w:kern w:val="0"/>
      <w:sz w:val="24"/>
    </w:rPr>
  </w:style>
  <w:style w:type="paragraph" w:styleId="8">
    <w:name w:val="annotation text"/>
    <w:basedOn w:val="1"/>
    <w:link w:val="25"/>
    <w:unhideWhenUsed/>
    <w:qFormat/>
    <w:uiPriority w:val="99"/>
    <w:pPr>
      <w:jc w:val="left"/>
    </w:pPr>
  </w:style>
  <w:style w:type="paragraph" w:styleId="9">
    <w:name w:val="Body Text Indent"/>
    <w:basedOn w:val="1"/>
    <w:qFormat/>
    <w:uiPriority w:val="0"/>
    <w:pPr>
      <w:spacing w:line="360" w:lineRule="auto"/>
      <w:ind w:firstLine="420" w:firstLineChars="200"/>
    </w:pPr>
  </w:style>
  <w:style w:type="paragraph" w:styleId="10">
    <w:name w:val="index 4"/>
    <w:basedOn w:val="1"/>
    <w:next w:val="1"/>
    <w:semiHidden/>
    <w:qFormat/>
    <w:uiPriority w:val="0"/>
    <w:pPr>
      <w:ind w:left="1260"/>
    </w:pPr>
  </w:style>
  <w:style w:type="paragraph" w:styleId="11">
    <w:name w:val="Balloon Text"/>
    <w:basedOn w:val="1"/>
    <w:link w:val="26"/>
    <w:semiHidden/>
    <w:unhideWhenUsed/>
    <w:qFormat/>
    <w:uiPriority w:val="99"/>
    <w:rPr>
      <w:sz w:val="18"/>
      <w:szCs w:val="18"/>
    </w:rPr>
  </w:style>
  <w:style w:type="paragraph" w:styleId="12">
    <w:name w:val="footer"/>
    <w:basedOn w:val="1"/>
    <w:link w:val="23"/>
    <w:unhideWhenUsed/>
    <w:qFormat/>
    <w:uiPriority w:val="0"/>
    <w:pPr>
      <w:tabs>
        <w:tab w:val="center" w:pos="4153"/>
        <w:tab w:val="right" w:pos="8306"/>
      </w:tabs>
      <w:snapToGrid w:val="0"/>
      <w:jc w:val="left"/>
    </w:pPr>
    <w:rPr>
      <w:sz w:val="18"/>
      <w:szCs w:val="18"/>
    </w:rPr>
  </w:style>
  <w:style w:type="paragraph" w:styleId="13">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line="360" w:lineRule="auto"/>
    </w:pPr>
    <w:rPr>
      <w:sz w:val="24"/>
    </w:rPr>
  </w:style>
  <w:style w:type="paragraph" w:styleId="15">
    <w:name w:val="Body Text First Indent 2"/>
    <w:basedOn w:val="9"/>
    <w:qFormat/>
    <w:uiPriority w:val="0"/>
    <w:rPr>
      <w:rFonts w:ascii="Calibri" w:hAnsi="Calibri"/>
    </w:rPr>
  </w:style>
  <w:style w:type="character" w:styleId="18">
    <w:name w:val="page number"/>
    <w:basedOn w:val="17"/>
    <w:unhideWhenUsed/>
    <w:qFormat/>
    <w:uiPriority w:val="99"/>
  </w:style>
  <w:style w:type="character" w:styleId="19">
    <w:name w:val="annotation reference"/>
    <w:qFormat/>
    <w:uiPriority w:val="0"/>
    <w:rPr>
      <w:sz w:val="21"/>
      <w:szCs w:val="21"/>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1">
    <w:name w:val="List Paragraph"/>
    <w:basedOn w:val="1"/>
    <w:link w:val="29"/>
    <w:qFormat/>
    <w:uiPriority w:val="34"/>
    <w:pPr>
      <w:ind w:firstLine="420" w:firstLineChars="200"/>
    </w:pPr>
  </w:style>
  <w:style w:type="character" w:customStyle="1" w:styleId="22">
    <w:name w:val="页眉 字符"/>
    <w:basedOn w:val="17"/>
    <w:link w:val="13"/>
    <w:qFormat/>
    <w:uiPriority w:val="99"/>
    <w:rPr>
      <w:sz w:val="18"/>
      <w:szCs w:val="18"/>
    </w:rPr>
  </w:style>
  <w:style w:type="character" w:customStyle="1" w:styleId="23">
    <w:name w:val="页脚 字符"/>
    <w:basedOn w:val="17"/>
    <w:link w:val="12"/>
    <w:qFormat/>
    <w:uiPriority w:val="99"/>
    <w:rPr>
      <w:sz w:val="18"/>
      <w:szCs w:val="18"/>
    </w:rPr>
  </w:style>
  <w:style w:type="character" w:customStyle="1" w:styleId="24">
    <w:name w:val="标题 1 字符"/>
    <w:basedOn w:val="17"/>
    <w:link w:val="3"/>
    <w:qFormat/>
    <w:uiPriority w:val="9"/>
    <w:rPr>
      <w:rFonts w:ascii="Times New Roman" w:hAnsi="Times New Roman" w:eastAsia="宋体" w:cs="Times New Roman"/>
      <w:b/>
      <w:kern w:val="44"/>
      <w:sz w:val="32"/>
      <w:szCs w:val="20"/>
    </w:rPr>
  </w:style>
  <w:style w:type="character" w:customStyle="1" w:styleId="25">
    <w:name w:val="批注文字 字符"/>
    <w:basedOn w:val="17"/>
    <w:link w:val="8"/>
    <w:qFormat/>
    <w:uiPriority w:val="99"/>
    <w:rPr>
      <w:rFonts w:ascii="Times New Roman" w:hAnsi="Times New Roman" w:eastAsia="宋体" w:cs="Times New Roman"/>
      <w:szCs w:val="20"/>
    </w:rPr>
  </w:style>
  <w:style w:type="character" w:customStyle="1" w:styleId="26">
    <w:name w:val="批注框文本 字符"/>
    <w:basedOn w:val="17"/>
    <w:link w:val="11"/>
    <w:semiHidden/>
    <w:qFormat/>
    <w:uiPriority w:val="99"/>
    <w:rPr>
      <w:rFonts w:ascii="Times New Roman" w:hAnsi="Times New Roman" w:eastAsia="宋体" w:cs="Times New Roman"/>
      <w:sz w:val="18"/>
      <w:szCs w:val="18"/>
    </w:rPr>
  </w:style>
  <w:style w:type="character" w:customStyle="1" w:styleId="27">
    <w:name w:val="标题 2 字符"/>
    <w:basedOn w:val="17"/>
    <w:link w:val="4"/>
    <w:qFormat/>
    <w:uiPriority w:val="0"/>
    <w:rPr>
      <w:rFonts w:ascii="Cambria" w:hAnsi="Cambria" w:eastAsia="宋体" w:cs="Times New Roman"/>
      <w:b/>
      <w:bCs/>
      <w:sz w:val="32"/>
      <w:szCs w:val="32"/>
    </w:rPr>
  </w:style>
  <w:style w:type="paragraph" w:customStyle="1" w:styleId="28">
    <w:name w:val="列出段落1"/>
    <w:basedOn w:val="1"/>
    <w:qFormat/>
    <w:uiPriority w:val="34"/>
    <w:pPr>
      <w:ind w:firstLine="420" w:firstLineChars="200"/>
    </w:pPr>
    <w:rPr>
      <w:sz w:val="24"/>
      <w:szCs w:val="24"/>
    </w:rPr>
  </w:style>
  <w:style w:type="character" w:customStyle="1" w:styleId="29">
    <w:name w:val="列表段落 字符"/>
    <w:link w:val="21"/>
    <w:qFormat/>
    <w:uiPriority w:val="34"/>
    <w:rPr>
      <w:rFonts w:ascii="Times New Roman" w:hAnsi="Times New Roman" w:eastAsia="宋体" w:cs="Times New Roman"/>
      <w:szCs w:val="20"/>
    </w:rPr>
  </w:style>
  <w:style w:type="character" w:customStyle="1" w:styleId="30">
    <w:name w:val="标题 3 字符"/>
    <w:basedOn w:val="17"/>
    <w:link w:val="5"/>
    <w:qFormat/>
    <w:uiPriority w:val="9"/>
    <w:rPr>
      <w:rFonts w:ascii="Times New Roman" w:hAnsi="Times New Roman" w:eastAsia="宋体" w:cs="Times New Roman"/>
      <w:b/>
      <w:bCs/>
      <w:sz w:val="32"/>
      <w:szCs w:val="32"/>
    </w:rPr>
  </w:style>
  <w:style w:type="character" w:customStyle="1" w:styleId="31">
    <w:name w:val="标题 4 字符"/>
    <w:basedOn w:val="17"/>
    <w:link w:val="6"/>
    <w:semiHidden/>
    <w:qFormat/>
    <w:uiPriority w:val="9"/>
    <w:rPr>
      <w:rFonts w:asciiTheme="majorHAnsi" w:hAnsiTheme="majorHAnsi" w:eastAsiaTheme="majorEastAsia" w:cstheme="majorBidi"/>
      <w:b/>
      <w:bCs/>
      <w:kern w:val="2"/>
      <w:sz w:val="28"/>
      <w:szCs w:val="28"/>
    </w:rPr>
  </w:style>
  <w:style w:type="character" w:customStyle="1" w:styleId="32">
    <w:name w:val="正文文本 字符"/>
    <w:basedOn w:val="17"/>
    <w:link w:val="2"/>
    <w:semiHidden/>
    <w:qFormat/>
    <w:uiPriority w:val="99"/>
    <w:rPr>
      <w:rFonts w:asciiTheme="minorHAnsi" w:hAnsiTheme="minorHAnsi" w:eastAsiaTheme="minorEastAsia" w:cstheme="minorBidi"/>
      <w:kern w:val="2"/>
      <w:sz w:val="21"/>
      <w:szCs w:val="24"/>
    </w:rPr>
  </w:style>
  <w:style w:type="paragraph" w:customStyle="1" w:styleId="33">
    <w:name w:val="标题1"/>
    <w:basedOn w:val="1"/>
    <w:qFormat/>
    <w:uiPriority w:val="0"/>
    <w:pPr>
      <w:widowControl/>
      <w:spacing w:line="360" w:lineRule="auto"/>
      <w:jc w:val="center"/>
    </w:pPr>
    <w:rPr>
      <w:rFonts w:ascii="黑体" w:eastAsia="黑体"/>
      <w:b/>
      <w:kern w:val="0"/>
      <w:sz w:val="44"/>
      <w:szCs w:val="20"/>
    </w:rPr>
  </w:style>
  <w:style w:type="paragraph" w:customStyle="1" w:styleId="34">
    <w:name w:val="列出段落2"/>
    <w:basedOn w:val="1"/>
    <w:qFormat/>
    <w:uiPriority w:val="34"/>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HaoXiTong.Com</Company>
  <Pages>11</Pages>
  <Words>7984</Words>
  <Characters>8180</Characters>
  <Lines>31</Lines>
  <Paragraphs>8</Paragraphs>
  <TotalTime>3</TotalTime>
  <ScaleCrop>false</ScaleCrop>
  <LinksUpToDate>false</LinksUpToDate>
  <CharactersWithSpaces>8185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2019-04-08T03:41:00Z</dcterms:created>
  <dc:creator>PC</dc:creator>
  <cp:lastModifiedBy>追梦</cp:lastModifiedBy>
  <dcterms:modified xsi:type="dcterms:W3CDTF">2026-02-26T02:06:55Z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eyJoZGlkIjoiZDk1MWRhYjNiOWQ4YzQ3MWVmNzhiOWYxYzc0ZWJmYjUiLCJ1c2VySWQiOiIzOTQyODIxNTkifQ==</vt:lpwstr>
  </property>
  <property fmtid="{D5CDD505-2E9C-101B-9397-08002B2CF9AE}" pid="4" name="ICV">
    <vt:lpwstr>C2FA1A106D564E48B0F4B731B94860B0_13</vt:lpwstr>
  </property>
</Properties>
</file>