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A51C2D">
      <w:pPr>
        <w:rPr>
          <w:highlight w:val="none"/>
        </w:rPr>
      </w:pPr>
      <w:bookmarkStart w:id="8" w:name="_GoBack"/>
      <w:r>
        <w:rPr>
          <w:rFonts w:hint="eastAsia" w:ascii="仿宋_GB2312" w:eastAsia="仿宋_GB2312"/>
          <w:b/>
          <w:bCs/>
          <w:sz w:val="30"/>
          <w:szCs w:val="30"/>
          <w:highlight w:val="none"/>
        </w:rPr>
        <w:t>附件2：综合评分表</w:t>
      </w:r>
    </w:p>
    <w:bookmarkEnd w:id="8"/>
    <w:tbl>
      <w:tblPr>
        <w:tblStyle w:val="2"/>
        <w:tblW w:w="9632" w:type="dxa"/>
        <w:tblInd w:w="-246" w:type="dxa"/>
        <w:tblLayout w:type="fixed"/>
        <w:tblCellMar>
          <w:top w:w="0" w:type="dxa"/>
          <w:left w:w="108" w:type="dxa"/>
          <w:bottom w:w="0" w:type="dxa"/>
          <w:right w:w="108" w:type="dxa"/>
        </w:tblCellMar>
      </w:tblPr>
      <w:tblGrid>
        <w:gridCol w:w="570"/>
        <w:gridCol w:w="1656"/>
        <w:gridCol w:w="709"/>
        <w:gridCol w:w="5811"/>
        <w:gridCol w:w="886"/>
      </w:tblGrid>
      <w:tr w14:paraId="4D77737A">
        <w:tblPrEx>
          <w:tblCellMar>
            <w:top w:w="0" w:type="dxa"/>
            <w:left w:w="108" w:type="dxa"/>
            <w:bottom w:w="0" w:type="dxa"/>
            <w:right w:w="108" w:type="dxa"/>
          </w:tblCellMar>
        </w:tblPrEx>
        <w:trPr>
          <w:trHeight w:val="658" w:hRule="atLeast"/>
        </w:trPr>
        <w:tc>
          <w:tcPr>
            <w:tcW w:w="570" w:type="dxa"/>
            <w:tcBorders>
              <w:top w:val="single" w:color="auto" w:sz="4" w:space="0"/>
              <w:left w:val="single" w:color="auto" w:sz="4" w:space="0"/>
              <w:bottom w:val="single" w:color="auto" w:sz="4" w:space="0"/>
              <w:right w:val="single" w:color="auto" w:sz="4" w:space="0"/>
            </w:tcBorders>
            <w:noWrap w:val="0"/>
            <w:vAlign w:val="center"/>
          </w:tcPr>
          <w:p w14:paraId="33223CAD">
            <w:pPr>
              <w:adjustRightInd w:val="0"/>
              <w:snapToGrid w:val="0"/>
              <w:jc w:val="center"/>
              <w:rPr>
                <w:b/>
                <w:szCs w:val="21"/>
                <w:highlight w:val="none"/>
              </w:rPr>
            </w:pPr>
            <w:r>
              <w:rPr>
                <w:rFonts w:hint="eastAsia"/>
                <w:b/>
                <w:szCs w:val="21"/>
                <w:highlight w:val="none"/>
              </w:rPr>
              <w:t>序号</w:t>
            </w:r>
          </w:p>
        </w:tc>
        <w:tc>
          <w:tcPr>
            <w:tcW w:w="1656" w:type="dxa"/>
            <w:tcBorders>
              <w:top w:val="single" w:color="auto" w:sz="4" w:space="0"/>
              <w:left w:val="single" w:color="auto" w:sz="4" w:space="0"/>
              <w:bottom w:val="single" w:color="auto" w:sz="4" w:space="0"/>
              <w:right w:val="single" w:color="auto" w:sz="4" w:space="0"/>
            </w:tcBorders>
            <w:noWrap w:val="0"/>
            <w:vAlign w:val="center"/>
          </w:tcPr>
          <w:p w14:paraId="1A21C4A0">
            <w:pPr>
              <w:adjustRightInd w:val="0"/>
              <w:snapToGrid w:val="0"/>
              <w:jc w:val="center"/>
              <w:rPr>
                <w:b/>
                <w:szCs w:val="21"/>
                <w:highlight w:val="none"/>
              </w:rPr>
            </w:pPr>
            <w:r>
              <w:rPr>
                <w:rFonts w:hint="eastAsia"/>
                <w:b/>
                <w:szCs w:val="21"/>
                <w:highlight w:val="none"/>
              </w:rPr>
              <w:t>评分项</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3540883F">
            <w:pPr>
              <w:adjustRightInd w:val="0"/>
              <w:snapToGrid w:val="0"/>
              <w:jc w:val="center"/>
              <w:rPr>
                <w:b/>
                <w:szCs w:val="21"/>
                <w:highlight w:val="none"/>
              </w:rPr>
            </w:pPr>
            <w:r>
              <w:rPr>
                <w:rFonts w:hint="eastAsia"/>
                <w:b/>
                <w:szCs w:val="21"/>
                <w:highlight w:val="none"/>
              </w:rPr>
              <w:t>分值</w:t>
            </w:r>
          </w:p>
        </w:tc>
        <w:tc>
          <w:tcPr>
            <w:tcW w:w="5811" w:type="dxa"/>
            <w:tcBorders>
              <w:top w:val="single" w:color="auto" w:sz="4" w:space="0"/>
              <w:left w:val="single" w:color="auto" w:sz="4" w:space="0"/>
              <w:bottom w:val="single" w:color="auto" w:sz="4" w:space="0"/>
              <w:right w:val="single" w:color="auto" w:sz="4" w:space="0"/>
            </w:tcBorders>
            <w:noWrap w:val="0"/>
            <w:vAlign w:val="center"/>
          </w:tcPr>
          <w:p w14:paraId="42BE024F">
            <w:pPr>
              <w:adjustRightInd w:val="0"/>
              <w:snapToGrid w:val="0"/>
              <w:jc w:val="center"/>
              <w:rPr>
                <w:b/>
                <w:szCs w:val="21"/>
                <w:highlight w:val="none"/>
              </w:rPr>
            </w:pPr>
            <w:r>
              <w:rPr>
                <w:rFonts w:hint="eastAsia"/>
                <w:b/>
                <w:szCs w:val="21"/>
                <w:highlight w:val="none"/>
              </w:rPr>
              <w:t>评分规则</w:t>
            </w:r>
          </w:p>
        </w:tc>
        <w:tc>
          <w:tcPr>
            <w:tcW w:w="886" w:type="dxa"/>
            <w:tcBorders>
              <w:top w:val="single" w:color="auto" w:sz="4" w:space="0"/>
              <w:left w:val="nil"/>
              <w:bottom w:val="single" w:color="auto" w:sz="4" w:space="0"/>
              <w:right w:val="single" w:color="auto" w:sz="4" w:space="0"/>
            </w:tcBorders>
            <w:noWrap w:val="0"/>
            <w:vAlign w:val="center"/>
          </w:tcPr>
          <w:p w14:paraId="6C2609C5">
            <w:pPr>
              <w:adjustRightInd w:val="0"/>
              <w:snapToGrid w:val="0"/>
              <w:jc w:val="center"/>
              <w:rPr>
                <w:b/>
                <w:szCs w:val="21"/>
                <w:highlight w:val="none"/>
              </w:rPr>
            </w:pPr>
            <w:r>
              <w:rPr>
                <w:rFonts w:hint="eastAsia"/>
                <w:b/>
                <w:szCs w:val="21"/>
                <w:highlight w:val="none"/>
              </w:rPr>
              <w:t>备注</w:t>
            </w:r>
          </w:p>
        </w:tc>
      </w:tr>
      <w:tr w14:paraId="2A0BF764">
        <w:tblPrEx>
          <w:tblCellMar>
            <w:top w:w="0" w:type="dxa"/>
            <w:left w:w="108" w:type="dxa"/>
            <w:bottom w:w="0" w:type="dxa"/>
            <w:right w:w="108" w:type="dxa"/>
          </w:tblCellMar>
        </w:tblPrEx>
        <w:trPr>
          <w:trHeight w:val="766" w:hRule="atLeast"/>
        </w:trPr>
        <w:tc>
          <w:tcPr>
            <w:tcW w:w="570" w:type="dxa"/>
            <w:tcBorders>
              <w:top w:val="nil"/>
              <w:left w:val="single" w:color="auto" w:sz="4" w:space="0"/>
              <w:bottom w:val="single" w:color="auto" w:sz="4" w:space="0"/>
              <w:right w:val="single" w:color="auto" w:sz="4" w:space="0"/>
            </w:tcBorders>
            <w:noWrap w:val="0"/>
            <w:vAlign w:val="center"/>
          </w:tcPr>
          <w:p w14:paraId="470DB25E">
            <w:pPr>
              <w:adjustRightInd w:val="0"/>
              <w:snapToGrid w:val="0"/>
              <w:jc w:val="center"/>
              <w:rPr>
                <w:bCs/>
                <w:szCs w:val="21"/>
                <w:highlight w:val="none"/>
              </w:rPr>
            </w:pPr>
            <w:r>
              <w:rPr>
                <w:rFonts w:hint="eastAsia"/>
                <w:bCs/>
                <w:szCs w:val="21"/>
                <w:highlight w:val="none"/>
              </w:rPr>
              <w:t>1</w:t>
            </w:r>
          </w:p>
        </w:tc>
        <w:tc>
          <w:tcPr>
            <w:tcW w:w="1656" w:type="dxa"/>
            <w:tcBorders>
              <w:top w:val="single" w:color="auto" w:sz="4" w:space="0"/>
              <w:left w:val="single" w:color="auto" w:sz="4" w:space="0"/>
              <w:bottom w:val="single" w:color="auto" w:sz="4" w:space="0"/>
              <w:right w:val="single" w:color="auto" w:sz="4" w:space="0"/>
            </w:tcBorders>
            <w:noWrap w:val="0"/>
            <w:vAlign w:val="center"/>
          </w:tcPr>
          <w:p w14:paraId="29838CFD">
            <w:pPr>
              <w:tabs>
                <w:tab w:val="left" w:pos="900"/>
              </w:tabs>
              <w:jc w:val="center"/>
              <w:rPr>
                <w:bCs/>
                <w:szCs w:val="21"/>
                <w:highlight w:val="none"/>
              </w:rPr>
            </w:pPr>
            <w:r>
              <w:rPr>
                <w:rFonts w:hint="eastAsia" w:ascii="宋体" w:hAnsi="宋体" w:eastAsia="宋体" w:cs="宋体"/>
                <w:szCs w:val="21"/>
                <w:highlight w:val="none"/>
              </w:rPr>
              <w:t>价格评分规则</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1243BEDD">
            <w:pPr>
              <w:jc w:val="center"/>
              <w:rPr>
                <w:bCs/>
                <w:szCs w:val="21"/>
                <w:highlight w:val="none"/>
              </w:rPr>
            </w:pPr>
            <w:r>
              <w:rPr>
                <w:rFonts w:hint="eastAsia" w:ascii="宋体" w:hAnsi="宋体" w:eastAsia="宋体" w:cs="宋体"/>
                <w:szCs w:val="21"/>
                <w:highlight w:val="none"/>
              </w:rPr>
              <w:t>10</w:t>
            </w:r>
          </w:p>
        </w:tc>
        <w:tc>
          <w:tcPr>
            <w:tcW w:w="5811" w:type="dxa"/>
            <w:tcBorders>
              <w:top w:val="single" w:color="auto" w:sz="4" w:space="0"/>
              <w:left w:val="single" w:color="auto" w:sz="4" w:space="0"/>
              <w:bottom w:val="single" w:color="auto" w:sz="4" w:space="0"/>
              <w:right w:val="single" w:color="auto" w:sz="4" w:space="0"/>
            </w:tcBorders>
            <w:noWrap w:val="0"/>
            <w:vAlign w:val="center"/>
          </w:tcPr>
          <w:p w14:paraId="64A1E501">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rPr>
              <w:t xml:space="preserve"> 价格分计算方法：</w:t>
            </w:r>
          </w:p>
          <w:p w14:paraId="268D180F">
            <w:pPr>
              <w:adjustRightInd w:val="0"/>
              <w:snapToGrid w:val="0"/>
              <w:jc w:val="left"/>
              <w:rPr>
                <w:bCs/>
                <w:szCs w:val="21"/>
                <w:highlight w:val="none"/>
              </w:rPr>
            </w:pPr>
            <w:r>
              <w:rPr>
                <w:rFonts w:hint="eastAsia" w:ascii="宋体" w:hAnsi="宋体" w:eastAsia="宋体" w:cs="宋体"/>
                <w:szCs w:val="21"/>
                <w:highlight w:val="none"/>
              </w:rPr>
              <w:t xml:space="preserve">    采用低价优先法计算，即满足招标文件要求且投标价格最低的投标报价为评标基准价，其价格分为满分。其他投标人的价格分统一按照下列公式计算： </w:t>
            </w:r>
            <w:r>
              <w:rPr>
                <w:rFonts w:hint="eastAsia" w:ascii="宋体" w:hAnsi="宋体" w:eastAsia="宋体" w:cs="宋体"/>
                <w:szCs w:val="21"/>
                <w:highlight w:val="none"/>
              </w:rPr>
              <w:br w:type="textWrapping"/>
            </w:r>
            <w:r>
              <w:rPr>
                <w:rFonts w:hint="eastAsia" w:ascii="宋体" w:hAnsi="宋体" w:eastAsia="宋体" w:cs="宋体"/>
                <w:szCs w:val="21"/>
                <w:highlight w:val="none"/>
              </w:rPr>
              <w:t xml:space="preserve">    投标报价得分=(评标基准价／投标报价)×10</w:t>
            </w:r>
          </w:p>
        </w:tc>
        <w:tc>
          <w:tcPr>
            <w:tcW w:w="886" w:type="dxa"/>
            <w:tcBorders>
              <w:top w:val="single" w:color="auto" w:sz="4" w:space="0"/>
              <w:left w:val="single" w:color="auto" w:sz="4" w:space="0"/>
              <w:bottom w:val="single" w:color="auto" w:sz="4" w:space="0"/>
              <w:right w:val="single" w:color="auto" w:sz="4" w:space="0"/>
            </w:tcBorders>
            <w:noWrap w:val="0"/>
            <w:vAlign w:val="center"/>
          </w:tcPr>
          <w:p w14:paraId="6C7CA7F3">
            <w:pPr>
              <w:adjustRightInd w:val="0"/>
              <w:snapToGrid w:val="0"/>
              <w:jc w:val="center"/>
              <w:rPr>
                <w:rFonts w:hint="eastAsia" w:ascii="仿宋_GB2312" w:hAnsi="宋体" w:eastAsia="仿宋_GB2312" w:cs="宋体"/>
                <w:szCs w:val="21"/>
                <w:highlight w:val="none"/>
              </w:rPr>
            </w:pPr>
          </w:p>
        </w:tc>
      </w:tr>
      <w:tr w14:paraId="0A946462">
        <w:tblPrEx>
          <w:tblCellMar>
            <w:top w:w="0" w:type="dxa"/>
            <w:left w:w="108" w:type="dxa"/>
            <w:bottom w:w="0" w:type="dxa"/>
            <w:right w:w="108" w:type="dxa"/>
          </w:tblCellMar>
        </w:tblPrEx>
        <w:trPr>
          <w:trHeight w:val="766" w:hRule="atLeast"/>
        </w:trPr>
        <w:tc>
          <w:tcPr>
            <w:tcW w:w="570" w:type="dxa"/>
            <w:tcBorders>
              <w:top w:val="nil"/>
              <w:left w:val="single" w:color="auto" w:sz="4" w:space="0"/>
              <w:bottom w:val="single" w:color="auto" w:sz="4" w:space="0"/>
              <w:right w:val="single" w:color="auto" w:sz="4" w:space="0"/>
            </w:tcBorders>
            <w:noWrap w:val="0"/>
            <w:vAlign w:val="center"/>
          </w:tcPr>
          <w:p w14:paraId="6104F78A">
            <w:pPr>
              <w:adjustRightInd w:val="0"/>
              <w:snapToGrid w:val="0"/>
              <w:jc w:val="center"/>
              <w:rPr>
                <w:rFonts w:hint="eastAsia" w:eastAsia="宋体"/>
                <w:bCs/>
                <w:szCs w:val="21"/>
                <w:highlight w:val="none"/>
                <w:lang w:val="en-US" w:eastAsia="zh-CN"/>
              </w:rPr>
            </w:pPr>
            <w:r>
              <w:rPr>
                <w:rFonts w:hint="eastAsia"/>
                <w:bCs/>
                <w:szCs w:val="21"/>
                <w:highlight w:val="none"/>
                <w:lang w:val="en-US" w:eastAsia="zh-CN"/>
              </w:rPr>
              <w:t>2</w:t>
            </w:r>
          </w:p>
        </w:tc>
        <w:tc>
          <w:tcPr>
            <w:tcW w:w="1656" w:type="dxa"/>
            <w:tcBorders>
              <w:top w:val="single" w:color="auto" w:sz="4" w:space="0"/>
              <w:left w:val="single" w:color="auto" w:sz="4" w:space="0"/>
              <w:bottom w:val="single" w:color="auto" w:sz="4" w:space="0"/>
              <w:right w:val="single" w:color="auto" w:sz="4" w:space="0"/>
            </w:tcBorders>
            <w:noWrap w:val="0"/>
            <w:vAlign w:val="center"/>
          </w:tcPr>
          <w:p w14:paraId="6BA6EF31">
            <w:pPr>
              <w:adjustRightInd w:val="0"/>
              <w:snapToGrid w:val="0"/>
              <w:jc w:val="center"/>
              <w:rPr>
                <w:rFonts w:hint="default" w:ascii="Calibri" w:hAnsi="Calibri" w:eastAsia="宋体" w:cs="Times New Roman"/>
                <w:bCs/>
                <w:kern w:val="2"/>
                <w:sz w:val="21"/>
                <w:szCs w:val="21"/>
                <w:highlight w:val="none"/>
                <w:lang w:val="en-US" w:eastAsia="zh-CN" w:bidi="ar-SA"/>
              </w:rPr>
            </w:pPr>
            <w:r>
              <w:rPr>
                <w:rFonts w:hint="eastAsia" w:ascii="宋体" w:hAnsi="宋体" w:eastAsia="宋体" w:cs="宋体"/>
                <w:bCs/>
                <w:szCs w:val="21"/>
                <w:highlight w:val="none"/>
              </w:rPr>
              <w:t>服务方案</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172AA6A7">
            <w:pPr>
              <w:tabs>
                <w:tab w:val="left" w:pos="4287"/>
              </w:tabs>
              <w:ind w:right="-73" w:rightChars="-35"/>
              <w:jc w:val="center"/>
              <w:rPr>
                <w:rFonts w:hint="default" w:ascii="Calibri" w:hAnsi="Calibri" w:eastAsia="宋体" w:cs="Times New Roman"/>
                <w:kern w:val="2"/>
                <w:sz w:val="21"/>
                <w:szCs w:val="21"/>
                <w:highlight w:val="none"/>
                <w:lang w:val="en-US" w:eastAsia="zh-CN" w:bidi="ar-SA"/>
              </w:rPr>
            </w:pPr>
            <w:r>
              <w:rPr>
                <w:rFonts w:hint="eastAsia" w:ascii="宋体" w:hAnsi="宋体" w:eastAsia="宋体" w:cs="宋体"/>
                <w:bCs/>
                <w:szCs w:val="21"/>
                <w:highlight w:val="none"/>
              </w:rPr>
              <w:t>20</w:t>
            </w:r>
          </w:p>
        </w:tc>
        <w:tc>
          <w:tcPr>
            <w:tcW w:w="5811" w:type="dxa"/>
            <w:tcBorders>
              <w:top w:val="single" w:color="auto" w:sz="4" w:space="0"/>
              <w:left w:val="single" w:color="auto" w:sz="4" w:space="0"/>
              <w:bottom w:val="single" w:color="auto" w:sz="4" w:space="0"/>
              <w:right w:val="single" w:color="auto" w:sz="4" w:space="0"/>
            </w:tcBorders>
            <w:noWrap w:val="0"/>
            <w:vAlign w:val="center"/>
          </w:tcPr>
          <w:p w14:paraId="076846B8">
            <w:pPr>
              <w:spacing w:line="400" w:lineRule="exact"/>
              <w:rPr>
                <w:rFonts w:hint="eastAsia" w:ascii="宋体" w:hAnsi="宋体" w:eastAsia="宋体" w:cs="宋体"/>
                <w:bCs/>
                <w:szCs w:val="21"/>
                <w:highlight w:val="none"/>
              </w:rPr>
            </w:pPr>
            <w:r>
              <w:rPr>
                <w:rFonts w:hint="eastAsia" w:ascii="宋体" w:hAnsi="宋体" w:eastAsia="宋体" w:cs="宋体"/>
                <w:b/>
                <w:szCs w:val="21"/>
                <w:highlight w:val="none"/>
              </w:rPr>
              <w:t>评审内容：</w:t>
            </w:r>
          </w:p>
          <w:p w14:paraId="6F705623">
            <w:pPr>
              <w:spacing w:line="400" w:lineRule="exact"/>
              <w:rPr>
                <w:rFonts w:hint="eastAsia" w:ascii="宋体" w:hAnsi="宋体" w:eastAsia="宋体" w:cs="宋体"/>
                <w:bCs/>
                <w:szCs w:val="21"/>
                <w:highlight w:val="none"/>
              </w:rPr>
            </w:pPr>
            <w:r>
              <w:rPr>
                <w:rFonts w:hint="eastAsia" w:ascii="宋体" w:hAnsi="宋体" w:eastAsia="宋体" w:cs="宋体"/>
                <w:bCs/>
                <w:szCs w:val="21"/>
                <w:highlight w:val="none"/>
              </w:rPr>
              <w:t>投标人需要针对本项目项目建设管理咨询服务需求，制定详细的服务实施方案</w:t>
            </w:r>
          </w:p>
          <w:p w14:paraId="5068DA86">
            <w:pPr>
              <w:spacing w:line="400" w:lineRule="exact"/>
              <w:rPr>
                <w:rFonts w:hint="eastAsia" w:ascii="宋体" w:hAnsi="宋体" w:eastAsia="宋体" w:cs="宋体"/>
                <w:bCs/>
                <w:szCs w:val="21"/>
                <w:highlight w:val="none"/>
              </w:rPr>
            </w:pPr>
            <w:r>
              <w:rPr>
                <w:rFonts w:hint="eastAsia" w:ascii="宋体" w:hAnsi="宋体" w:eastAsia="宋体" w:cs="宋体"/>
                <w:bCs/>
                <w:szCs w:val="21"/>
                <w:highlight w:val="none"/>
              </w:rPr>
              <w:t>1.对国产智算的理解；</w:t>
            </w:r>
          </w:p>
          <w:p w14:paraId="6A09DD0B">
            <w:pPr>
              <w:spacing w:line="400" w:lineRule="exact"/>
              <w:rPr>
                <w:rFonts w:hint="eastAsia" w:ascii="宋体" w:hAnsi="宋体" w:eastAsia="宋体" w:cs="宋体"/>
                <w:bCs/>
                <w:szCs w:val="21"/>
                <w:highlight w:val="none"/>
              </w:rPr>
            </w:pPr>
            <w:r>
              <w:rPr>
                <w:rFonts w:hint="eastAsia" w:ascii="宋体" w:hAnsi="宋体" w:eastAsia="宋体" w:cs="宋体"/>
                <w:bCs/>
                <w:szCs w:val="21"/>
                <w:highlight w:val="none"/>
              </w:rPr>
              <w:t>2.项目服务方案；</w:t>
            </w:r>
          </w:p>
          <w:p w14:paraId="5F5DCAD7">
            <w:pPr>
              <w:spacing w:line="400" w:lineRule="exact"/>
              <w:rPr>
                <w:rFonts w:hint="eastAsia" w:ascii="宋体" w:hAnsi="宋体" w:eastAsia="宋体" w:cs="宋体"/>
                <w:bCs/>
                <w:szCs w:val="21"/>
                <w:highlight w:val="none"/>
              </w:rPr>
            </w:pPr>
            <w:r>
              <w:rPr>
                <w:rFonts w:hint="eastAsia" w:ascii="宋体" w:hAnsi="宋体" w:eastAsia="宋体" w:cs="宋体"/>
                <w:bCs/>
                <w:szCs w:val="21"/>
                <w:highlight w:val="none"/>
              </w:rPr>
              <w:t>3.质量保障措施；</w:t>
            </w:r>
          </w:p>
          <w:p w14:paraId="21BA8A27">
            <w:pPr>
              <w:spacing w:line="400" w:lineRule="exact"/>
              <w:rPr>
                <w:rFonts w:hint="eastAsia" w:ascii="宋体" w:hAnsi="宋体" w:eastAsia="宋体" w:cs="宋体"/>
                <w:bCs/>
                <w:szCs w:val="21"/>
                <w:highlight w:val="none"/>
              </w:rPr>
            </w:pPr>
            <w:r>
              <w:rPr>
                <w:rFonts w:hint="eastAsia" w:ascii="宋体" w:hAnsi="宋体" w:eastAsia="宋体" w:cs="宋体"/>
                <w:bCs/>
                <w:szCs w:val="21"/>
                <w:highlight w:val="none"/>
              </w:rPr>
              <w:t>4.进度保障措施；</w:t>
            </w:r>
          </w:p>
          <w:p w14:paraId="3F5F929C">
            <w:pPr>
              <w:spacing w:line="400" w:lineRule="exact"/>
              <w:rPr>
                <w:rFonts w:hint="eastAsia" w:ascii="宋体" w:hAnsi="宋体" w:eastAsia="宋体" w:cs="宋体"/>
                <w:bCs/>
                <w:szCs w:val="21"/>
                <w:highlight w:val="none"/>
              </w:rPr>
            </w:pPr>
            <w:r>
              <w:rPr>
                <w:rFonts w:hint="eastAsia" w:ascii="宋体" w:hAnsi="宋体" w:eastAsia="宋体" w:cs="宋体"/>
                <w:bCs/>
                <w:szCs w:val="21"/>
                <w:highlight w:val="none"/>
              </w:rPr>
              <w:t>5.安全保障措施。</w:t>
            </w:r>
          </w:p>
          <w:p w14:paraId="0CE21975">
            <w:pPr>
              <w:spacing w:line="400" w:lineRule="exact"/>
              <w:rPr>
                <w:rFonts w:hint="eastAsia" w:ascii="宋体" w:hAnsi="宋体" w:eastAsia="宋体" w:cs="宋体"/>
                <w:b/>
                <w:bCs w:val="0"/>
                <w:szCs w:val="21"/>
                <w:highlight w:val="none"/>
              </w:rPr>
            </w:pPr>
            <w:r>
              <w:rPr>
                <w:rFonts w:hint="eastAsia" w:ascii="宋体" w:hAnsi="宋体" w:eastAsia="宋体" w:cs="宋体"/>
                <w:b/>
                <w:bCs w:val="0"/>
                <w:szCs w:val="21"/>
                <w:highlight w:val="none"/>
              </w:rPr>
              <w:t>评审标准：</w:t>
            </w:r>
          </w:p>
          <w:p w14:paraId="7670C10A">
            <w:pPr>
              <w:spacing w:line="400" w:lineRule="exact"/>
              <w:rPr>
                <w:rFonts w:hint="eastAsia" w:ascii="宋体" w:hAnsi="宋体" w:eastAsia="宋体" w:cs="宋体"/>
                <w:bCs/>
                <w:szCs w:val="21"/>
                <w:highlight w:val="none"/>
              </w:rPr>
            </w:pPr>
            <w:r>
              <w:rPr>
                <w:rFonts w:hint="eastAsia" w:ascii="宋体" w:hAnsi="宋体" w:eastAsia="宋体" w:cs="宋体"/>
                <w:bCs/>
                <w:szCs w:val="21"/>
                <w:highlight w:val="none"/>
              </w:rPr>
              <w:t>1、提供的实施方案满足以上五点的得10分，满足任意一点的得2分，不满足的不得分。</w:t>
            </w:r>
          </w:p>
          <w:p w14:paraId="55CC452B">
            <w:pPr>
              <w:spacing w:line="400" w:lineRule="exact"/>
              <w:rPr>
                <w:rFonts w:hint="eastAsia" w:ascii="宋体" w:hAnsi="宋体" w:eastAsia="宋体" w:cs="宋体"/>
                <w:bCs/>
                <w:szCs w:val="21"/>
                <w:highlight w:val="none"/>
              </w:rPr>
            </w:pPr>
            <w:r>
              <w:rPr>
                <w:rFonts w:hint="eastAsia" w:ascii="宋体" w:hAnsi="宋体" w:eastAsia="宋体" w:cs="宋体"/>
                <w:bCs/>
                <w:szCs w:val="21"/>
                <w:highlight w:val="none"/>
              </w:rPr>
              <w:t>2、在此基础上，根据各投标人的具体响应内容按照量化的评审因素指标进一步评审：</w:t>
            </w:r>
          </w:p>
          <w:p w14:paraId="1DDAA3E8">
            <w:pPr>
              <w:spacing w:line="400" w:lineRule="exact"/>
              <w:rPr>
                <w:rFonts w:hint="eastAsia" w:ascii="宋体" w:hAnsi="宋体" w:eastAsia="宋体" w:cs="宋体"/>
                <w:bCs/>
                <w:szCs w:val="21"/>
                <w:highlight w:val="none"/>
              </w:rPr>
            </w:pPr>
            <w:r>
              <w:rPr>
                <w:rFonts w:hint="eastAsia" w:ascii="宋体" w:hAnsi="宋体" w:eastAsia="宋体" w:cs="宋体"/>
                <w:bCs/>
                <w:szCs w:val="21"/>
                <w:highlight w:val="none"/>
              </w:rPr>
              <w:t>（1）内容针对性强，响应详细完整，完全满足项目要求，可行性高加10分；</w:t>
            </w:r>
          </w:p>
          <w:p w14:paraId="1D0ACA22">
            <w:pPr>
              <w:spacing w:line="400" w:lineRule="exact"/>
              <w:rPr>
                <w:rFonts w:hint="eastAsia" w:ascii="宋体" w:hAnsi="宋体" w:eastAsia="宋体" w:cs="宋体"/>
                <w:bCs/>
                <w:szCs w:val="21"/>
                <w:highlight w:val="none"/>
              </w:rPr>
            </w:pPr>
            <w:r>
              <w:rPr>
                <w:rFonts w:hint="eastAsia" w:ascii="宋体" w:hAnsi="宋体" w:eastAsia="宋体" w:cs="宋体"/>
                <w:bCs/>
                <w:szCs w:val="21"/>
                <w:highlight w:val="none"/>
              </w:rPr>
              <w:t>（2）内容有一定针对性，有一定响应程度，完全满足项目要求，有一定可行性，加6分；</w:t>
            </w:r>
          </w:p>
          <w:p w14:paraId="5A5E65D0">
            <w:pPr>
              <w:spacing w:line="400" w:lineRule="exact"/>
              <w:rPr>
                <w:rFonts w:hint="eastAsia" w:ascii="宋体" w:hAnsi="宋体" w:eastAsia="宋体" w:cs="宋体"/>
                <w:bCs/>
                <w:szCs w:val="21"/>
                <w:highlight w:val="none"/>
              </w:rPr>
            </w:pPr>
            <w:r>
              <w:rPr>
                <w:rFonts w:hint="eastAsia" w:ascii="宋体" w:hAnsi="宋体" w:eastAsia="宋体" w:cs="宋体"/>
                <w:bCs/>
                <w:szCs w:val="21"/>
                <w:highlight w:val="none"/>
              </w:rPr>
              <w:t>（3）内容针对性一般，响应程度基本完整，基本满足项目要求，可行性一般，加2分；</w:t>
            </w:r>
          </w:p>
          <w:p w14:paraId="2D931C54">
            <w:pPr>
              <w:spacing w:line="400" w:lineRule="exact"/>
              <w:rPr>
                <w:rFonts w:hint="eastAsia" w:ascii="宋体" w:hAnsi="宋体" w:eastAsia="宋体" w:cs="宋体"/>
                <w:bCs/>
                <w:szCs w:val="21"/>
                <w:highlight w:val="none"/>
              </w:rPr>
            </w:pPr>
            <w:r>
              <w:rPr>
                <w:rFonts w:hint="eastAsia" w:ascii="宋体" w:hAnsi="宋体" w:eastAsia="宋体" w:cs="宋体"/>
                <w:bCs/>
                <w:szCs w:val="21"/>
                <w:highlight w:val="none"/>
              </w:rPr>
              <w:t>（4）内容不合理、无针对性、无可操作性，评审为差得0分。</w:t>
            </w:r>
          </w:p>
          <w:p w14:paraId="296EE700">
            <w:pPr>
              <w:rPr>
                <w:rFonts w:hint="default"/>
                <w:highlight w:val="none"/>
                <w:lang w:val="en-US" w:eastAsia="zh-CN"/>
              </w:rPr>
            </w:pPr>
            <w:r>
              <w:rPr>
                <w:rFonts w:hint="eastAsia" w:ascii="宋体" w:hAnsi="宋体" w:eastAsia="宋体" w:cs="宋体"/>
                <w:bCs/>
                <w:szCs w:val="21"/>
                <w:highlight w:val="none"/>
              </w:rPr>
              <w:t>证明材料：投标人提供“实施方案”、“质量（完成时间、安全、环保）保障措施及方案”。</w:t>
            </w:r>
          </w:p>
        </w:tc>
        <w:tc>
          <w:tcPr>
            <w:tcW w:w="886" w:type="dxa"/>
            <w:tcBorders>
              <w:top w:val="single" w:color="auto" w:sz="4" w:space="0"/>
              <w:left w:val="single" w:color="auto" w:sz="4" w:space="0"/>
              <w:bottom w:val="single" w:color="auto" w:sz="4" w:space="0"/>
              <w:right w:val="single" w:color="auto" w:sz="4" w:space="0"/>
            </w:tcBorders>
            <w:noWrap w:val="0"/>
            <w:vAlign w:val="center"/>
          </w:tcPr>
          <w:p w14:paraId="3C4A79F8">
            <w:pPr>
              <w:adjustRightInd w:val="0"/>
              <w:snapToGrid w:val="0"/>
              <w:jc w:val="center"/>
              <w:rPr>
                <w:rFonts w:hint="eastAsia" w:ascii="仿宋_GB2312" w:hAnsi="宋体" w:eastAsia="仿宋_GB2312" w:cs="宋体"/>
                <w:szCs w:val="21"/>
                <w:highlight w:val="none"/>
              </w:rPr>
            </w:pPr>
          </w:p>
        </w:tc>
      </w:tr>
      <w:tr w14:paraId="123CB36A">
        <w:tblPrEx>
          <w:tblCellMar>
            <w:top w:w="0" w:type="dxa"/>
            <w:left w:w="108" w:type="dxa"/>
            <w:bottom w:w="0" w:type="dxa"/>
            <w:right w:w="108" w:type="dxa"/>
          </w:tblCellMar>
        </w:tblPrEx>
        <w:trPr>
          <w:trHeight w:val="721" w:hRule="atLeast"/>
        </w:trPr>
        <w:tc>
          <w:tcPr>
            <w:tcW w:w="570" w:type="dxa"/>
            <w:tcBorders>
              <w:top w:val="single" w:color="auto" w:sz="4" w:space="0"/>
              <w:left w:val="single" w:color="auto" w:sz="4" w:space="0"/>
              <w:bottom w:val="single" w:color="auto" w:sz="4" w:space="0"/>
              <w:right w:val="single" w:color="auto" w:sz="4" w:space="0"/>
            </w:tcBorders>
            <w:noWrap w:val="0"/>
            <w:vAlign w:val="center"/>
          </w:tcPr>
          <w:p w14:paraId="64AE6B74">
            <w:pPr>
              <w:adjustRightInd w:val="0"/>
              <w:snapToGrid w:val="0"/>
              <w:jc w:val="center"/>
              <w:rPr>
                <w:rFonts w:hint="eastAsia" w:ascii="Calibri" w:hAnsi="Calibri" w:eastAsia="宋体" w:cs="Times New Roman"/>
                <w:bCs/>
                <w:szCs w:val="21"/>
                <w:highlight w:val="none"/>
                <w:lang w:eastAsia="zh-CN"/>
              </w:rPr>
            </w:pPr>
            <w:r>
              <w:rPr>
                <w:rFonts w:hint="eastAsia" w:eastAsia="宋体"/>
                <w:bCs/>
                <w:szCs w:val="21"/>
                <w:highlight w:val="none"/>
                <w:lang w:val="en-US" w:eastAsia="zh-CN"/>
              </w:rPr>
              <w:t>3</w:t>
            </w:r>
          </w:p>
        </w:tc>
        <w:tc>
          <w:tcPr>
            <w:tcW w:w="1656" w:type="dxa"/>
            <w:tcBorders>
              <w:top w:val="single" w:color="auto" w:sz="4" w:space="0"/>
              <w:left w:val="single" w:color="auto" w:sz="4" w:space="0"/>
              <w:bottom w:val="single" w:color="auto" w:sz="4" w:space="0"/>
              <w:right w:val="single" w:color="auto" w:sz="4" w:space="0"/>
            </w:tcBorders>
            <w:noWrap w:val="0"/>
            <w:vAlign w:val="center"/>
          </w:tcPr>
          <w:p w14:paraId="1EB4A7F8">
            <w:pPr>
              <w:adjustRightInd w:val="0"/>
              <w:snapToGrid w:val="0"/>
              <w:jc w:val="center"/>
              <w:rPr>
                <w:rFonts w:hint="default" w:ascii="Calibri" w:hAnsi="Calibri" w:eastAsia="宋体" w:cs="Times New Roman"/>
                <w:bCs/>
                <w:szCs w:val="21"/>
                <w:highlight w:val="none"/>
                <w:lang w:val="en-US" w:eastAsia="zh-CN"/>
              </w:rPr>
            </w:pPr>
            <w:r>
              <w:rPr>
                <w:rFonts w:hint="eastAsia" w:ascii="宋体" w:hAnsi="宋体" w:eastAsia="宋体" w:cs="宋体"/>
                <w:bCs/>
                <w:szCs w:val="21"/>
                <w:highlight w:val="none"/>
              </w:rPr>
              <w:t>拟安排的项目负责人情况（仅限一人）</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14D22940">
            <w:pPr>
              <w:jc w:val="center"/>
              <w:rPr>
                <w:rFonts w:hint="default" w:ascii="Calibri" w:hAnsi="Calibri" w:eastAsia="宋体" w:cs="Times New Roman"/>
                <w:bCs/>
                <w:szCs w:val="21"/>
                <w:highlight w:val="none"/>
                <w:lang w:val="en-US" w:eastAsia="zh-CN"/>
              </w:rPr>
            </w:pPr>
            <w:r>
              <w:rPr>
                <w:rFonts w:hint="eastAsia" w:ascii="宋体" w:hAnsi="宋体" w:eastAsia="宋体" w:cs="宋体"/>
                <w:bCs/>
                <w:szCs w:val="21"/>
                <w:highlight w:val="none"/>
              </w:rPr>
              <w:t>12</w:t>
            </w:r>
          </w:p>
        </w:tc>
        <w:tc>
          <w:tcPr>
            <w:tcW w:w="5811" w:type="dxa"/>
            <w:tcBorders>
              <w:top w:val="single" w:color="auto" w:sz="4" w:space="0"/>
              <w:left w:val="single" w:color="auto" w:sz="4" w:space="0"/>
              <w:bottom w:val="single" w:color="auto" w:sz="4" w:space="0"/>
              <w:right w:val="single" w:color="auto" w:sz="4" w:space="0"/>
            </w:tcBorders>
            <w:noWrap w:val="0"/>
            <w:vAlign w:val="center"/>
          </w:tcPr>
          <w:p w14:paraId="1692014B">
            <w:pPr>
              <w:spacing w:line="400" w:lineRule="exact"/>
              <w:rPr>
                <w:rFonts w:hint="eastAsia" w:ascii="宋体" w:hAnsi="宋体" w:eastAsia="宋体" w:cs="宋体"/>
                <w:b/>
                <w:szCs w:val="21"/>
                <w:highlight w:val="none"/>
              </w:rPr>
            </w:pPr>
            <w:r>
              <w:rPr>
                <w:rFonts w:hint="eastAsia" w:ascii="宋体" w:hAnsi="宋体" w:eastAsia="宋体" w:cs="宋体"/>
                <w:b/>
                <w:szCs w:val="21"/>
                <w:highlight w:val="none"/>
              </w:rPr>
              <w:t>评分内容：</w:t>
            </w:r>
          </w:p>
          <w:p w14:paraId="72D2CCA8">
            <w:pPr>
              <w:spacing w:line="400" w:lineRule="exact"/>
              <w:rPr>
                <w:rFonts w:hint="eastAsia" w:ascii="宋体" w:hAnsi="宋体" w:eastAsia="宋体" w:cs="宋体"/>
                <w:bCs/>
                <w:szCs w:val="21"/>
                <w:highlight w:val="none"/>
              </w:rPr>
            </w:pPr>
            <w:bookmarkStart w:id="0" w:name="OLE_LINK64"/>
            <w:r>
              <w:rPr>
                <w:rFonts w:hint="eastAsia" w:ascii="宋体" w:hAnsi="宋体" w:eastAsia="宋体" w:cs="宋体"/>
                <w:bCs/>
                <w:szCs w:val="21"/>
                <w:highlight w:val="none"/>
              </w:rPr>
              <w:t>项目总负责人须是投标人的正式员工，且具备通信类专业高级工程师职称。在此基础上：</w:t>
            </w:r>
            <w:bookmarkEnd w:id="0"/>
          </w:p>
          <w:p w14:paraId="5121106F">
            <w:pPr>
              <w:spacing w:line="400" w:lineRule="exact"/>
              <w:rPr>
                <w:rFonts w:hint="eastAsia" w:ascii="宋体" w:hAnsi="宋体" w:eastAsia="宋体" w:cs="宋体"/>
                <w:bCs/>
                <w:szCs w:val="21"/>
                <w:highlight w:val="none"/>
              </w:rPr>
            </w:pPr>
            <w:r>
              <w:rPr>
                <w:rFonts w:hint="eastAsia" w:ascii="宋体" w:hAnsi="宋体" w:eastAsia="宋体" w:cs="宋体"/>
                <w:bCs/>
                <w:szCs w:val="21"/>
                <w:highlight w:val="none"/>
              </w:rPr>
              <w:t>1、具有一级造价工程师注册证书，得3分；</w:t>
            </w:r>
          </w:p>
          <w:p w14:paraId="31E99238">
            <w:pPr>
              <w:spacing w:line="400" w:lineRule="exact"/>
              <w:rPr>
                <w:rFonts w:hint="eastAsia" w:ascii="宋体" w:hAnsi="宋体" w:eastAsia="宋体" w:cs="宋体"/>
                <w:bCs/>
                <w:szCs w:val="21"/>
                <w:highlight w:val="none"/>
              </w:rPr>
            </w:pPr>
            <w:r>
              <w:rPr>
                <w:rFonts w:hint="eastAsia" w:ascii="宋体" w:hAnsi="宋体" w:eastAsia="宋体" w:cs="宋体"/>
                <w:bCs/>
                <w:szCs w:val="21"/>
                <w:highlight w:val="none"/>
              </w:rPr>
              <w:t>2、具有注册信息安全专业人员（CISP）证书，得3分；</w:t>
            </w:r>
          </w:p>
          <w:p w14:paraId="58785FC8">
            <w:pPr>
              <w:spacing w:line="400" w:lineRule="exact"/>
              <w:rPr>
                <w:rFonts w:hint="eastAsia" w:ascii="宋体" w:hAnsi="宋体" w:eastAsia="宋体" w:cs="宋体"/>
                <w:bCs/>
                <w:szCs w:val="21"/>
                <w:highlight w:val="none"/>
              </w:rPr>
            </w:pPr>
            <w:r>
              <w:rPr>
                <w:rFonts w:hint="eastAsia" w:ascii="宋体" w:hAnsi="宋体" w:eastAsia="宋体" w:cs="宋体"/>
                <w:bCs/>
                <w:szCs w:val="21"/>
                <w:highlight w:val="none"/>
              </w:rPr>
              <w:t>3、具有网络安全技术（高级）证书，得3分；</w:t>
            </w:r>
          </w:p>
          <w:p w14:paraId="47CD9554">
            <w:pPr>
              <w:spacing w:line="400" w:lineRule="exact"/>
              <w:rPr>
                <w:rFonts w:hint="eastAsia" w:ascii="宋体" w:hAnsi="宋体" w:eastAsia="宋体" w:cs="宋体"/>
                <w:bCs/>
                <w:szCs w:val="21"/>
                <w:highlight w:val="none"/>
              </w:rPr>
            </w:pPr>
            <w:r>
              <w:rPr>
                <w:rFonts w:hint="eastAsia" w:ascii="宋体" w:hAnsi="宋体" w:eastAsia="宋体" w:cs="宋体"/>
                <w:bCs/>
                <w:szCs w:val="21"/>
                <w:highlight w:val="none"/>
              </w:rPr>
              <w:t>4、具有数据治理工程师证书，得3分。</w:t>
            </w:r>
          </w:p>
          <w:p w14:paraId="32F20A3B">
            <w:pPr>
              <w:spacing w:line="400" w:lineRule="exact"/>
              <w:rPr>
                <w:rFonts w:hint="eastAsia" w:ascii="宋体" w:hAnsi="宋体" w:eastAsia="宋体" w:cs="宋体"/>
                <w:b/>
                <w:szCs w:val="21"/>
                <w:highlight w:val="none"/>
              </w:rPr>
            </w:pPr>
            <w:r>
              <w:rPr>
                <w:rFonts w:hint="eastAsia" w:ascii="宋体" w:hAnsi="宋体" w:eastAsia="宋体" w:cs="宋体"/>
                <w:b/>
                <w:szCs w:val="21"/>
                <w:highlight w:val="none"/>
              </w:rPr>
              <w:t>评分依据：</w:t>
            </w:r>
          </w:p>
          <w:p w14:paraId="20DBE77B">
            <w:pPr>
              <w:spacing w:line="400" w:lineRule="exact"/>
              <w:rPr>
                <w:rFonts w:hint="eastAsia" w:ascii="宋体" w:hAnsi="宋体" w:eastAsia="宋体" w:cs="宋体"/>
                <w:bCs/>
                <w:szCs w:val="21"/>
                <w:highlight w:val="none"/>
              </w:rPr>
            </w:pPr>
            <w:r>
              <w:rPr>
                <w:rFonts w:hint="eastAsia" w:ascii="宋体" w:hAnsi="宋体" w:eastAsia="宋体" w:cs="宋体"/>
                <w:bCs/>
                <w:szCs w:val="21"/>
                <w:highlight w:val="none"/>
              </w:rPr>
              <w:t>1.</w:t>
            </w:r>
            <w:r>
              <w:rPr>
                <w:rFonts w:hint="eastAsia"/>
                <w:highlight w:val="none"/>
              </w:rPr>
              <w:t>提供投标人为拟派项目负责人缴纳的截至本项目投标截</w:t>
            </w:r>
            <w:r>
              <w:rPr>
                <w:rFonts w:hint="eastAsia"/>
                <w:highlight w:val="none"/>
                <w:lang w:val="en-US" w:eastAsia="zh-CN"/>
              </w:rPr>
              <w:t>止</w:t>
            </w:r>
            <w:r>
              <w:rPr>
                <w:rFonts w:hint="eastAsia"/>
                <w:highlight w:val="none"/>
              </w:rPr>
              <w:t>之日止，近六个月中其中一个月的社保证明扫描件（证明资料可为社保收缴部门盖章证明资料、社保窗口打印资料或社保官网截图）</w:t>
            </w:r>
            <w:r>
              <w:rPr>
                <w:rFonts w:hint="eastAsia" w:ascii="宋体" w:hAnsi="宋体" w:eastAsia="宋体" w:cs="宋体"/>
                <w:bCs/>
                <w:szCs w:val="21"/>
                <w:highlight w:val="none"/>
              </w:rPr>
              <w:t>。</w:t>
            </w:r>
          </w:p>
          <w:p w14:paraId="6153E93D">
            <w:pPr>
              <w:keepNext/>
              <w:adjustRightInd w:val="0"/>
              <w:snapToGrid w:val="0"/>
              <w:rPr>
                <w:rFonts w:ascii="Calibri" w:hAnsi="Calibri" w:eastAsia="宋体" w:cs="Times New Roman"/>
                <w:szCs w:val="21"/>
                <w:highlight w:val="none"/>
              </w:rPr>
            </w:pPr>
            <w:r>
              <w:rPr>
                <w:rFonts w:hint="eastAsia" w:ascii="宋体" w:hAnsi="宋体" w:eastAsia="宋体" w:cs="宋体"/>
                <w:bCs/>
                <w:szCs w:val="21"/>
                <w:highlight w:val="none"/>
              </w:rPr>
              <w:t>2.</w:t>
            </w:r>
            <w:r>
              <w:rPr>
                <w:rFonts w:hint="eastAsia" w:ascii="宋体" w:hAnsi="宋体" w:cs="宋体"/>
                <w:szCs w:val="21"/>
                <w:highlight w:val="none"/>
              </w:rPr>
              <w:t>以上资料均要求提供扫描件（或官方网站截图），原件备查。评分中出现无证明资料或专家无法凭所提供资料判断是否得分的情况，一律作不得分处理。</w:t>
            </w:r>
          </w:p>
        </w:tc>
        <w:tc>
          <w:tcPr>
            <w:tcW w:w="886" w:type="dxa"/>
            <w:tcBorders>
              <w:top w:val="single" w:color="auto" w:sz="4" w:space="0"/>
              <w:left w:val="single" w:color="auto" w:sz="4" w:space="0"/>
              <w:bottom w:val="single" w:color="auto" w:sz="4" w:space="0"/>
              <w:right w:val="single" w:color="auto" w:sz="4" w:space="0"/>
            </w:tcBorders>
            <w:noWrap w:val="0"/>
            <w:vAlign w:val="center"/>
          </w:tcPr>
          <w:p w14:paraId="674589C5">
            <w:pPr>
              <w:jc w:val="center"/>
              <w:rPr>
                <w:rFonts w:hint="eastAsia" w:ascii="仿宋_GB2312" w:hAnsi="宋体" w:eastAsia="仿宋_GB2312" w:cs="宋体"/>
                <w:szCs w:val="21"/>
                <w:highlight w:val="none"/>
              </w:rPr>
            </w:pPr>
          </w:p>
        </w:tc>
      </w:tr>
      <w:tr w14:paraId="3FAEF95B">
        <w:tblPrEx>
          <w:tblCellMar>
            <w:top w:w="0" w:type="dxa"/>
            <w:left w:w="108" w:type="dxa"/>
            <w:bottom w:w="0" w:type="dxa"/>
            <w:right w:w="108" w:type="dxa"/>
          </w:tblCellMar>
        </w:tblPrEx>
        <w:trPr>
          <w:trHeight w:val="378" w:hRule="atLeast"/>
        </w:trPr>
        <w:tc>
          <w:tcPr>
            <w:tcW w:w="570" w:type="dxa"/>
            <w:tcBorders>
              <w:top w:val="single" w:color="auto" w:sz="4" w:space="0"/>
              <w:left w:val="single" w:color="auto" w:sz="4" w:space="0"/>
              <w:bottom w:val="single" w:color="auto" w:sz="4" w:space="0"/>
              <w:right w:val="single" w:color="auto" w:sz="4" w:space="0"/>
            </w:tcBorders>
            <w:noWrap w:val="0"/>
            <w:vAlign w:val="center"/>
          </w:tcPr>
          <w:p w14:paraId="6E67FE1F">
            <w:pPr>
              <w:adjustRightInd w:val="0"/>
              <w:snapToGrid w:val="0"/>
              <w:jc w:val="center"/>
              <w:rPr>
                <w:rFonts w:hint="eastAsia" w:eastAsia="宋体"/>
                <w:bCs/>
                <w:szCs w:val="21"/>
                <w:highlight w:val="none"/>
                <w:lang w:eastAsia="zh-CN"/>
              </w:rPr>
            </w:pPr>
            <w:r>
              <w:rPr>
                <w:rFonts w:hint="eastAsia" w:eastAsia="宋体"/>
                <w:bCs/>
                <w:szCs w:val="21"/>
                <w:highlight w:val="none"/>
                <w:lang w:val="en-US" w:eastAsia="zh-CN"/>
              </w:rPr>
              <w:t>4</w:t>
            </w:r>
          </w:p>
        </w:tc>
        <w:tc>
          <w:tcPr>
            <w:tcW w:w="1656" w:type="dxa"/>
            <w:tcBorders>
              <w:top w:val="single" w:color="auto" w:sz="4" w:space="0"/>
              <w:left w:val="single" w:color="auto" w:sz="4" w:space="0"/>
              <w:bottom w:val="single" w:color="auto" w:sz="4" w:space="0"/>
              <w:right w:val="single" w:color="auto" w:sz="4" w:space="0"/>
            </w:tcBorders>
            <w:noWrap w:val="0"/>
            <w:vAlign w:val="center"/>
          </w:tcPr>
          <w:p w14:paraId="4FA297C7">
            <w:pPr>
              <w:adjustRightInd w:val="0"/>
              <w:snapToGrid w:val="0"/>
              <w:jc w:val="center"/>
              <w:rPr>
                <w:rFonts w:ascii="Calibri" w:hAnsi="Calibri" w:eastAsia="宋体" w:cs="Times New Roman"/>
                <w:bCs/>
                <w:szCs w:val="21"/>
                <w:highlight w:val="none"/>
              </w:rPr>
            </w:pPr>
            <w:r>
              <w:rPr>
                <w:rFonts w:hint="eastAsia" w:ascii="宋体" w:hAnsi="宋体" w:eastAsia="宋体" w:cs="宋体"/>
                <w:bCs/>
                <w:szCs w:val="21"/>
                <w:highlight w:val="none"/>
              </w:rPr>
              <w:t>拟安排的项目主要</w:t>
            </w:r>
            <w:bookmarkStart w:id="1" w:name="OLE_LINK66"/>
            <w:r>
              <w:rPr>
                <w:rFonts w:hint="eastAsia" w:ascii="宋体" w:hAnsi="宋体" w:eastAsia="宋体" w:cs="宋体"/>
                <w:bCs/>
                <w:szCs w:val="21"/>
                <w:highlight w:val="none"/>
              </w:rPr>
              <w:t>团队成员</w:t>
            </w:r>
            <w:bookmarkEnd w:id="1"/>
            <w:r>
              <w:rPr>
                <w:rFonts w:hint="eastAsia" w:ascii="宋体" w:hAnsi="宋体" w:eastAsia="宋体" w:cs="宋体"/>
                <w:bCs/>
                <w:szCs w:val="21"/>
                <w:highlight w:val="none"/>
              </w:rPr>
              <w:t>（主要技术人员）情况（项目负责人除外）</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76E55A3F">
            <w:pPr>
              <w:jc w:val="center"/>
              <w:rPr>
                <w:rFonts w:hint="eastAsia" w:ascii="Calibri" w:hAnsi="Calibri" w:eastAsia="宋体" w:cs="Times New Roman"/>
                <w:bCs/>
                <w:szCs w:val="21"/>
                <w:highlight w:val="none"/>
                <w:lang w:eastAsia="zh-CN"/>
              </w:rPr>
            </w:pPr>
            <w:r>
              <w:rPr>
                <w:rFonts w:hint="eastAsia" w:ascii="宋体" w:hAnsi="宋体" w:eastAsia="宋体" w:cs="宋体"/>
                <w:bCs/>
                <w:szCs w:val="21"/>
                <w:highlight w:val="none"/>
              </w:rPr>
              <w:t>1</w:t>
            </w:r>
            <w:r>
              <w:rPr>
                <w:rFonts w:hint="eastAsia" w:ascii="宋体" w:hAnsi="宋体" w:eastAsia="宋体" w:cs="宋体"/>
                <w:bCs/>
                <w:szCs w:val="21"/>
                <w:highlight w:val="none"/>
                <w:lang w:val="en-US" w:eastAsia="zh-CN"/>
              </w:rPr>
              <w:t>0</w:t>
            </w:r>
          </w:p>
        </w:tc>
        <w:tc>
          <w:tcPr>
            <w:tcW w:w="5811" w:type="dxa"/>
            <w:tcBorders>
              <w:top w:val="single" w:color="auto" w:sz="4" w:space="0"/>
              <w:left w:val="single" w:color="auto" w:sz="4" w:space="0"/>
              <w:bottom w:val="single" w:color="auto" w:sz="4" w:space="0"/>
              <w:right w:val="single" w:color="auto" w:sz="4" w:space="0"/>
            </w:tcBorders>
            <w:noWrap w:val="0"/>
            <w:vAlign w:val="center"/>
          </w:tcPr>
          <w:p w14:paraId="55EF0A2E">
            <w:pPr>
              <w:spacing w:line="400" w:lineRule="exact"/>
              <w:rPr>
                <w:rFonts w:hint="eastAsia" w:ascii="宋体" w:hAnsi="宋体" w:eastAsia="宋体" w:cs="宋体"/>
                <w:b/>
                <w:szCs w:val="21"/>
                <w:highlight w:val="none"/>
              </w:rPr>
            </w:pPr>
            <w:r>
              <w:rPr>
                <w:rFonts w:hint="eastAsia" w:ascii="宋体" w:hAnsi="宋体" w:eastAsia="宋体" w:cs="宋体"/>
                <w:b/>
                <w:szCs w:val="21"/>
                <w:highlight w:val="none"/>
              </w:rPr>
              <w:t>评审内容：</w:t>
            </w:r>
          </w:p>
          <w:p w14:paraId="0772BD9D">
            <w:pPr>
              <w:spacing w:line="400" w:lineRule="exact"/>
              <w:rPr>
                <w:rFonts w:hint="eastAsia" w:ascii="宋体" w:hAnsi="宋体" w:eastAsia="宋体" w:cs="宋体"/>
                <w:bCs/>
                <w:szCs w:val="21"/>
                <w:highlight w:val="none"/>
              </w:rPr>
            </w:pPr>
            <w:r>
              <w:rPr>
                <w:rFonts w:hint="eastAsia" w:ascii="宋体" w:hAnsi="宋体" w:eastAsia="宋体" w:cs="宋体"/>
                <w:bCs/>
                <w:szCs w:val="21"/>
                <w:highlight w:val="none"/>
              </w:rPr>
              <w:t>投标人管理咨询服务团队需配备不少于</w:t>
            </w:r>
            <w:r>
              <w:rPr>
                <w:rFonts w:hint="eastAsia" w:ascii="宋体" w:hAnsi="宋体" w:eastAsia="宋体" w:cs="宋体"/>
                <w:bCs/>
                <w:szCs w:val="21"/>
                <w:highlight w:val="none"/>
                <w:lang w:val="en-US" w:eastAsia="zh-CN"/>
              </w:rPr>
              <w:t>3</w:t>
            </w:r>
            <w:r>
              <w:rPr>
                <w:rFonts w:hint="eastAsia" w:ascii="宋体" w:hAnsi="宋体" w:eastAsia="宋体" w:cs="宋体"/>
                <w:bCs/>
                <w:szCs w:val="21"/>
                <w:highlight w:val="none"/>
              </w:rPr>
              <w:t xml:space="preserve">人的团队服务人员，在此基础上： </w:t>
            </w:r>
          </w:p>
          <w:p w14:paraId="7D5038C4">
            <w:pPr>
              <w:spacing w:line="400" w:lineRule="exact"/>
              <w:rPr>
                <w:rFonts w:hint="eastAsia" w:ascii="宋体" w:hAnsi="宋体" w:cs="宋体"/>
                <w:b/>
                <w:color w:val="EE0000"/>
                <w:szCs w:val="21"/>
                <w:highlight w:val="none"/>
              </w:rPr>
            </w:pPr>
            <w:r>
              <w:rPr>
                <w:rFonts w:hint="eastAsia" w:ascii="宋体" w:hAnsi="宋体" w:eastAsia="宋体" w:cs="宋体"/>
                <w:b/>
                <w:szCs w:val="21"/>
                <w:highlight w:val="none"/>
              </w:rPr>
              <w:t>资深咨询顾问</w:t>
            </w:r>
            <w:r>
              <w:rPr>
                <w:rStyle w:val="4"/>
                <w:rFonts w:hint="eastAsia"/>
                <w:highlight w:val="none"/>
              </w:rPr>
              <w:t>（1人）</w:t>
            </w:r>
          </w:p>
          <w:p w14:paraId="224A96E4">
            <w:pPr>
              <w:numPr>
                <w:ilvl w:val="0"/>
                <w:numId w:val="1"/>
              </w:numPr>
              <w:spacing w:line="400" w:lineRule="exact"/>
              <w:rPr>
                <w:rFonts w:hint="eastAsia" w:ascii="宋体" w:hAnsi="宋体" w:cs="宋体"/>
                <w:kern w:val="0"/>
                <w:szCs w:val="21"/>
                <w:highlight w:val="none"/>
              </w:rPr>
            </w:pPr>
            <w:r>
              <w:rPr>
                <w:rFonts w:hint="eastAsia" w:ascii="宋体" w:hAnsi="宋体" w:eastAsia="宋体" w:cs="宋体"/>
                <w:bCs/>
                <w:szCs w:val="21"/>
                <w:highlight w:val="none"/>
              </w:rPr>
              <w:t>具有</w:t>
            </w:r>
            <w:r>
              <w:rPr>
                <w:rFonts w:hint="eastAsia" w:ascii="宋体" w:hAnsi="宋体" w:cs="宋体"/>
                <w:szCs w:val="21"/>
                <w:highlight w:val="none"/>
              </w:rPr>
              <w:t>咨询工程师（投资）登记证书（</w:t>
            </w:r>
            <w:bookmarkStart w:id="2" w:name="OLE_LINK4"/>
            <w:r>
              <w:rPr>
                <w:rFonts w:hint="eastAsia" w:ascii="宋体" w:hAnsi="宋体" w:cs="宋体"/>
                <w:szCs w:val="21"/>
                <w:highlight w:val="none"/>
              </w:rPr>
              <w:t>专业：电子、信息工程</w:t>
            </w:r>
            <w:bookmarkEnd w:id="2"/>
            <w:r>
              <w:rPr>
                <w:rFonts w:hint="eastAsia" w:ascii="宋体" w:hAnsi="宋体" w:cs="宋体"/>
                <w:szCs w:val="21"/>
                <w:highlight w:val="none"/>
              </w:rPr>
              <w:t>）</w:t>
            </w:r>
            <w:r>
              <w:rPr>
                <w:rFonts w:hint="eastAsia" w:ascii="宋体" w:hAnsi="宋体" w:eastAsia="宋体" w:cs="宋体"/>
                <w:bCs/>
                <w:szCs w:val="21"/>
                <w:highlight w:val="none"/>
              </w:rPr>
              <w:t>；</w:t>
            </w:r>
          </w:p>
          <w:p w14:paraId="5369F972">
            <w:pPr>
              <w:numPr>
                <w:ilvl w:val="0"/>
                <w:numId w:val="1"/>
              </w:numPr>
              <w:spacing w:line="400" w:lineRule="exact"/>
              <w:rPr>
                <w:rFonts w:hint="eastAsia" w:ascii="宋体" w:hAnsi="宋体" w:cs="宋体"/>
                <w:kern w:val="0"/>
                <w:szCs w:val="21"/>
                <w:highlight w:val="none"/>
              </w:rPr>
            </w:pPr>
            <w:bookmarkStart w:id="3" w:name="OLE_LINK7"/>
            <w:r>
              <w:rPr>
                <w:rFonts w:hint="eastAsia" w:ascii="宋体" w:hAnsi="宋体" w:eastAsia="宋体" w:cs="宋体"/>
                <w:bCs/>
                <w:szCs w:val="21"/>
                <w:highlight w:val="none"/>
              </w:rPr>
              <w:t>具有一级造价工程师注册证书；</w:t>
            </w:r>
            <w:bookmarkEnd w:id="3"/>
          </w:p>
          <w:p w14:paraId="29280C1F">
            <w:pPr>
              <w:numPr>
                <w:ilvl w:val="0"/>
                <w:numId w:val="1"/>
              </w:numPr>
              <w:spacing w:line="400" w:lineRule="exact"/>
              <w:rPr>
                <w:rFonts w:hint="eastAsia" w:ascii="宋体" w:hAnsi="宋体" w:cs="宋体"/>
                <w:kern w:val="0"/>
                <w:szCs w:val="21"/>
                <w:highlight w:val="none"/>
              </w:rPr>
            </w:pPr>
            <w:r>
              <w:rPr>
                <w:rFonts w:hint="eastAsia" w:ascii="宋体" w:hAnsi="宋体" w:cs="宋体"/>
                <w:kern w:val="0"/>
                <w:szCs w:val="21"/>
                <w:highlight w:val="none"/>
              </w:rPr>
              <w:t>具有</w:t>
            </w:r>
            <w:r>
              <w:rPr>
                <w:rFonts w:hint="eastAsia" w:ascii="宋体" w:hAnsi="宋体"/>
                <w:szCs w:val="22"/>
                <w:highlight w:val="none"/>
              </w:rPr>
              <w:t>智算规划与应用技术（高级）证书；</w:t>
            </w:r>
          </w:p>
          <w:p w14:paraId="27022B16">
            <w:pPr>
              <w:spacing w:line="400" w:lineRule="exact"/>
              <w:rPr>
                <w:rStyle w:val="4"/>
                <w:highlight w:val="none"/>
              </w:rPr>
            </w:pPr>
            <w:r>
              <w:rPr>
                <w:rFonts w:hint="eastAsia" w:ascii="宋体" w:hAnsi="宋体" w:eastAsia="宋体" w:cs="宋体"/>
                <w:bCs/>
                <w:szCs w:val="21"/>
                <w:highlight w:val="none"/>
              </w:rPr>
              <w:t>每满足上面任意一项得1分，本小项累计最高得3分</w:t>
            </w:r>
          </w:p>
          <w:p w14:paraId="595211EB">
            <w:pPr>
              <w:spacing w:line="400" w:lineRule="exact"/>
              <w:rPr>
                <w:rFonts w:hint="eastAsia" w:ascii="宋体" w:hAnsi="宋体" w:eastAsia="宋体" w:cs="宋体"/>
                <w:b/>
                <w:szCs w:val="21"/>
                <w:highlight w:val="none"/>
              </w:rPr>
            </w:pPr>
            <w:r>
              <w:rPr>
                <w:rFonts w:hint="eastAsia" w:ascii="宋体" w:hAnsi="宋体" w:eastAsia="宋体" w:cs="宋体"/>
                <w:b/>
                <w:szCs w:val="21"/>
                <w:highlight w:val="none"/>
              </w:rPr>
              <w:t>高级咨询顾问</w:t>
            </w:r>
            <w:r>
              <w:rPr>
                <w:rStyle w:val="4"/>
                <w:rFonts w:hint="eastAsia"/>
                <w:highlight w:val="none"/>
              </w:rPr>
              <w:t>（1人）</w:t>
            </w:r>
          </w:p>
          <w:p w14:paraId="5A43B851">
            <w:pPr>
              <w:numPr>
                <w:ilvl w:val="0"/>
                <w:numId w:val="2"/>
              </w:numPr>
              <w:spacing w:line="400" w:lineRule="exact"/>
              <w:rPr>
                <w:rFonts w:hint="eastAsia" w:ascii="宋体" w:hAnsi="宋体" w:eastAsia="宋体" w:cs="宋体"/>
                <w:bCs/>
                <w:szCs w:val="21"/>
                <w:highlight w:val="none"/>
              </w:rPr>
            </w:pPr>
            <w:r>
              <w:rPr>
                <w:rFonts w:hint="eastAsia" w:ascii="宋体" w:hAnsi="宋体" w:eastAsia="宋体" w:cs="宋体"/>
                <w:bCs/>
                <w:szCs w:val="21"/>
                <w:highlight w:val="none"/>
              </w:rPr>
              <w:t>具有</w:t>
            </w:r>
            <w:r>
              <w:rPr>
                <w:rFonts w:hint="eastAsia" w:ascii="宋体" w:hAnsi="宋体" w:cs="宋体"/>
                <w:szCs w:val="21"/>
                <w:highlight w:val="none"/>
              </w:rPr>
              <w:t>信息系统项目管理师（高级）</w:t>
            </w:r>
            <w:r>
              <w:rPr>
                <w:rFonts w:hint="eastAsia" w:ascii="宋体" w:hAnsi="宋体" w:cs="宋体"/>
                <w:szCs w:val="21"/>
                <w:highlight w:val="none"/>
                <w:lang w:eastAsia="zh-CN"/>
              </w:rPr>
              <w:t>证书；</w:t>
            </w:r>
          </w:p>
          <w:p w14:paraId="3B659A0A">
            <w:pPr>
              <w:numPr>
                <w:ilvl w:val="0"/>
                <w:numId w:val="2"/>
              </w:numPr>
              <w:spacing w:line="400" w:lineRule="exact"/>
              <w:rPr>
                <w:rFonts w:hint="eastAsia" w:ascii="宋体" w:hAnsi="宋体" w:eastAsia="宋体" w:cs="宋体"/>
                <w:bCs/>
                <w:szCs w:val="21"/>
                <w:highlight w:val="none"/>
              </w:rPr>
            </w:pPr>
            <w:bookmarkStart w:id="4" w:name="OLE_LINK61"/>
            <w:r>
              <w:rPr>
                <w:rFonts w:hint="eastAsia" w:ascii="宋体" w:hAnsi="宋体" w:eastAsia="宋体" w:cs="宋体"/>
                <w:bCs/>
                <w:szCs w:val="21"/>
                <w:highlight w:val="none"/>
              </w:rPr>
              <w:t>具有</w:t>
            </w:r>
            <w:bookmarkEnd w:id="4"/>
            <w:r>
              <w:rPr>
                <w:rFonts w:hint="eastAsia" w:ascii="宋体" w:hAnsi="宋体" w:eastAsia="宋体" w:cs="宋体"/>
                <w:bCs/>
                <w:szCs w:val="21"/>
                <w:highlight w:val="none"/>
              </w:rPr>
              <w:t>一级造价工程师注册证书；</w:t>
            </w:r>
          </w:p>
          <w:p w14:paraId="4E170B1B">
            <w:pPr>
              <w:spacing w:line="400" w:lineRule="exact"/>
              <w:rPr>
                <w:rFonts w:hint="eastAsia" w:ascii="宋体" w:hAnsi="宋体" w:eastAsia="宋体" w:cs="宋体"/>
                <w:bCs/>
                <w:szCs w:val="21"/>
                <w:highlight w:val="none"/>
              </w:rPr>
            </w:pPr>
            <w:r>
              <w:rPr>
                <w:rFonts w:hint="eastAsia" w:ascii="宋体" w:hAnsi="宋体" w:eastAsia="宋体" w:cs="宋体"/>
                <w:bCs/>
                <w:szCs w:val="21"/>
                <w:highlight w:val="none"/>
              </w:rPr>
              <w:t xml:space="preserve">（3）具备本科或以上学历； </w:t>
            </w:r>
          </w:p>
          <w:p w14:paraId="7C4BABD2">
            <w:pPr>
              <w:spacing w:line="400" w:lineRule="exact"/>
              <w:rPr>
                <w:rStyle w:val="4"/>
                <w:highlight w:val="none"/>
              </w:rPr>
            </w:pPr>
            <w:r>
              <w:rPr>
                <w:rFonts w:hint="eastAsia" w:ascii="宋体" w:hAnsi="宋体" w:eastAsia="宋体" w:cs="宋体"/>
                <w:bCs/>
                <w:szCs w:val="21"/>
                <w:highlight w:val="none"/>
              </w:rPr>
              <w:t>每满足上面任意一项得1分，本小项累计最高得3分</w:t>
            </w:r>
          </w:p>
          <w:p w14:paraId="73C29570">
            <w:pPr>
              <w:spacing w:line="400" w:lineRule="exact"/>
              <w:rPr>
                <w:rStyle w:val="4"/>
                <w:highlight w:val="none"/>
              </w:rPr>
            </w:pPr>
            <w:r>
              <w:rPr>
                <w:rFonts w:hint="eastAsia" w:ascii="宋体" w:hAnsi="宋体" w:eastAsia="宋体" w:cs="宋体"/>
                <w:b/>
                <w:szCs w:val="21"/>
                <w:highlight w:val="none"/>
              </w:rPr>
              <w:t>咨询顾问</w:t>
            </w:r>
            <w:r>
              <w:rPr>
                <w:rStyle w:val="4"/>
                <w:rFonts w:hint="eastAsia"/>
                <w:highlight w:val="none"/>
              </w:rPr>
              <w:t>（1人）</w:t>
            </w:r>
          </w:p>
          <w:p w14:paraId="29DD9D3B">
            <w:pPr>
              <w:spacing w:line="400" w:lineRule="exact"/>
              <w:rPr>
                <w:rFonts w:hint="eastAsia" w:ascii="宋体" w:hAnsi="宋体" w:eastAsia="宋体" w:cs="宋体"/>
                <w:bCs/>
                <w:szCs w:val="21"/>
                <w:highlight w:val="none"/>
              </w:rPr>
            </w:pPr>
            <w:r>
              <w:rPr>
                <w:rFonts w:hint="eastAsia" w:ascii="宋体" w:hAnsi="宋体" w:eastAsia="宋体" w:cs="宋体"/>
                <w:bCs/>
                <w:szCs w:val="21"/>
                <w:highlight w:val="none"/>
              </w:rPr>
              <w:t>（1）具有一级造价工程师注册证书；</w:t>
            </w:r>
          </w:p>
          <w:p w14:paraId="79B5BC74">
            <w:pPr>
              <w:spacing w:line="400" w:lineRule="exact"/>
              <w:rPr>
                <w:rFonts w:hint="eastAsia" w:ascii="宋体" w:hAnsi="宋体" w:eastAsia="宋体" w:cs="宋体"/>
                <w:bCs/>
                <w:szCs w:val="21"/>
                <w:highlight w:val="none"/>
              </w:rPr>
            </w:pPr>
            <w:r>
              <w:rPr>
                <w:rFonts w:hint="eastAsia" w:ascii="宋体" w:hAnsi="宋体" w:eastAsia="宋体" w:cs="宋体"/>
                <w:bCs/>
                <w:szCs w:val="21"/>
                <w:highlight w:val="none"/>
              </w:rPr>
              <w:t>（2）具备本科或以上学历；</w:t>
            </w:r>
          </w:p>
          <w:p w14:paraId="7CF4DED0">
            <w:pPr>
              <w:spacing w:line="400" w:lineRule="exact"/>
              <w:rPr>
                <w:rStyle w:val="4"/>
                <w:highlight w:val="none"/>
              </w:rPr>
            </w:pPr>
            <w:r>
              <w:rPr>
                <w:rFonts w:hint="eastAsia" w:ascii="宋体" w:hAnsi="宋体" w:eastAsia="宋体" w:cs="宋体"/>
                <w:bCs/>
                <w:szCs w:val="21"/>
                <w:highlight w:val="none"/>
              </w:rPr>
              <w:t>每满足上面任意一项得1分，本小项累计最高得2分</w:t>
            </w:r>
          </w:p>
          <w:p w14:paraId="25D46810">
            <w:pPr>
              <w:spacing w:line="400" w:lineRule="exact"/>
              <w:rPr>
                <w:rFonts w:hint="eastAsia" w:eastAsia="宋体"/>
                <w:highlight w:val="none"/>
                <w:lang w:eastAsia="zh-CN"/>
              </w:rPr>
            </w:pPr>
            <w:r>
              <w:rPr>
                <w:rFonts w:hint="eastAsia" w:ascii="宋体" w:hAnsi="宋体" w:eastAsia="宋体" w:cs="宋体"/>
                <w:b/>
                <w:szCs w:val="21"/>
                <w:highlight w:val="none"/>
              </w:rPr>
              <w:t>咨询助理</w:t>
            </w:r>
            <w:r>
              <w:rPr>
                <w:rStyle w:val="4"/>
                <w:rFonts w:hint="eastAsia"/>
                <w:highlight w:val="none"/>
              </w:rPr>
              <w:t>（1人）</w:t>
            </w:r>
            <w:r>
              <w:rPr>
                <w:rStyle w:val="4"/>
                <w:rFonts w:hint="eastAsia"/>
                <w:highlight w:val="none"/>
                <w:lang w:eastAsia="zh-CN"/>
              </w:rPr>
              <w:t>（</w:t>
            </w:r>
            <w:r>
              <w:rPr>
                <w:rStyle w:val="4"/>
                <w:rFonts w:hint="eastAsia"/>
                <w:highlight w:val="none"/>
                <w:lang w:val="en-US" w:eastAsia="zh-CN"/>
              </w:rPr>
              <w:t>如有</w:t>
            </w:r>
            <w:r>
              <w:rPr>
                <w:rStyle w:val="4"/>
                <w:rFonts w:hint="eastAsia"/>
                <w:highlight w:val="none"/>
                <w:lang w:eastAsia="zh-CN"/>
              </w:rPr>
              <w:t>）</w:t>
            </w:r>
          </w:p>
          <w:p w14:paraId="7B93B6D1">
            <w:pPr>
              <w:numPr>
                <w:ilvl w:val="0"/>
                <w:numId w:val="3"/>
              </w:numPr>
              <w:spacing w:line="400" w:lineRule="exact"/>
              <w:rPr>
                <w:rFonts w:hint="eastAsia" w:ascii="宋体" w:hAnsi="宋体" w:eastAsia="宋体" w:cs="宋体"/>
                <w:bCs/>
                <w:szCs w:val="21"/>
                <w:highlight w:val="none"/>
              </w:rPr>
            </w:pPr>
            <w:r>
              <w:rPr>
                <w:rFonts w:hint="eastAsia" w:ascii="宋体" w:hAnsi="宋体" w:eastAsia="宋体" w:cs="宋体"/>
                <w:bCs/>
                <w:szCs w:val="21"/>
                <w:highlight w:val="none"/>
              </w:rPr>
              <w:t>具有</w:t>
            </w:r>
            <w:r>
              <w:rPr>
                <w:rFonts w:hint="eastAsia" w:ascii="宋体" w:hAnsi="宋体" w:cs="宋体"/>
                <w:szCs w:val="21"/>
                <w:highlight w:val="none"/>
              </w:rPr>
              <w:t>咨询工程师（投资）登记证书（专业：电子、信息工程）</w:t>
            </w:r>
            <w:r>
              <w:rPr>
                <w:rFonts w:hint="eastAsia" w:ascii="宋体" w:hAnsi="宋体" w:eastAsia="宋体" w:cs="宋体"/>
                <w:bCs/>
                <w:szCs w:val="21"/>
                <w:highlight w:val="none"/>
              </w:rPr>
              <w:t>；</w:t>
            </w:r>
          </w:p>
          <w:p w14:paraId="1EADF7D0">
            <w:pPr>
              <w:numPr>
                <w:ilvl w:val="0"/>
                <w:numId w:val="3"/>
              </w:numPr>
              <w:spacing w:line="400" w:lineRule="exact"/>
              <w:rPr>
                <w:rFonts w:hint="eastAsia" w:ascii="宋体" w:hAnsi="宋体" w:eastAsia="宋体" w:cs="宋体"/>
                <w:szCs w:val="21"/>
                <w:highlight w:val="none"/>
              </w:rPr>
            </w:pPr>
            <w:r>
              <w:rPr>
                <w:rFonts w:hint="eastAsia" w:ascii="宋体" w:hAnsi="宋体" w:eastAsia="宋体" w:cs="宋体"/>
                <w:szCs w:val="21"/>
                <w:highlight w:val="none"/>
              </w:rPr>
              <w:t>中级及以上工程师职称；</w:t>
            </w:r>
          </w:p>
          <w:p w14:paraId="41D6C18F">
            <w:pPr>
              <w:numPr>
                <w:ilvl w:val="0"/>
                <w:numId w:val="0"/>
              </w:numPr>
              <w:spacing w:line="400" w:lineRule="exact"/>
              <w:rPr>
                <w:rFonts w:hint="eastAsia" w:ascii="宋体" w:hAnsi="宋体" w:eastAsia="宋体" w:cs="宋体"/>
                <w:szCs w:val="21"/>
                <w:highlight w:val="none"/>
              </w:rPr>
            </w:pPr>
            <w:r>
              <w:rPr>
                <w:rFonts w:hint="eastAsia" w:ascii="宋体" w:hAnsi="宋体" w:eastAsia="宋体" w:cs="宋体"/>
                <w:szCs w:val="21"/>
                <w:highlight w:val="none"/>
              </w:rPr>
              <w:t>每满足上面任意一项得1分，本小项累计最高得2分</w:t>
            </w:r>
          </w:p>
          <w:p w14:paraId="6703D09A">
            <w:pPr>
              <w:numPr>
                <w:ilvl w:val="0"/>
                <w:numId w:val="0"/>
              </w:numPr>
              <w:spacing w:line="400" w:lineRule="exact"/>
              <w:rPr>
                <w:rFonts w:hint="eastAsia" w:ascii="宋体" w:hAnsi="宋体" w:eastAsia="宋体" w:cs="宋体"/>
                <w:szCs w:val="21"/>
                <w:highlight w:val="none"/>
              </w:rPr>
            </w:pPr>
          </w:p>
          <w:p w14:paraId="47E63527">
            <w:pPr>
              <w:spacing w:line="400" w:lineRule="exact"/>
              <w:rPr>
                <w:rFonts w:hint="eastAsia" w:ascii="宋体" w:hAnsi="宋体" w:eastAsia="宋体" w:cs="宋体"/>
                <w:b/>
                <w:bCs w:val="0"/>
                <w:szCs w:val="21"/>
                <w:highlight w:val="none"/>
              </w:rPr>
            </w:pPr>
            <w:r>
              <w:rPr>
                <w:rFonts w:hint="eastAsia" w:ascii="宋体" w:hAnsi="宋体" w:eastAsia="宋体" w:cs="宋体"/>
                <w:b/>
                <w:bCs w:val="0"/>
                <w:szCs w:val="21"/>
                <w:highlight w:val="none"/>
              </w:rPr>
              <w:t>评分依据：</w:t>
            </w:r>
          </w:p>
          <w:p w14:paraId="3BB8E597">
            <w:pPr>
              <w:spacing w:line="400" w:lineRule="exact"/>
              <w:rPr>
                <w:rFonts w:hint="eastAsia" w:ascii="宋体" w:hAnsi="宋体" w:eastAsia="宋体" w:cs="宋体"/>
                <w:bCs/>
                <w:szCs w:val="21"/>
                <w:highlight w:val="none"/>
              </w:rPr>
            </w:pPr>
            <w:r>
              <w:rPr>
                <w:rFonts w:hint="eastAsia" w:ascii="宋体" w:hAnsi="宋体" w:eastAsia="宋体" w:cs="宋体"/>
                <w:bCs/>
                <w:szCs w:val="21"/>
                <w:highlight w:val="none"/>
              </w:rPr>
              <w:t>1.</w:t>
            </w:r>
            <w:r>
              <w:rPr>
                <w:rFonts w:hint="eastAsia"/>
                <w:highlight w:val="none"/>
              </w:rPr>
              <w:t xml:space="preserve"> 提供投标人为拟派</w:t>
            </w:r>
            <w:r>
              <w:rPr>
                <w:rFonts w:hint="eastAsia" w:ascii="宋体" w:hAnsi="宋体" w:eastAsia="宋体" w:cs="宋体"/>
                <w:bCs/>
                <w:szCs w:val="21"/>
                <w:highlight w:val="none"/>
              </w:rPr>
              <w:t>团队成员</w:t>
            </w:r>
            <w:r>
              <w:rPr>
                <w:rFonts w:hint="eastAsia"/>
                <w:highlight w:val="none"/>
              </w:rPr>
              <w:t>缴纳的截至本项目投标</w:t>
            </w:r>
            <w:r>
              <w:rPr>
                <w:rFonts w:hint="eastAsia"/>
                <w:highlight w:val="none"/>
                <w:lang w:eastAsia="zh-CN"/>
              </w:rPr>
              <w:t>截止</w:t>
            </w:r>
            <w:r>
              <w:rPr>
                <w:rFonts w:hint="eastAsia"/>
                <w:highlight w:val="none"/>
              </w:rPr>
              <w:t>之日止，近六个月中其中一个月的社保证明扫描件（证明资料可为社保收缴部门盖章证明资料、社保窗口打印资料或社保官网截图）</w:t>
            </w:r>
            <w:r>
              <w:rPr>
                <w:rFonts w:hint="eastAsia" w:ascii="宋体" w:hAnsi="宋体" w:eastAsia="宋体" w:cs="宋体"/>
                <w:bCs/>
                <w:szCs w:val="21"/>
                <w:highlight w:val="none"/>
              </w:rPr>
              <w:t>。</w:t>
            </w:r>
          </w:p>
          <w:p w14:paraId="4E17C450">
            <w:pPr>
              <w:ind w:left="-78" w:leftChars="-37" w:right="-73" w:rightChars="-35"/>
              <w:jc w:val="left"/>
              <w:rPr>
                <w:rFonts w:hint="eastAsia" w:eastAsia="宋体"/>
                <w:highlight w:val="none"/>
                <w:lang w:val="en-US" w:eastAsia="zh-CN"/>
              </w:rPr>
            </w:pPr>
            <w:r>
              <w:rPr>
                <w:rFonts w:hint="eastAsia" w:ascii="宋体" w:hAnsi="宋体" w:cs="宋体"/>
                <w:highlight w:val="none"/>
              </w:rPr>
              <w:t>2.</w:t>
            </w:r>
            <w:r>
              <w:rPr>
                <w:rFonts w:hint="eastAsia" w:ascii="宋体" w:hAnsi="宋体" w:cs="宋体"/>
                <w:szCs w:val="21"/>
                <w:highlight w:val="none"/>
              </w:rPr>
              <w:t>以上资料均要求提供扫描件（或官方网站截图），原件备查。评分中出现无证明资料或专家无法凭所提供资料判断是否得分的情况，一律作不得分处理。</w:t>
            </w:r>
          </w:p>
        </w:tc>
        <w:tc>
          <w:tcPr>
            <w:tcW w:w="886" w:type="dxa"/>
            <w:tcBorders>
              <w:top w:val="single" w:color="auto" w:sz="4" w:space="0"/>
              <w:left w:val="single" w:color="auto" w:sz="4" w:space="0"/>
              <w:bottom w:val="single" w:color="auto" w:sz="4" w:space="0"/>
              <w:right w:val="single" w:color="auto" w:sz="4" w:space="0"/>
            </w:tcBorders>
            <w:noWrap w:val="0"/>
            <w:vAlign w:val="center"/>
          </w:tcPr>
          <w:p w14:paraId="08FDEF19">
            <w:pPr>
              <w:jc w:val="center"/>
              <w:rPr>
                <w:rFonts w:hint="eastAsia" w:ascii="仿宋_GB2312" w:hAnsi="宋体" w:eastAsia="仿宋_GB2312" w:cs="宋体"/>
                <w:szCs w:val="21"/>
                <w:highlight w:val="none"/>
              </w:rPr>
            </w:pPr>
          </w:p>
        </w:tc>
      </w:tr>
      <w:tr w14:paraId="64BE90BB">
        <w:tblPrEx>
          <w:tblCellMar>
            <w:top w:w="0" w:type="dxa"/>
            <w:left w:w="108" w:type="dxa"/>
            <w:bottom w:w="0" w:type="dxa"/>
            <w:right w:w="108" w:type="dxa"/>
          </w:tblCellMar>
        </w:tblPrEx>
        <w:trPr>
          <w:trHeight w:val="531" w:hRule="atLeast"/>
        </w:trPr>
        <w:tc>
          <w:tcPr>
            <w:tcW w:w="570" w:type="dxa"/>
            <w:tcBorders>
              <w:top w:val="single" w:color="auto" w:sz="4" w:space="0"/>
              <w:left w:val="single" w:color="auto" w:sz="4" w:space="0"/>
              <w:bottom w:val="single" w:color="auto" w:sz="4" w:space="0"/>
              <w:right w:val="single" w:color="auto" w:sz="4" w:space="0"/>
            </w:tcBorders>
            <w:noWrap w:val="0"/>
            <w:vAlign w:val="center"/>
          </w:tcPr>
          <w:p w14:paraId="20DD5378">
            <w:pPr>
              <w:adjustRightInd w:val="0"/>
              <w:snapToGrid w:val="0"/>
              <w:jc w:val="center"/>
              <w:rPr>
                <w:rFonts w:hint="eastAsia" w:eastAsia="宋体"/>
                <w:bCs/>
                <w:szCs w:val="21"/>
                <w:highlight w:val="none"/>
                <w:lang w:eastAsia="zh-CN"/>
              </w:rPr>
            </w:pPr>
            <w:r>
              <w:rPr>
                <w:rFonts w:hint="eastAsia"/>
                <w:bCs/>
                <w:szCs w:val="21"/>
                <w:highlight w:val="none"/>
                <w:lang w:val="en-US" w:eastAsia="zh-CN"/>
              </w:rPr>
              <w:t>5</w:t>
            </w:r>
          </w:p>
        </w:tc>
        <w:tc>
          <w:tcPr>
            <w:tcW w:w="1656" w:type="dxa"/>
            <w:tcBorders>
              <w:top w:val="single" w:color="auto" w:sz="4" w:space="0"/>
              <w:left w:val="single" w:color="auto" w:sz="4" w:space="0"/>
              <w:bottom w:val="single" w:color="auto" w:sz="4" w:space="0"/>
              <w:right w:val="single" w:color="auto" w:sz="4" w:space="0"/>
            </w:tcBorders>
            <w:noWrap w:val="0"/>
            <w:vAlign w:val="center"/>
          </w:tcPr>
          <w:p w14:paraId="494941CF">
            <w:pPr>
              <w:adjustRightInd w:val="0"/>
              <w:snapToGrid w:val="0"/>
              <w:jc w:val="center"/>
              <w:rPr>
                <w:rFonts w:hint="eastAsia" w:eastAsia="宋体"/>
                <w:bCs/>
                <w:szCs w:val="21"/>
                <w:highlight w:val="none"/>
                <w:lang w:eastAsia="zh-CN"/>
              </w:rPr>
            </w:pPr>
            <w:r>
              <w:rPr>
                <w:rFonts w:hint="eastAsia" w:ascii="宋体" w:hAnsi="宋体" w:eastAsia="宋体" w:cs="宋体"/>
                <w:bCs/>
                <w:szCs w:val="21"/>
                <w:highlight w:val="none"/>
              </w:rPr>
              <w:t>项目完成（服务期满）后的服务承诺</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15F9974A">
            <w:pPr>
              <w:jc w:val="center"/>
              <w:rPr>
                <w:bCs/>
                <w:szCs w:val="21"/>
                <w:highlight w:val="none"/>
              </w:rPr>
            </w:pPr>
            <w:r>
              <w:rPr>
                <w:rFonts w:hint="eastAsia" w:ascii="宋体" w:hAnsi="宋体" w:eastAsia="宋体" w:cs="宋体"/>
                <w:bCs/>
                <w:szCs w:val="21"/>
                <w:highlight w:val="none"/>
              </w:rPr>
              <w:t>5</w:t>
            </w:r>
          </w:p>
        </w:tc>
        <w:tc>
          <w:tcPr>
            <w:tcW w:w="5811" w:type="dxa"/>
            <w:tcBorders>
              <w:top w:val="single" w:color="auto" w:sz="4" w:space="0"/>
              <w:left w:val="single" w:color="auto" w:sz="4" w:space="0"/>
              <w:bottom w:val="single" w:color="auto" w:sz="4" w:space="0"/>
              <w:right w:val="single" w:color="auto" w:sz="4" w:space="0"/>
            </w:tcBorders>
            <w:noWrap w:val="0"/>
            <w:vAlign w:val="center"/>
          </w:tcPr>
          <w:p w14:paraId="7274CEC6">
            <w:pPr>
              <w:spacing w:line="400" w:lineRule="exact"/>
              <w:rPr>
                <w:rFonts w:hint="eastAsia" w:ascii="宋体" w:hAnsi="宋体" w:eastAsia="宋体" w:cs="宋体"/>
                <w:b/>
                <w:szCs w:val="21"/>
                <w:highlight w:val="none"/>
              </w:rPr>
            </w:pPr>
            <w:r>
              <w:rPr>
                <w:rFonts w:hint="eastAsia" w:ascii="宋体" w:hAnsi="宋体" w:eastAsia="宋体" w:cs="宋体"/>
                <w:b/>
                <w:szCs w:val="21"/>
                <w:highlight w:val="none"/>
              </w:rPr>
              <w:t>评审内容：</w:t>
            </w:r>
          </w:p>
          <w:p w14:paraId="772F9F4D">
            <w:pPr>
              <w:spacing w:line="400" w:lineRule="exact"/>
              <w:rPr>
                <w:rFonts w:hint="eastAsia" w:ascii="宋体" w:hAnsi="宋体" w:eastAsia="宋体" w:cs="宋体"/>
                <w:bCs/>
                <w:szCs w:val="21"/>
                <w:highlight w:val="none"/>
              </w:rPr>
            </w:pPr>
            <w:r>
              <w:rPr>
                <w:rFonts w:hint="eastAsia" w:ascii="宋体" w:hAnsi="宋体" w:eastAsia="宋体" w:cs="宋体"/>
                <w:bCs/>
                <w:szCs w:val="21"/>
                <w:highlight w:val="none"/>
              </w:rPr>
              <w:t>提供包含以下所有内容的承诺函得满分，否则不得分：</w:t>
            </w:r>
          </w:p>
          <w:p w14:paraId="4CD5D7A5">
            <w:pPr>
              <w:spacing w:line="400" w:lineRule="exact"/>
              <w:rPr>
                <w:rFonts w:hint="eastAsia" w:ascii="宋体" w:hAnsi="宋体" w:eastAsia="宋体" w:cs="宋体"/>
                <w:bCs/>
                <w:szCs w:val="21"/>
                <w:highlight w:val="none"/>
              </w:rPr>
            </w:pPr>
            <w:r>
              <w:rPr>
                <w:rFonts w:hint="eastAsia" w:ascii="宋体" w:hAnsi="宋体" w:eastAsia="宋体" w:cs="宋体"/>
                <w:bCs/>
                <w:szCs w:val="21"/>
                <w:highlight w:val="none"/>
              </w:rPr>
              <w:t>要求包括但不限于，提供施工配合、后续设计变更配合等。</w:t>
            </w:r>
          </w:p>
          <w:p w14:paraId="4E07C02F">
            <w:pPr>
              <w:rPr>
                <w:highlight w:val="none"/>
              </w:rPr>
            </w:pPr>
            <w:r>
              <w:rPr>
                <w:rFonts w:hint="eastAsia" w:ascii="宋体" w:hAnsi="宋体" w:eastAsia="宋体" w:cs="宋体"/>
                <w:b/>
                <w:bCs w:val="0"/>
                <w:szCs w:val="21"/>
                <w:highlight w:val="none"/>
              </w:rPr>
              <w:t>评审标准：</w:t>
            </w:r>
            <w:r>
              <w:rPr>
                <w:rFonts w:hint="eastAsia" w:ascii="宋体" w:hAnsi="宋体"/>
                <w:szCs w:val="21"/>
                <w:highlight w:val="none"/>
              </w:rPr>
              <w:t>提供</w:t>
            </w:r>
            <w:r>
              <w:rPr>
                <w:rFonts w:hint="eastAsia" w:ascii="宋体" w:hAnsi="宋体" w:eastAsia="宋体" w:cs="宋体"/>
                <w:bCs/>
                <w:szCs w:val="21"/>
                <w:highlight w:val="none"/>
              </w:rPr>
              <w:t>项目完成（服务期满）后的服务承诺</w:t>
            </w:r>
            <w:r>
              <w:rPr>
                <w:rFonts w:hint="eastAsia" w:ascii="宋体" w:hAnsi="宋体"/>
                <w:szCs w:val="21"/>
                <w:highlight w:val="none"/>
              </w:rPr>
              <w:t>（格式自拟），满足上述所有内容得</w:t>
            </w:r>
            <w:r>
              <w:rPr>
                <w:rFonts w:hint="eastAsia" w:ascii="宋体" w:hAnsi="宋体"/>
                <w:szCs w:val="21"/>
                <w:highlight w:val="none"/>
                <w:lang w:val="en-US" w:eastAsia="zh-CN"/>
              </w:rPr>
              <w:t>5</w:t>
            </w:r>
            <w:r>
              <w:rPr>
                <w:rFonts w:hint="eastAsia" w:ascii="宋体" w:hAnsi="宋体"/>
                <w:szCs w:val="21"/>
                <w:highlight w:val="none"/>
              </w:rPr>
              <w:t>分，承诺不全或未提供有效承诺函，不得分。</w:t>
            </w:r>
          </w:p>
        </w:tc>
        <w:tc>
          <w:tcPr>
            <w:tcW w:w="886" w:type="dxa"/>
            <w:tcBorders>
              <w:top w:val="single" w:color="auto" w:sz="4" w:space="0"/>
              <w:left w:val="single" w:color="auto" w:sz="4" w:space="0"/>
              <w:right w:val="single" w:color="auto" w:sz="4" w:space="0"/>
            </w:tcBorders>
            <w:noWrap w:val="0"/>
            <w:vAlign w:val="center"/>
          </w:tcPr>
          <w:p w14:paraId="33459F0F">
            <w:pPr>
              <w:jc w:val="center"/>
              <w:rPr>
                <w:rFonts w:hint="eastAsia" w:ascii="仿宋_GB2312" w:hAnsi="宋体" w:eastAsia="仿宋_GB2312" w:cs="宋体"/>
                <w:szCs w:val="21"/>
                <w:highlight w:val="none"/>
              </w:rPr>
            </w:pPr>
          </w:p>
        </w:tc>
      </w:tr>
      <w:tr w14:paraId="559E5DA2">
        <w:tblPrEx>
          <w:tblCellMar>
            <w:top w:w="0" w:type="dxa"/>
            <w:left w:w="108" w:type="dxa"/>
            <w:bottom w:w="0" w:type="dxa"/>
            <w:right w:w="108" w:type="dxa"/>
          </w:tblCellMar>
        </w:tblPrEx>
        <w:trPr>
          <w:trHeight w:val="531" w:hRule="atLeast"/>
        </w:trPr>
        <w:tc>
          <w:tcPr>
            <w:tcW w:w="570" w:type="dxa"/>
            <w:tcBorders>
              <w:top w:val="single" w:color="auto" w:sz="4" w:space="0"/>
              <w:left w:val="single" w:color="auto" w:sz="4" w:space="0"/>
              <w:bottom w:val="single" w:color="auto" w:sz="4" w:space="0"/>
              <w:right w:val="single" w:color="auto" w:sz="4" w:space="0"/>
            </w:tcBorders>
            <w:noWrap w:val="0"/>
            <w:vAlign w:val="center"/>
          </w:tcPr>
          <w:p w14:paraId="5A125ED3">
            <w:pPr>
              <w:adjustRightInd w:val="0"/>
              <w:snapToGrid w:val="0"/>
              <w:jc w:val="center"/>
              <w:rPr>
                <w:rFonts w:hint="eastAsia" w:ascii="Calibri" w:hAnsi="Calibri" w:eastAsia="宋体" w:cs="Times New Roman"/>
                <w:bCs/>
                <w:szCs w:val="21"/>
                <w:highlight w:val="none"/>
                <w:lang w:eastAsia="zh-CN"/>
              </w:rPr>
            </w:pPr>
            <w:r>
              <w:rPr>
                <w:rFonts w:hint="eastAsia" w:eastAsia="宋体"/>
                <w:bCs/>
                <w:szCs w:val="21"/>
                <w:highlight w:val="none"/>
                <w:lang w:val="en-US" w:eastAsia="zh-CN"/>
              </w:rPr>
              <w:t>6</w:t>
            </w:r>
          </w:p>
        </w:tc>
        <w:tc>
          <w:tcPr>
            <w:tcW w:w="1656" w:type="dxa"/>
            <w:tcBorders>
              <w:top w:val="single" w:color="auto" w:sz="4" w:space="0"/>
              <w:left w:val="single" w:color="auto" w:sz="4" w:space="0"/>
              <w:bottom w:val="single" w:color="auto" w:sz="4" w:space="0"/>
              <w:right w:val="single" w:color="auto" w:sz="4" w:space="0"/>
            </w:tcBorders>
            <w:noWrap w:val="0"/>
            <w:vAlign w:val="center"/>
          </w:tcPr>
          <w:p w14:paraId="43771929">
            <w:pPr>
              <w:adjustRightInd w:val="0"/>
              <w:snapToGrid w:val="0"/>
              <w:jc w:val="center"/>
              <w:rPr>
                <w:rFonts w:ascii="Calibri" w:hAnsi="Calibri" w:eastAsia="宋体" w:cs="Times New Roman"/>
                <w:bCs/>
                <w:szCs w:val="21"/>
                <w:highlight w:val="none"/>
                <w:lang w:eastAsia="zh-Hans"/>
              </w:rPr>
            </w:pPr>
            <w:r>
              <w:rPr>
                <w:rFonts w:hint="eastAsia" w:ascii="宋体" w:hAnsi="宋体" w:eastAsia="宋体" w:cs="宋体"/>
                <w:bCs/>
                <w:szCs w:val="21"/>
                <w:highlight w:val="none"/>
              </w:rPr>
              <w:t>违约承诺</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5C98E884">
            <w:pPr>
              <w:jc w:val="center"/>
              <w:rPr>
                <w:rFonts w:hint="eastAsia" w:ascii="Calibri" w:hAnsi="Calibri" w:eastAsia="宋体" w:cs="Times New Roman"/>
                <w:bCs/>
                <w:szCs w:val="21"/>
                <w:highlight w:val="none"/>
                <w:lang w:eastAsia="zh-CN"/>
              </w:rPr>
            </w:pPr>
            <w:r>
              <w:rPr>
                <w:rFonts w:hint="eastAsia" w:ascii="宋体" w:hAnsi="宋体" w:eastAsia="宋体" w:cs="宋体"/>
                <w:bCs/>
                <w:szCs w:val="21"/>
                <w:highlight w:val="none"/>
              </w:rPr>
              <w:t>5</w:t>
            </w:r>
          </w:p>
        </w:tc>
        <w:tc>
          <w:tcPr>
            <w:tcW w:w="5811" w:type="dxa"/>
            <w:tcBorders>
              <w:top w:val="single" w:color="auto" w:sz="4" w:space="0"/>
              <w:left w:val="single" w:color="auto" w:sz="4" w:space="0"/>
              <w:bottom w:val="single" w:color="auto" w:sz="4" w:space="0"/>
              <w:right w:val="single" w:color="auto" w:sz="4" w:space="0"/>
            </w:tcBorders>
            <w:noWrap w:val="0"/>
            <w:vAlign w:val="center"/>
          </w:tcPr>
          <w:p w14:paraId="36C8C316">
            <w:pPr>
              <w:spacing w:line="400" w:lineRule="exact"/>
              <w:rPr>
                <w:rFonts w:hint="eastAsia" w:ascii="宋体" w:hAnsi="宋体" w:eastAsia="宋体" w:cs="宋体"/>
                <w:b/>
                <w:szCs w:val="21"/>
                <w:highlight w:val="none"/>
              </w:rPr>
            </w:pPr>
            <w:r>
              <w:rPr>
                <w:rFonts w:hint="eastAsia" w:ascii="宋体" w:hAnsi="宋体" w:eastAsia="宋体" w:cs="宋体"/>
                <w:b/>
                <w:szCs w:val="21"/>
                <w:highlight w:val="none"/>
              </w:rPr>
              <w:t>评审内容：</w:t>
            </w:r>
          </w:p>
          <w:p w14:paraId="2559DA90">
            <w:pPr>
              <w:spacing w:line="400" w:lineRule="exact"/>
              <w:rPr>
                <w:rFonts w:hint="eastAsia" w:ascii="宋体" w:hAnsi="宋体" w:eastAsia="宋体" w:cs="宋体"/>
                <w:bCs/>
                <w:szCs w:val="21"/>
                <w:highlight w:val="none"/>
              </w:rPr>
            </w:pPr>
            <w:r>
              <w:rPr>
                <w:rFonts w:hint="eastAsia" w:ascii="宋体" w:hAnsi="宋体" w:eastAsia="宋体" w:cs="宋体"/>
                <w:bCs/>
                <w:szCs w:val="21"/>
                <w:highlight w:val="none"/>
              </w:rPr>
              <w:t>根据投标人提供的违约承诺（格式自定）响应情况进行评审，内容需包含：</w:t>
            </w:r>
          </w:p>
          <w:p w14:paraId="530EF1B9">
            <w:pPr>
              <w:spacing w:line="400" w:lineRule="exact"/>
              <w:rPr>
                <w:rFonts w:hint="eastAsia" w:ascii="宋体" w:hAnsi="宋体" w:eastAsia="宋体" w:cs="宋体"/>
                <w:bCs/>
                <w:szCs w:val="21"/>
                <w:highlight w:val="none"/>
              </w:rPr>
            </w:pPr>
            <w:r>
              <w:rPr>
                <w:rFonts w:hint="eastAsia" w:ascii="宋体" w:hAnsi="宋体" w:eastAsia="宋体" w:cs="宋体"/>
                <w:bCs/>
                <w:szCs w:val="21"/>
                <w:highlight w:val="none"/>
              </w:rPr>
              <w:t>1、人员严格按照招标文件及投标承诺配置；</w:t>
            </w:r>
          </w:p>
          <w:p w14:paraId="72E5AF7C">
            <w:pPr>
              <w:spacing w:line="400" w:lineRule="exact"/>
              <w:rPr>
                <w:rFonts w:hint="eastAsia" w:ascii="宋体" w:hAnsi="宋体" w:eastAsia="宋体" w:cs="宋体"/>
                <w:bCs/>
                <w:szCs w:val="21"/>
                <w:highlight w:val="none"/>
              </w:rPr>
            </w:pPr>
            <w:r>
              <w:rPr>
                <w:rFonts w:hint="eastAsia" w:ascii="宋体" w:hAnsi="宋体" w:eastAsia="宋体" w:cs="宋体"/>
                <w:bCs/>
                <w:szCs w:val="21"/>
                <w:highlight w:val="none"/>
              </w:rPr>
              <w:t>2、服务质量达到招标文件要求等；</w:t>
            </w:r>
          </w:p>
          <w:p w14:paraId="3FC6A120">
            <w:pPr>
              <w:ind w:left="-78" w:leftChars="-37" w:right="-73" w:rightChars="-35"/>
              <w:jc w:val="left"/>
              <w:rPr>
                <w:rFonts w:hint="eastAsia" w:ascii="宋体" w:hAnsi="宋体" w:cs="宋体"/>
                <w:szCs w:val="21"/>
                <w:highlight w:val="none"/>
              </w:rPr>
            </w:pPr>
            <w:r>
              <w:rPr>
                <w:rFonts w:hint="eastAsia" w:ascii="宋体" w:hAnsi="宋体" w:eastAsia="宋体" w:cs="宋体"/>
                <w:b/>
                <w:bCs w:val="0"/>
                <w:szCs w:val="21"/>
                <w:highlight w:val="none"/>
              </w:rPr>
              <w:t>证明材料：</w:t>
            </w:r>
            <w:r>
              <w:rPr>
                <w:rFonts w:hint="eastAsia" w:ascii="宋体" w:hAnsi="宋体" w:eastAsia="宋体" w:cs="宋体"/>
                <w:bCs/>
                <w:szCs w:val="21"/>
                <w:highlight w:val="none"/>
              </w:rPr>
              <w:t>要求提供承诺（格式自定）作为得分依据，未提供承诺或承诺内容不满足要求不得分；</w:t>
            </w:r>
          </w:p>
        </w:tc>
        <w:tc>
          <w:tcPr>
            <w:tcW w:w="886" w:type="dxa"/>
            <w:vMerge w:val="restart"/>
            <w:tcBorders>
              <w:top w:val="single" w:color="auto" w:sz="4" w:space="0"/>
              <w:left w:val="single" w:color="auto" w:sz="4" w:space="0"/>
              <w:right w:val="single" w:color="auto" w:sz="4" w:space="0"/>
            </w:tcBorders>
            <w:noWrap w:val="0"/>
            <w:vAlign w:val="center"/>
          </w:tcPr>
          <w:p w14:paraId="5B5264DC">
            <w:pPr>
              <w:jc w:val="center"/>
              <w:rPr>
                <w:rFonts w:hint="eastAsia" w:ascii="仿宋_GB2312" w:hAnsi="宋体" w:eastAsia="仿宋_GB2312" w:cs="宋体"/>
                <w:szCs w:val="21"/>
                <w:highlight w:val="none"/>
              </w:rPr>
            </w:pPr>
          </w:p>
        </w:tc>
      </w:tr>
      <w:tr w14:paraId="33DC8C5F">
        <w:tblPrEx>
          <w:tblCellMar>
            <w:top w:w="0" w:type="dxa"/>
            <w:left w:w="108" w:type="dxa"/>
            <w:bottom w:w="0" w:type="dxa"/>
            <w:right w:w="108" w:type="dxa"/>
          </w:tblCellMar>
        </w:tblPrEx>
        <w:trPr>
          <w:trHeight w:val="755" w:hRule="atLeast"/>
        </w:trPr>
        <w:tc>
          <w:tcPr>
            <w:tcW w:w="570" w:type="dxa"/>
            <w:tcBorders>
              <w:top w:val="single" w:color="auto" w:sz="4" w:space="0"/>
              <w:left w:val="single" w:color="auto" w:sz="4" w:space="0"/>
              <w:bottom w:val="single" w:color="auto" w:sz="4" w:space="0"/>
              <w:right w:val="single" w:color="auto" w:sz="4" w:space="0"/>
            </w:tcBorders>
            <w:noWrap w:val="0"/>
            <w:vAlign w:val="center"/>
          </w:tcPr>
          <w:p w14:paraId="6BF5D115">
            <w:pPr>
              <w:adjustRightInd w:val="0"/>
              <w:snapToGrid w:val="0"/>
              <w:jc w:val="center"/>
              <w:rPr>
                <w:rFonts w:hint="eastAsia" w:eastAsia="宋体"/>
                <w:bCs/>
                <w:szCs w:val="21"/>
                <w:highlight w:val="none"/>
                <w:lang w:val="en-US" w:eastAsia="zh-CN"/>
              </w:rPr>
            </w:pPr>
            <w:r>
              <w:rPr>
                <w:rFonts w:hint="eastAsia"/>
                <w:bCs/>
                <w:szCs w:val="21"/>
                <w:highlight w:val="none"/>
                <w:lang w:val="en-US" w:eastAsia="zh-CN"/>
              </w:rPr>
              <w:t>7</w:t>
            </w:r>
          </w:p>
        </w:tc>
        <w:tc>
          <w:tcPr>
            <w:tcW w:w="1656" w:type="dxa"/>
            <w:tcBorders>
              <w:top w:val="single" w:color="auto" w:sz="4" w:space="0"/>
              <w:left w:val="single" w:color="auto" w:sz="4" w:space="0"/>
              <w:bottom w:val="single" w:color="auto" w:sz="4" w:space="0"/>
              <w:right w:val="single" w:color="auto" w:sz="4" w:space="0"/>
            </w:tcBorders>
            <w:noWrap w:val="0"/>
            <w:vAlign w:val="center"/>
          </w:tcPr>
          <w:p w14:paraId="7A1E659E">
            <w:pPr>
              <w:spacing w:line="400" w:lineRule="exact"/>
              <w:rPr>
                <w:rFonts w:hint="eastAsia" w:ascii="宋体" w:hAnsi="宋体" w:eastAsia="宋体" w:cs="宋体"/>
                <w:bCs/>
                <w:szCs w:val="21"/>
                <w:highlight w:val="none"/>
              </w:rPr>
            </w:pPr>
            <w:r>
              <w:rPr>
                <w:rFonts w:hint="eastAsia" w:ascii="宋体" w:hAnsi="宋体" w:eastAsia="宋体" w:cs="宋体"/>
                <w:bCs/>
                <w:szCs w:val="21"/>
                <w:highlight w:val="none"/>
              </w:rPr>
              <w:t>投标人通过相关认证情况</w:t>
            </w:r>
          </w:p>
          <w:p w14:paraId="22FA36A9">
            <w:pPr>
              <w:adjustRightInd w:val="0"/>
              <w:snapToGrid w:val="0"/>
              <w:jc w:val="center"/>
              <w:rPr>
                <w:rFonts w:ascii="Calibri" w:hAnsi="Calibri" w:eastAsia="宋体" w:cs="Times New Roman"/>
                <w:bCs/>
                <w:szCs w:val="21"/>
                <w:highlight w:val="none"/>
                <w:lang w:eastAsia="zh-Hans"/>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4C748F3F">
            <w:pPr>
              <w:jc w:val="center"/>
              <w:rPr>
                <w:rFonts w:hint="eastAsia" w:cs="Times New Roman"/>
                <w:bCs/>
                <w:szCs w:val="21"/>
                <w:highlight w:val="none"/>
              </w:rPr>
            </w:pPr>
            <w:r>
              <w:rPr>
                <w:rFonts w:hint="eastAsia" w:ascii="宋体" w:hAnsi="宋体" w:eastAsia="宋体" w:cs="宋体"/>
                <w:bCs/>
                <w:szCs w:val="21"/>
                <w:highlight w:val="none"/>
              </w:rPr>
              <w:t>18</w:t>
            </w:r>
          </w:p>
        </w:tc>
        <w:tc>
          <w:tcPr>
            <w:tcW w:w="5811" w:type="dxa"/>
            <w:tcBorders>
              <w:top w:val="single" w:color="auto" w:sz="4" w:space="0"/>
              <w:left w:val="single" w:color="auto" w:sz="4" w:space="0"/>
              <w:bottom w:val="single" w:color="auto" w:sz="4" w:space="0"/>
              <w:right w:val="single" w:color="auto" w:sz="4" w:space="0"/>
            </w:tcBorders>
            <w:noWrap w:val="0"/>
            <w:vAlign w:val="center"/>
          </w:tcPr>
          <w:p w14:paraId="18E944B7">
            <w:pPr>
              <w:spacing w:line="400" w:lineRule="exact"/>
              <w:rPr>
                <w:rFonts w:hint="eastAsia" w:ascii="宋体" w:hAnsi="宋体" w:eastAsia="宋体" w:cs="宋体"/>
                <w:b/>
                <w:szCs w:val="21"/>
                <w:highlight w:val="none"/>
              </w:rPr>
            </w:pPr>
            <w:r>
              <w:rPr>
                <w:rFonts w:hint="eastAsia" w:ascii="宋体" w:hAnsi="宋体" w:eastAsia="宋体" w:cs="宋体"/>
                <w:b/>
                <w:szCs w:val="21"/>
                <w:highlight w:val="none"/>
              </w:rPr>
              <w:t>评分内容：</w:t>
            </w:r>
          </w:p>
          <w:p w14:paraId="002D0FE3">
            <w:pPr>
              <w:autoSpaceDE w:val="0"/>
              <w:autoSpaceDN w:val="0"/>
              <w:adjustRightInd w:val="0"/>
              <w:spacing w:line="360" w:lineRule="exact"/>
              <w:jc w:val="left"/>
              <w:rPr>
                <w:rFonts w:hint="eastAsia" w:ascii="宋体" w:hAnsi="宋体" w:cs="宋体"/>
                <w:szCs w:val="21"/>
                <w:highlight w:val="none"/>
              </w:rPr>
            </w:pPr>
            <w:r>
              <w:rPr>
                <w:rFonts w:hint="eastAsia" w:ascii="宋体" w:hAnsi="宋体" w:cs="宋体"/>
                <w:szCs w:val="21"/>
                <w:highlight w:val="none"/>
              </w:rPr>
              <w:t>1、具有</w:t>
            </w:r>
            <w:bookmarkStart w:id="5" w:name="OLE_LINK55"/>
            <w:r>
              <w:rPr>
                <w:rFonts w:hint="eastAsia" w:ascii="宋体" w:hAnsi="宋体" w:cs="宋体"/>
                <w:szCs w:val="21"/>
                <w:highlight w:val="none"/>
              </w:rPr>
              <w:t>有效的</w:t>
            </w:r>
            <w:bookmarkEnd w:id="5"/>
            <w:r>
              <w:rPr>
                <w:rFonts w:hint="eastAsia" w:ascii="宋体" w:hAnsi="宋体" w:cs="宋体"/>
                <w:szCs w:val="21"/>
                <w:highlight w:val="none"/>
              </w:rPr>
              <w:t>质量管理体系认证证书，得2分；</w:t>
            </w:r>
            <w:r>
              <w:rPr>
                <w:rFonts w:hint="eastAsia" w:ascii="宋体" w:hAnsi="宋体" w:cs="宋体"/>
                <w:szCs w:val="21"/>
                <w:highlight w:val="none"/>
              </w:rPr>
              <w:cr/>
            </w:r>
            <w:r>
              <w:rPr>
                <w:rFonts w:hint="eastAsia" w:ascii="宋体" w:hAnsi="宋体" w:cs="宋体"/>
                <w:szCs w:val="21"/>
                <w:highlight w:val="none"/>
              </w:rPr>
              <w:t>2、具有有效的环境管理体系认证证书，得2分。</w:t>
            </w:r>
            <w:r>
              <w:rPr>
                <w:rFonts w:hint="eastAsia" w:ascii="宋体" w:hAnsi="宋体" w:cs="宋体"/>
                <w:szCs w:val="21"/>
                <w:highlight w:val="none"/>
              </w:rPr>
              <w:cr/>
            </w:r>
            <w:r>
              <w:rPr>
                <w:rFonts w:hint="eastAsia" w:ascii="宋体" w:hAnsi="宋体" w:cs="宋体"/>
                <w:szCs w:val="21"/>
                <w:highlight w:val="none"/>
              </w:rPr>
              <w:t>3、具有有效的</w:t>
            </w:r>
            <w:r>
              <w:rPr>
                <w:rFonts w:hint="eastAsia"/>
                <w:highlight w:val="none"/>
              </w:rPr>
              <w:t>职业健康安全</w:t>
            </w:r>
            <w:r>
              <w:rPr>
                <w:rFonts w:hint="eastAsia" w:ascii="宋体" w:hAnsi="宋体" w:cs="宋体"/>
                <w:szCs w:val="21"/>
                <w:highlight w:val="none"/>
              </w:rPr>
              <w:t>管理体系认证证书，得2分。</w:t>
            </w:r>
          </w:p>
          <w:p w14:paraId="16D91A24">
            <w:pPr>
              <w:spacing w:line="400" w:lineRule="exact"/>
              <w:rPr>
                <w:rFonts w:hint="eastAsia" w:ascii="宋体" w:hAnsi="宋体" w:cs="宋体"/>
                <w:color w:val="EE0000"/>
                <w:szCs w:val="21"/>
                <w:highlight w:val="none"/>
              </w:rPr>
            </w:pPr>
            <w:r>
              <w:rPr>
                <w:rFonts w:hint="eastAsia" w:ascii="宋体" w:hAnsi="宋体" w:eastAsia="宋体" w:cs="宋体"/>
                <w:bCs/>
                <w:szCs w:val="21"/>
                <w:highlight w:val="none"/>
              </w:rPr>
              <w:t>4、具</w:t>
            </w:r>
            <w:r>
              <w:rPr>
                <w:rFonts w:hint="eastAsia" w:ascii="宋体" w:hAnsi="宋体" w:cs="宋体"/>
                <w:bCs/>
                <w:szCs w:val="21"/>
                <w:highlight w:val="none"/>
              </w:rPr>
              <w:t>有</w:t>
            </w:r>
            <w:r>
              <w:rPr>
                <w:rFonts w:hint="eastAsia" w:ascii="宋体" w:hAnsi="宋体" w:cs="宋体"/>
                <w:szCs w:val="21"/>
                <w:highlight w:val="none"/>
              </w:rPr>
              <w:t>有效的</w:t>
            </w:r>
            <w:r>
              <w:rPr>
                <w:rFonts w:hint="eastAsia" w:ascii="宋体" w:hAnsi="宋体" w:cs="宋体"/>
                <w:highlight w:val="none"/>
              </w:rPr>
              <w:t>信息安全管理体系认证证书</w:t>
            </w:r>
            <w:r>
              <w:rPr>
                <w:rFonts w:hint="eastAsia" w:ascii="宋体" w:hAnsi="宋体" w:eastAsia="宋体" w:cs="宋体"/>
                <w:bCs/>
                <w:szCs w:val="21"/>
                <w:highlight w:val="none"/>
              </w:rPr>
              <w:t xml:space="preserve">，得2分。 </w:t>
            </w:r>
          </w:p>
          <w:p w14:paraId="6C6456B5">
            <w:pPr>
              <w:spacing w:line="400" w:lineRule="exact"/>
              <w:rPr>
                <w:rFonts w:hint="eastAsia" w:ascii="宋体" w:hAnsi="宋体" w:cs="宋体"/>
                <w:color w:val="EE0000"/>
                <w:szCs w:val="21"/>
                <w:highlight w:val="none"/>
              </w:rPr>
            </w:pPr>
            <w:r>
              <w:rPr>
                <w:rFonts w:hint="eastAsia" w:ascii="宋体" w:hAnsi="宋体" w:eastAsia="宋体" w:cs="宋体"/>
                <w:bCs/>
                <w:szCs w:val="21"/>
                <w:highlight w:val="none"/>
              </w:rPr>
              <w:t>5、</w:t>
            </w:r>
            <w:bookmarkStart w:id="6" w:name="OLE_LINK54"/>
            <w:r>
              <w:rPr>
                <w:rFonts w:hint="eastAsia" w:ascii="宋体" w:hAnsi="宋体" w:eastAsia="宋体" w:cs="宋体"/>
                <w:bCs/>
                <w:szCs w:val="21"/>
                <w:highlight w:val="none"/>
              </w:rPr>
              <w:t>具</w:t>
            </w:r>
            <w:r>
              <w:rPr>
                <w:rFonts w:hint="eastAsia" w:ascii="宋体" w:hAnsi="宋体" w:cs="宋体"/>
                <w:bCs/>
                <w:szCs w:val="21"/>
                <w:highlight w:val="none"/>
              </w:rPr>
              <w:t>有</w:t>
            </w:r>
            <w:bookmarkEnd w:id="6"/>
            <w:r>
              <w:rPr>
                <w:rFonts w:hint="eastAsia" w:ascii="宋体" w:hAnsi="宋体" w:cs="宋体"/>
                <w:bCs/>
                <w:szCs w:val="21"/>
                <w:highlight w:val="none"/>
              </w:rPr>
              <w:t>有效的</w:t>
            </w:r>
            <w:r>
              <w:rPr>
                <w:rFonts w:hint="eastAsia" w:ascii="宋体" w:hAnsi="宋体" w:eastAsia="宋体" w:cs="宋体"/>
                <w:bCs/>
                <w:szCs w:val="21"/>
                <w:highlight w:val="none"/>
              </w:rPr>
              <w:t>信息技术服务管理体系认证证书，得2分；</w:t>
            </w:r>
          </w:p>
          <w:p w14:paraId="6B6D4181">
            <w:pPr>
              <w:spacing w:line="400" w:lineRule="exact"/>
              <w:rPr>
                <w:rFonts w:hint="eastAsia" w:ascii="宋体" w:hAnsi="宋体" w:cs="宋体"/>
                <w:color w:val="EE0000"/>
                <w:szCs w:val="21"/>
                <w:highlight w:val="none"/>
              </w:rPr>
            </w:pPr>
            <w:r>
              <w:rPr>
                <w:rFonts w:hint="eastAsia" w:ascii="宋体" w:hAnsi="宋体" w:eastAsia="宋体" w:cs="宋体"/>
                <w:bCs/>
                <w:szCs w:val="21"/>
                <w:highlight w:val="none"/>
              </w:rPr>
              <w:t>6、具有有效的知识产权管理体系认证证书，得2分；</w:t>
            </w:r>
          </w:p>
          <w:p w14:paraId="7DA698D0">
            <w:pPr>
              <w:spacing w:line="400" w:lineRule="exact"/>
              <w:rPr>
                <w:rFonts w:hint="eastAsia" w:ascii="宋体" w:hAnsi="宋体" w:eastAsia="宋体" w:cs="宋体"/>
                <w:bCs/>
                <w:szCs w:val="21"/>
                <w:highlight w:val="none"/>
              </w:rPr>
            </w:pPr>
            <w:bookmarkStart w:id="7" w:name="OLE_LINK56"/>
            <w:r>
              <w:rPr>
                <w:rFonts w:hint="eastAsia" w:ascii="宋体" w:hAnsi="宋体" w:eastAsia="宋体" w:cs="宋体"/>
                <w:bCs/>
                <w:szCs w:val="21"/>
                <w:highlight w:val="none"/>
              </w:rPr>
              <w:t>7、具有有效的企业诚信管理体系认证证书，得2分；</w:t>
            </w:r>
            <w:bookmarkEnd w:id="7"/>
          </w:p>
          <w:p w14:paraId="16F49E63">
            <w:pPr>
              <w:spacing w:line="400" w:lineRule="exact"/>
              <w:rPr>
                <w:rFonts w:hint="eastAsia" w:ascii="宋体" w:hAnsi="宋体" w:eastAsia="宋体" w:cs="宋体"/>
                <w:bCs/>
                <w:szCs w:val="21"/>
                <w:highlight w:val="none"/>
              </w:rPr>
            </w:pPr>
            <w:r>
              <w:rPr>
                <w:rFonts w:hint="eastAsia" w:ascii="宋体" w:hAnsi="宋体" w:eastAsia="宋体" w:cs="宋体"/>
                <w:bCs/>
                <w:szCs w:val="21"/>
                <w:highlight w:val="none"/>
              </w:rPr>
              <w:t>8、具有有效的反贿赂管理体系认证证书，得2分；</w:t>
            </w:r>
          </w:p>
          <w:p w14:paraId="55A1E7F1">
            <w:pPr>
              <w:spacing w:line="400" w:lineRule="exact"/>
              <w:rPr>
                <w:rFonts w:hint="eastAsia" w:ascii="宋体" w:hAnsi="宋体" w:eastAsia="宋体" w:cs="宋体"/>
                <w:bCs/>
                <w:szCs w:val="21"/>
                <w:highlight w:val="none"/>
              </w:rPr>
            </w:pPr>
            <w:r>
              <w:rPr>
                <w:rFonts w:hint="eastAsia" w:ascii="宋体" w:hAnsi="宋体" w:eastAsia="宋体" w:cs="宋体"/>
                <w:bCs/>
                <w:szCs w:val="21"/>
                <w:highlight w:val="none"/>
              </w:rPr>
              <w:t>9、具有有效的碳足迹管理体系认证证书，得2分；</w:t>
            </w:r>
          </w:p>
          <w:p w14:paraId="792D6082">
            <w:pPr>
              <w:spacing w:line="400" w:lineRule="exact"/>
              <w:rPr>
                <w:rFonts w:hint="eastAsia" w:ascii="宋体" w:hAnsi="宋体" w:eastAsia="宋体" w:cs="宋体"/>
                <w:b/>
                <w:szCs w:val="21"/>
                <w:highlight w:val="none"/>
              </w:rPr>
            </w:pPr>
            <w:r>
              <w:rPr>
                <w:rFonts w:hint="eastAsia" w:ascii="宋体" w:hAnsi="宋体" w:eastAsia="宋体" w:cs="宋体"/>
                <w:b/>
                <w:szCs w:val="21"/>
                <w:highlight w:val="none"/>
              </w:rPr>
              <w:t>评分依据：</w:t>
            </w:r>
          </w:p>
          <w:p w14:paraId="525A94BB">
            <w:pPr>
              <w:spacing w:line="400" w:lineRule="exact"/>
              <w:rPr>
                <w:rFonts w:hint="eastAsia" w:ascii="宋体" w:hAnsi="宋体" w:eastAsia="宋体" w:cs="宋体"/>
                <w:bCs/>
                <w:szCs w:val="21"/>
                <w:highlight w:val="none"/>
              </w:rPr>
            </w:pPr>
            <w:r>
              <w:rPr>
                <w:rFonts w:hint="eastAsia" w:ascii="宋体" w:hAnsi="宋体" w:eastAsia="宋体" w:cs="宋体"/>
                <w:bCs/>
                <w:szCs w:val="21"/>
                <w:highlight w:val="none"/>
              </w:rPr>
              <w:t>1、要求提供有效的资格（认证）证书作为得分依据。</w:t>
            </w:r>
          </w:p>
          <w:p w14:paraId="2B5427C5">
            <w:pPr>
              <w:ind w:left="-78" w:leftChars="-37" w:right="-73" w:rightChars="-35"/>
              <w:jc w:val="left"/>
              <w:rPr>
                <w:rFonts w:hint="eastAsia" w:ascii="宋体" w:hAnsi="宋体" w:cs="宋体"/>
                <w:szCs w:val="21"/>
                <w:highlight w:val="none"/>
                <w:lang w:val="en-US" w:eastAsia="zh-CN"/>
              </w:rPr>
            </w:pPr>
            <w:r>
              <w:rPr>
                <w:rFonts w:hint="eastAsia" w:ascii="宋体" w:hAnsi="宋体" w:eastAsia="宋体" w:cs="宋体"/>
                <w:bCs/>
                <w:szCs w:val="21"/>
                <w:highlight w:val="none"/>
              </w:rPr>
              <w:t>2、以上资料均要求提供扫描件（或官方网站截图），原件备查。评分中出现无证明资料或专家无法凭所提供资料判断是否得分的情况，一律作不得分处理。</w:t>
            </w:r>
          </w:p>
        </w:tc>
        <w:tc>
          <w:tcPr>
            <w:tcW w:w="886" w:type="dxa"/>
            <w:vMerge w:val="continue"/>
            <w:tcBorders>
              <w:left w:val="single" w:color="auto" w:sz="4" w:space="0"/>
              <w:bottom w:val="single" w:color="auto" w:sz="4" w:space="0"/>
              <w:right w:val="single" w:color="auto" w:sz="4" w:space="0"/>
            </w:tcBorders>
            <w:noWrap w:val="0"/>
            <w:vAlign w:val="center"/>
          </w:tcPr>
          <w:p w14:paraId="74E9FF81">
            <w:pPr>
              <w:jc w:val="center"/>
              <w:rPr>
                <w:rFonts w:hint="eastAsia" w:ascii="仿宋_GB2312" w:hAnsi="宋体" w:eastAsia="仿宋_GB2312" w:cs="宋体"/>
                <w:szCs w:val="21"/>
                <w:highlight w:val="none"/>
              </w:rPr>
            </w:pPr>
          </w:p>
        </w:tc>
      </w:tr>
      <w:tr w14:paraId="0F0D9B8E">
        <w:tblPrEx>
          <w:tblCellMar>
            <w:top w:w="0" w:type="dxa"/>
            <w:left w:w="108" w:type="dxa"/>
            <w:bottom w:w="0" w:type="dxa"/>
            <w:right w:w="108" w:type="dxa"/>
          </w:tblCellMar>
        </w:tblPrEx>
        <w:trPr>
          <w:trHeight w:val="755" w:hRule="atLeast"/>
        </w:trPr>
        <w:tc>
          <w:tcPr>
            <w:tcW w:w="570" w:type="dxa"/>
            <w:tcBorders>
              <w:top w:val="single" w:color="auto" w:sz="4" w:space="0"/>
              <w:left w:val="single" w:color="auto" w:sz="4" w:space="0"/>
              <w:bottom w:val="single" w:color="auto" w:sz="4" w:space="0"/>
              <w:right w:val="single" w:color="auto" w:sz="4" w:space="0"/>
            </w:tcBorders>
            <w:noWrap w:val="0"/>
            <w:vAlign w:val="center"/>
          </w:tcPr>
          <w:p w14:paraId="28E1D60E">
            <w:pPr>
              <w:adjustRightInd w:val="0"/>
              <w:snapToGrid w:val="0"/>
              <w:jc w:val="center"/>
              <w:rPr>
                <w:rFonts w:hint="eastAsia" w:eastAsia="宋体"/>
                <w:bCs/>
                <w:szCs w:val="21"/>
                <w:highlight w:val="none"/>
                <w:lang w:eastAsia="zh-CN"/>
              </w:rPr>
            </w:pPr>
            <w:r>
              <w:rPr>
                <w:rFonts w:hint="eastAsia"/>
                <w:bCs/>
                <w:szCs w:val="21"/>
                <w:highlight w:val="none"/>
                <w:lang w:val="en-US" w:eastAsia="zh-CN"/>
              </w:rPr>
              <w:t>8</w:t>
            </w:r>
          </w:p>
        </w:tc>
        <w:tc>
          <w:tcPr>
            <w:tcW w:w="1656" w:type="dxa"/>
            <w:tcBorders>
              <w:top w:val="single" w:color="auto" w:sz="4" w:space="0"/>
              <w:left w:val="single" w:color="auto" w:sz="4" w:space="0"/>
              <w:bottom w:val="single" w:color="auto" w:sz="4" w:space="0"/>
              <w:right w:val="single" w:color="auto" w:sz="4" w:space="0"/>
            </w:tcBorders>
            <w:noWrap w:val="0"/>
            <w:vAlign w:val="center"/>
          </w:tcPr>
          <w:p w14:paraId="242A9179">
            <w:pPr>
              <w:adjustRightInd w:val="0"/>
              <w:snapToGrid w:val="0"/>
              <w:jc w:val="center"/>
              <w:rPr>
                <w:rFonts w:ascii="Calibri" w:hAnsi="Calibri" w:eastAsia="宋体" w:cs="Times New Roman"/>
                <w:bCs/>
                <w:szCs w:val="21"/>
                <w:highlight w:val="none"/>
                <w:lang w:eastAsia="zh-Hans"/>
              </w:rPr>
            </w:pPr>
            <w:r>
              <w:rPr>
                <w:rFonts w:hint="eastAsia" w:ascii="宋体" w:hAnsi="宋体" w:eastAsia="宋体" w:cs="宋体"/>
                <w:bCs/>
                <w:szCs w:val="21"/>
                <w:highlight w:val="none"/>
              </w:rPr>
              <w:t>投标人同类项目业绩情况</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6363E19F">
            <w:pPr>
              <w:jc w:val="center"/>
              <w:rPr>
                <w:rFonts w:ascii="Calibri" w:hAnsi="Calibri" w:eastAsia="宋体" w:cs="Times New Roman"/>
                <w:bCs/>
                <w:szCs w:val="21"/>
                <w:highlight w:val="none"/>
              </w:rPr>
            </w:pPr>
            <w:r>
              <w:rPr>
                <w:rFonts w:hint="eastAsia" w:ascii="宋体" w:hAnsi="宋体" w:eastAsia="宋体" w:cs="宋体"/>
                <w:bCs/>
                <w:szCs w:val="21"/>
                <w:highlight w:val="none"/>
              </w:rPr>
              <w:t>20</w:t>
            </w:r>
          </w:p>
        </w:tc>
        <w:tc>
          <w:tcPr>
            <w:tcW w:w="5811" w:type="dxa"/>
            <w:tcBorders>
              <w:top w:val="single" w:color="auto" w:sz="4" w:space="0"/>
              <w:left w:val="single" w:color="auto" w:sz="4" w:space="0"/>
              <w:bottom w:val="single" w:color="auto" w:sz="4" w:space="0"/>
              <w:right w:val="single" w:color="auto" w:sz="4" w:space="0"/>
            </w:tcBorders>
            <w:noWrap w:val="0"/>
            <w:vAlign w:val="center"/>
          </w:tcPr>
          <w:p w14:paraId="03965E16">
            <w:pPr>
              <w:spacing w:line="400" w:lineRule="exact"/>
              <w:rPr>
                <w:rFonts w:hint="eastAsia" w:ascii="宋体" w:hAnsi="宋体" w:eastAsia="宋体" w:cs="宋体"/>
                <w:b/>
                <w:szCs w:val="21"/>
                <w:highlight w:val="none"/>
              </w:rPr>
            </w:pPr>
            <w:r>
              <w:rPr>
                <w:rFonts w:hint="eastAsia" w:ascii="宋体" w:hAnsi="宋体" w:eastAsia="宋体" w:cs="宋体"/>
                <w:b/>
                <w:szCs w:val="21"/>
                <w:highlight w:val="none"/>
              </w:rPr>
              <w:t>评分内容：</w:t>
            </w:r>
          </w:p>
          <w:p w14:paraId="65BF2FBF">
            <w:pPr>
              <w:spacing w:line="400" w:lineRule="exact"/>
              <w:rPr>
                <w:rFonts w:hint="eastAsia" w:ascii="宋体" w:hAnsi="宋体" w:eastAsia="宋体" w:cs="宋体"/>
                <w:bCs/>
                <w:szCs w:val="21"/>
                <w:highlight w:val="none"/>
              </w:rPr>
            </w:pPr>
            <w:r>
              <w:rPr>
                <w:rFonts w:hint="eastAsia" w:ascii="宋体" w:hAnsi="宋体" w:eastAsia="宋体" w:cs="宋体"/>
                <w:bCs/>
                <w:szCs w:val="21"/>
                <w:highlight w:val="none"/>
              </w:rPr>
              <w:t>自2022年10月1日起至本项目投标截止之日止（以合同签订日期为准），投标人承担过同类</w:t>
            </w:r>
            <w:r>
              <w:rPr>
                <w:rFonts w:hint="eastAsia" w:ascii="宋体" w:hAnsi="宋体" w:eastAsia="宋体" w:cs="宋体"/>
                <w:bCs/>
                <w:szCs w:val="21"/>
                <w:highlight w:val="none"/>
                <w:lang w:eastAsia="zh-CN"/>
              </w:rPr>
              <w:t>项目</w:t>
            </w:r>
            <w:r>
              <w:rPr>
                <w:rFonts w:hint="eastAsia" w:ascii="宋体" w:hAnsi="宋体" w:eastAsia="宋体" w:cs="宋体"/>
                <w:bCs/>
                <w:szCs w:val="21"/>
                <w:highlight w:val="none"/>
              </w:rPr>
              <w:t>的。</w:t>
            </w:r>
          </w:p>
          <w:p w14:paraId="1B085880">
            <w:pPr>
              <w:spacing w:line="400" w:lineRule="exact"/>
              <w:rPr>
                <w:rFonts w:hint="eastAsia" w:ascii="宋体" w:hAnsi="宋体" w:eastAsia="宋体" w:cs="宋体"/>
                <w:bCs/>
                <w:szCs w:val="21"/>
                <w:highlight w:val="none"/>
              </w:rPr>
            </w:pPr>
            <w:r>
              <w:rPr>
                <w:rFonts w:hint="eastAsia" w:ascii="宋体" w:hAnsi="宋体" w:eastAsia="宋体" w:cs="宋体"/>
                <w:bCs/>
                <w:szCs w:val="21"/>
                <w:highlight w:val="none"/>
              </w:rPr>
              <w:t>同类项目经验指：全国范围内有企业数字化或数字政府或智慧城市或智慧行业等信息化项目管理或信息化咨询服务经验。</w:t>
            </w:r>
          </w:p>
          <w:p w14:paraId="5D0DB85D">
            <w:pPr>
              <w:spacing w:line="400" w:lineRule="exact"/>
              <w:rPr>
                <w:rFonts w:hint="eastAsia" w:ascii="宋体" w:hAnsi="宋体" w:eastAsia="宋体" w:cs="宋体"/>
                <w:bCs/>
                <w:szCs w:val="21"/>
                <w:highlight w:val="none"/>
              </w:rPr>
            </w:pPr>
            <w:r>
              <w:rPr>
                <w:rFonts w:hint="eastAsia" w:ascii="宋体" w:hAnsi="宋体" w:eastAsia="宋体" w:cs="宋体"/>
                <w:bCs/>
                <w:szCs w:val="21"/>
                <w:highlight w:val="none"/>
              </w:rPr>
              <w:t>单个项目信息化项目管理或信息化咨询服务合同,每提供一个业绩得4分；本项累计最高得20分。</w:t>
            </w:r>
          </w:p>
          <w:p w14:paraId="58586C1B">
            <w:pPr>
              <w:spacing w:line="400" w:lineRule="exact"/>
              <w:rPr>
                <w:rFonts w:hint="eastAsia" w:ascii="宋体" w:hAnsi="宋体" w:eastAsia="宋体" w:cs="宋体"/>
                <w:b/>
                <w:bCs w:val="0"/>
                <w:szCs w:val="21"/>
                <w:highlight w:val="none"/>
              </w:rPr>
            </w:pPr>
            <w:r>
              <w:rPr>
                <w:rFonts w:hint="eastAsia" w:ascii="宋体" w:hAnsi="宋体" w:eastAsia="宋体" w:cs="宋体"/>
                <w:b/>
                <w:bCs w:val="0"/>
                <w:szCs w:val="21"/>
                <w:highlight w:val="none"/>
              </w:rPr>
              <w:t>评分依据：</w:t>
            </w:r>
          </w:p>
          <w:p w14:paraId="6694729E">
            <w:pPr>
              <w:ind w:left="-78" w:leftChars="-37" w:right="-73" w:rightChars="-35"/>
              <w:jc w:val="left"/>
              <w:rPr>
                <w:rFonts w:hint="default"/>
                <w:highlight w:val="none"/>
                <w:lang w:val="en-US" w:eastAsia="zh-CN"/>
              </w:rPr>
            </w:pPr>
            <w:r>
              <w:rPr>
                <w:rFonts w:hint="eastAsia" w:ascii="宋体" w:hAnsi="宋体" w:eastAsia="宋体" w:cs="宋体"/>
                <w:bCs/>
                <w:szCs w:val="21"/>
                <w:highlight w:val="none"/>
              </w:rPr>
              <w:t>以上业绩要求提供合同关键页（包括签约时间、项目名称、关键服务内容、双方盖章等关键页）扫描件，原件备查。评分中出现无证明资料或专家无法凭所提供资料判断是否得分的情况，一律作不得分处理。</w:t>
            </w:r>
          </w:p>
        </w:tc>
        <w:tc>
          <w:tcPr>
            <w:tcW w:w="886" w:type="dxa"/>
            <w:vMerge w:val="continue"/>
            <w:tcBorders>
              <w:left w:val="single" w:color="auto" w:sz="4" w:space="0"/>
              <w:bottom w:val="single" w:color="auto" w:sz="4" w:space="0"/>
              <w:right w:val="single" w:color="auto" w:sz="4" w:space="0"/>
            </w:tcBorders>
            <w:noWrap w:val="0"/>
            <w:vAlign w:val="center"/>
          </w:tcPr>
          <w:p w14:paraId="3776ED80">
            <w:pPr>
              <w:jc w:val="center"/>
              <w:rPr>
                <w:rFonts w:hint="eastAsia" w:ascii="仿宋_GB2312" w:hAnsi="宋体" w:eastAsia="仿宋_GB2312" w:cs="宋体"/>
                <w:szCs w:val="21"/>
                <w:highlight w:val="none"/>
              </w:rPr>
            </w:pPr>
          </w:p>
        </w:tc>
      </w:tr>
      <w:tr w14:paraId="0B166A2E">
        <w:tblPrEx>
          <w:tblCellMar>
            <w:top w:w="0" w:type="dxa"/>
            <w:left w:w="108" w:type="dxa"/>
            <w:bottom w:w="0" w:type="dxa"/>
            <w:right w:w="108" w:type="dxa"/>
          </w:tblCellMar>
        </w:tblPrEx>
        <w:trPr>
          <w:trHeight w:val="674" w:hRule="atLeast"/>
        </w:trPr>
        <w:tc>
          <w:tcPr>
            <w:tcW w:w="570" w:type="dxa"/>
            <w:tcBorders>
              <w:top w:val="single" w:color="auto" w:sz="4" w:space="0"/>
              <w:left w:val="nil"/>
              <w:bottom w:val="single" w:color="auto" w:sz="4" w:space="0"/>
              <w:right w:val="single" w:color="auto" w:sz="4" w:space="0"/>
            </w:tcBorders>
            <w:noWrap w:val="0"/>
            <w:vAlign w:val="center"/>
          </w:tcPr>
          <w:p w14:paraId="5908C17F">
            <w:pPr>
              <w:adjustRightInd w:val="0"/>
              <w:snapToGrid w:val="0"/>
              <w:jc w:val="center"/>
              <w:rPr>
                <w:bCs/>
                <w:szCs w:val="21"/>
                <w:highlight w:val="none"/>
              </w:rPr>
            </w:pPr>
          </w:p>
        </w:tc>
        <w:tc>
          <w:tcPr>
            <w:tcW w:w="1656" w:type="dxa"/>
            <w:tcBorders>
              <w:top w:val="nil"/>
              <w:left w:val="nil"/>
              <w:bottom w:val="single" w:color="auto" w:sz="4" w:space="0"/>
              <w:right w:val="single" w:color="auto" w:sz="4" w:space="0"/>
            </w:tcBorders>
            <w:noWrap w:val="0"/>
            <w:vAlign w:val="center"/>
          </w:tcPr>
          <w:p w14:paraId="770621E1">
            <w:pPr>
              <w:adjustRightInd w:val="0"/>
              <w:snapToGrid w:val="0"/>
              <w:jc w:val="center"/>
              <w:rPr>
                <w:rFonts w:hint="eastAsia" w:ascii="仿宋_GB2312" w:hAnsi="宋体" w:eastAsia="仿宋_GB2312" w:cs="宋体"/>
                <w:b/>
                <w:szCs w:val="21"/>
                <w:highlight w:val="none"/>
              </w:rPr>
            </w:pPr>
            <w:r>
              <w:rPr>
                <w:rFonts w:hint="eastAsia" w:ascii="仿宋_GB2312" w:hAnsi="宋体" w:eastAsia="仿宋_GB2312" w:cs="宋体"/>
                <w:b/>
                <w:szCs w:val="21"/>
                <w:highlight w:val="none"/>
              </w:rPr>
              <w:t>合计　</w:t>
            </w:r>
          </w:p>
        </w:tc>
        <w:tc>
          <w:tcPr>
            <w:tcW w:w="709" w:type="dxa"/>
            <w:tcBorders>
              <w:top w:val="nil"/>
              <w:left w:val="single" w:color="auto" w:sz="4" w:space="0"/>
              <w:bottom w:val="single" w:color="auto" w:sz="4" w:space="0"/>
              <w:right w:val="single" w:color="auto" w:sz="4" w:space="0"/>
            </w:tcBorders>
            <w:noWrap w:val="0"/>
            <w:vAlign w:val="center"/>
          </w:tcPr>
          <w:p w14:paraId="528E36B3">
            <w:pPr>
              <w:adjustRightInd w:val="0"/>
              <w:snapToGrid w:val="0"/>
              <w:jc w:val="center"/>
              <w:rPr>
                <w:rFonts w:hint="eastAsia" w:ascii="仿宋_GB2312" w:hAnsi="宋体" w:eastAsia="仿宋_GB2312" w:cs="宋体"/>
                <w:b/>
                <w:szCs w:val="21"/>
                <w:highlight w:val="none"/>
              </w:rPr>
            </w:pPr>
            <w:r>
              <w:rPr>
                <w:rFonts w:hint="eastAsia"/>
                <w:bCs/>
                <w:szCs w:val="21"/>
                <w:highlight w:val="none"/>
              </w:rPr>
              <w:t>100</w:t>
            </w:r>
          </w:p>
        </w:tc>
        <w:tc>
          <w:tcPr>
            <w:tcW w:w="5811" w:type="dxa"/>
            <w:tcBorders>
              <w:top w:val="nil"/>
              <w:left w:val="single" w:color="auto" w:sz="4" w:space="0"/>
              <w:bottom w:val="single" w:color="auto" w:sz="4" w:space="0"/>
              <w:right w:val="single" w:color="auto" w:sz="4" w:space="0"/>
            </w:tcBorders>
            <w:noWrap w:val="0"/>
            <w:vAlign w:val="center"/>
          </w:tcPr>
          <w:p w14:paraId="37D87E9D">
            <w:pPr>
              <w:adjustRightInd w:val="0"/>
              <w:snapToGrid w:val="0"/>
              <w:jc w:val="center"/>
              <w:rPr>
                <w:rFonts w:hint="eastAsia" w:ascii="仿宋_GB2312" w:hAnsi="宋体" w:eastAsia="仿宋_GB2312" w:cs="宋体"/>
                <w:b/>
                <w:szCs w:val="21"/>
                <w:highlight w:val="none"/>
              </w:rPr>
            </w:pPr>
          </w:p>
        </w:tc>
        <w:tc>
          <w:tcPr>
            <w:tcW w:w="886" w:type="dxa"/>
            <w:tcBorders>
              <w:top w:val="nil"/>
              <w:left w:val="nil"/>
              <w:bottom w:val="single" w:color="auto" w:sz="4" w:space="0"/>
              <w:right w:val="single" w:color="auto" w:sz="4" w:space="0"/>
            </w:tcBorders>
            <w:noWrap w:val="0"/>
            <w:vAlign w:val="center"/>
          </w:tcPr>
          <w:p w14:paraId="21E8D16B">
            <w:pPr>
              <w:adjustRightInd w:val="0"/>
              <w:snapToGrid w:val="0"/>
              <w:jc w:val="center"/>
              <w:rPr>
                <w:rFonts w:hint="eastAsia" w:ascii="仿宋_GB2312" w:hAnsi="宋体" w:eastAsia="仿宋_GB2312" w:cs="宋体"/>
                <w:szCs w:val="21"/>
                <w:highlight w:val="none"/>
              </w:rPr>
            </w:pPr>
            <w:r>
              <w:rPr>
                <w:rFonts w:hint="eastAsia" w:ascii="仿宋_GB2312" w:hAnsi="宋体" w:eastAsia="仿宋_GB2312" w:cs="宋体"/>
                <w:szCs w:val="21"/>
                <w:highlight w:val="none"/>
              </w:rPr>
              <w:t>　</w:t>
            </w:r>
          </w:p>
        </w:tc>
      </w:tr>
    </w:tbl>
    <w:p w14:paraId="4CFEBB98">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center"/>
        <w:rPr>
          <w:rFonts w:hint="eastAsia" w:ascii="宋体" w:hAnsi="宋体" w:cs="宋体"/>
          <w:sz w:val="36"/>
          <w:szCs w:val="36"/>
          <w:highlight w:val="none"/>
        </w:rPr>
      </w:pPr>
    </w:p>
    <w:p w14:paraId="439888B9">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ind w:firstLine="420"/>
        <w:rPr>
          <w:rFonts w:hint="eastAsia" w:ascii="黑体" w:hAnsi="黑体" w:eastAsia="黑体" w:cs="黑体"/>
          <w:szCs w:val="21"/>
          <w:highlight w:val="none"/>
        </w:rPr>
      </w:pPr>
      <w:r>
        <w:rPr>
          <w:rFonts w:ascii="黑体" w:hAnsi="黑体" w:eastAsia="黑体" w:cs="黑体"/>
          <w:szCs w:val="21"/>
          <w:highlight w:val="none"/>
        </w:rPr>
        <w:t>备注：1.各项评审打分按照四舍五入，小数点后保留2位进行计算；</w:t>
      </w:r>
    </w:p>
    <w:p w14:paraId="1207DB7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ind w:left="1050" w:hanging="1050"/>
        <w:rPr>
          <w:highlight w:val="none"/>
        </w:rPr>
      </w:pPr>
      <w:r>
        <w:rPr>
          <w:rFonts w:ascii="黑体" w:hAnsi="黑体" w:eastAsia="黑体" w:cs="黑体"/>
          <w:szCs w:val="21"/>
          <w:highlight w:val="none"/>
        </w:rPr>
        <w:t xml:space="preserve">          2.若出现拟推荐成交候选供应商票数相同的情况，以未推荐上述单位的评审专家对并列第一的候选供应商既定打分排序作为最终选定依据。</w:t>
      </w:r>
    </w:p>
    <w:p w14:paraId="1F75F56E"/>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0BFBE7"/>
    <w:multiLevelType w:val="singleLevel"/>
    <w:tmpl w:val="0C0BFBE7"/>
    <w:lvl w:ilvl="0" w:tentative="0">
      <w:start w:val="1"/>
      <w:numFmt w:val="decimal"/>
      <w:suff w:val="nothing"/>
      <w:lvlText w:val="（%1）"/>
      <w:lvlJc w:val="left"/>
    </w:lvl>
  </w:abstractNum>
  <w:abstractNum w:abstractNumId="1">
    <w:nsid w:val="3CBDCBF3"/>
    <w:multiLevelType w:val="singleLevel"/>
    <w:tmpl w:val="3CBDCBF3"/>
    <w:lvl w:ilvl="0" w:tentative="0">
      <w:start w:val="1"/>
      <w:numFmt w:val="decimal"/>
      <w:suff w:val="nothing"/>
      <w:lvlText w:val="（%1）"/>
      <w:lvlJc w:val="left"/>
    </w:lvl>
  </w:abstractNum>
  <w:abstractNum w:abstractNumId="2">
    <w:nsid w:val="61C0C7F5"/>
    <w:multiLevelType w:val="singleLevel"/>
    <w:tmpl w:val="61C0C7F5"/>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F9351F"/>
    <w:rsid w:val="5E7B340D"/>
    <w:rsid w:val="60B55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annotation reference"/>
    <w:basedOn w:val="3"/>
    <w:qFormat/>
    <w:uiPriority w:val="0"/>
    <w:rPr>
      <w:sz w:val="21"/>
      <w:szCs w:val="21"/>
    </w:rPr>
  </w:style>
  <w:style w:type="paragraph" w:customStyle="1" w:styleId="5">
    <w:name w:val="p3"/>
    <w:basedOn w:val="1"/>
    <w:qFormat/>
    <w:uiPriority w:val="0"/>
    <w:pPr>
      <w:spacing w:line="30" w:lineRule="atLeast"/>
      <w:jc w:val="center"/>
    </w:pPr>
    <w:rPr>
      <w:rFonts w:hint="eastAsia" w:ascii="宋体" w:hAnsi="宋体" w:cs="宋体"/>
      <w:kern w:val="0"/>
      <w:sz w:val="36"/>
      <w:szCs w:val="36"/>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2025-05-20T07:02:00Z</dcterms:created>
  <dc:creator>Administrator</dc:creator>
  <cp:lastModifiedBy>實誠</cp:lastModifiedBy>
  <dcterms:modified xsi:type="dcterms:W3CDTF">2026-02-27T09:50:56Z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21DF0F5C296F43449735F0D23C7A0185_13</vt:lpwstr>
  </property>
  <property fmtid="{D5CDD505-2E9C-101B-9397-08002B2CF9AE}" pid="4" name="KSOTemplateDocerSaveRecord">
    <vt:lpwstr>eyJoZGlkIjoiZjYxZTUyYjc1MzQwNWRmNjlmMWQyYmQ2NmM1M2U4MmMiLCJ1c2VySWQiOiI2OTk3NTA5NDAifQ==</vt:lpwstr>
  </property>
</Properties>
</file>