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pPr>
      <w:r>
        <w:rPr>
          <w:rFonts w:hint="eastAsia" w:ascii="宋体" w:hAnsi="宋体" w:cs="宋体"/>
          <w:b/>
          <w:sz w:val="24"/>
          <w:lang w:eastAsia="zh-CN"/>
        </w:rPr>
        <w:t>《</w:t>
      </w:r>
      <w:r>
        <w:rPr>
          <w:rFonts w:hint="eastAsia" w:ascii="宋体" w:hAnsi="宋体" w:cs="宋体"/>
          <w:b/>
          <w:sz w:val="24"/>
        </w:rPr>
        <w:t>深圳市龙岗区机关后勤服务中心</w:t>
      </w:r>
      <w:r>
        <w:rPr>
          <w:rFonts w:hint="eastAsia" w:ascii="宋体" w:hAnsi="宋体" w:cs="宋体"/>
          <w:b/>
          <w:sz w:val="24"/>
          <w:lang w:val="en" w:eastAsia="zh-CN"/>
        </w:rPr>
        <w:t>食材</w:t>
      </w:r>
      <w:r>
        <w:rPr>
          <w:rFonts w:ascii="宋体" w:hAnsi="宋体" w:cs="宋体"/>
          <w:b/>
          <w:sz w:val="24"/>
          <w:lang w:val="en"/>
        </w:rPr>
        <w:t>配</w:t>
      </w:r>
      <w:r>
        <w:rPr>
          <w:rFonts w:hint="eastAsia" w:ascii="宋体" w:hAnsi="宋体" w:cs="宋体"/>
          <w:b/>
          <w:sz w:val="24"/>
        </w:rPr>
        <w:t>送服务采购合同</w:t>
      </w:r>
      <w:r>
        <w:rPr>
          <w:rFonts w:hint="eastAsia" w:ascii="宋体" w:hAnsi="宋体" w:cs="宋体"/>
          <w:b/>
          <w:sz w:val="24"/>
          <w:lang w:eastAsia="zh-CN"/>
        </w:rPr>
        <w:t>》补充协议</w:t>
      </w:r>
    </w:p>
    <w:p>
      <w:pPr>
        <w:spacing w:line="400" w:lineRule="exact"/>
        <w:jc w:val="center"/>
        <w:rPr>
          <w:b/>
          <w:bCs/>
          <w:sz w:val="30"/>
          <w:szCs w:val="30"/>
        </w:rPr>
      </w:pPr>
    </w:p>
    <w:p>
      <w:pPr>
        <w:spacing w:line="400" w:lineRule="exact"/>
        <w:rPr>
          <w:rFonts w:hint="eastAsia"/>
          <w:b/>
          <w:bCs/>
          <w:szCs w:val="21"/>
        </w:rPr>
      </w:pPr>
      <w:r>
        <w:rPr>
          <w:rFonts w:hint="eastAsia"/>
          <w:szCs w:val="21"/>
        </w:rPr>
        <w:t>甲方</w:t>
      </w:r>
      <w:r>
        <w:rPr>
          <w:rFonts w:hint="eastAsia"/>
          <w:szCs w:val="21"/>
          <w:lang w:eastAsia="zh-CN"/>
        </w:rPr>
        <w:t>（采购方）</w:t>
      </w:r>
      <w:r>
        <w:rPr>
          <w:rFonts w:hint="eastAsia"/>
          <w:szCs w:val="21"/>
        </w:rPr>
        <w:t>：</w:t>
      </w:r>
      <w:r>
        <w:rPr>
          <w:rFonts w:hint="eastAsia"/>
          <w:b/>
          <w:bCs/>
          <w:szCs w:val="21"/>
        </w:rPr>
        <w:t>深圳市龙岗区机关后勤服务中心</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统一社会信用代码：</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法定代表人：</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 系 人：</w:t>
      </w:r>
      <w:bookmarkStart w:id="0" w:name="_GoBack"/>
      <w:bookmarkEnd w:id="0"/>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联系地址：</w:t>
      </w:r>
    </w:p>
    <w:p>
      <w:pPr>
        <w:pStyle w:val="9"/>
      </w:pPr>
    </w:p>
    <w:p>
      <w:pPr>
        <w:spacing w:line="400" w:lineRule="exact"/>
        <w:rPr>
          <w:rFonts w:hint="eastAsia" w:eastAsia="宋体"/>
          <w:b/>
          <w:bCs/>
          <w:szCs w:val="21"/>
          <w:lang w:eastAsia="zh-CN"/>
        </w:rPr>
      </w:pPr>
      <w:r>
        <w:rPr>
          <w:rFonts w:hint="eastAsia"/>
          <w:szCs w:val="21"/>
        </w:rPr>
        <w:t>乙方</w:t>
      </w:r>
      <w:r>
        <w:rPr>
          <w:rFonts w:hint="eastAsia"/>
          <w:szCs w:val="21"/>
          <w:lang w:eastAsia="zh-CN"/>
        </w:rPr>
        <w:t>（供应商）</w:t>
      </w:r>
      <w:r>
        <w:rPr>
          <w:rFonts w:hint="eastAsia"/>
          <w:szCs w:val="21"/>
        </w:rPr>
        <w:t>：</w:t>
      </w:r>
      <w:r>
        <w:rPr>
          <w:rFonts w:hint="eastAsia" w:ascii="宋体" w:hAnsi="宋体" w:cs="宋体"/>
          <w:color w:val="auto"/>
          <w:szCs w:val="21"/>
          <w:highlight w:val="none"/>
          <w:lang w:val="en-US" w:eastAsia="zh-CN"/>
        </w:rPr>
        <w:t>深圳市乐和农产品有限公司</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统一社会信用代码：</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法定代表人：</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 系 人：</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联系地址：</w:t>
      </w:r>
    </w:p>
    <w:p>
      <w:pPr>
        <w:pStyle w:val="9"/>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鉴于甲乙双方于2026年</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月</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日签署《深圳市龙岗区机关后勤服务中心</w:t>
      </w:r>
      <w:r>
        <w:rPr>
          <w:rFonts w:hint="eastAsia" w:ascii="宋体" w:hAnsi="宋体" w:cs="宋体"/>
          <w:kern w:val="2"/>
          <w:sz w:val="21"/>
          <w:szCs w:val="21"/>
          <w:lang w:val="en-US" w:eastAsia="zh-CN" w:bidi="ar-SA"/>
        </w:rPr>
        <w:t>食材</w:t>
      </w:r>
      <w:r>
        <w:rPr>
          <w:rFonts w:hint="eastAsia" w:ascii="宋体" w:hAnsi="宋体" w:eastAsia="宋体" w:cs="宋体"/>
          <w:kern w:val="2"/>
          <w:sz w:val="21"/>
          <w:szCs w:val="21"/>
          <w:lang w:val="en-US" w:eastAsia="zh-CN" w:bidi="ar-SA"/>
        </w:rPr>
        <w:t>配送服务采购合同》（第</w:t>
      </w:r>
      <w:r>
        <w:rPr>
          <w:rFonts w:hint="eastAsia" w:ascii="宋体" w:hAnsi="宋体" w:cs="宋体"/>
          <w:kern w:val="2"/>
          <w:sz w:val="21"/>
          <w:szCs w:val="21"/>
          <w:lang w:val="en-US" w:eastAsia="zh-CN" w:bidi="ar-SA"/>
        </w:rPr>
        <w:t>三</w:t>
      </w:r>
      <w:r>
        <w:rPr>
          <w:rFonts w:hint="eastAsia" w:ascii="宋体" w:hAnsi="宋体" w:eastAsia="宋体" w:cs="宋体"/>
          <w:kern w:val="2"/>
          <w:sz w:val="21"/>
          <w:szCs w:val="21"/>
          <w:lang w:val="en-US" w:eastAsia="zh-CN" w:bidi="ar-SA"/>
        </w:rPr>
        <w:t>年度合同）（合同编号：</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，以下简称“原合同”），原合同期限为202</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年3月</w:t>
      </w: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日至202</w:t>
      </w: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年3月</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日，现</w:t>
      </w:r>
      <w:r>
        <w:rPr>
          <w:rFonts w:hint="eastAsia" w:ascii="宋体" w:hAnsi="宋体" w:cs="宋体"/>
          <w:kern w:val="2"/>
          <w:sz w:val="21"/>
          <w:szCs w:val="21"/>
          <w:lang w:val="en-US" w:eastAsia="zh-CN" w:bidi="ar-SA"/>
        </w:rPr>
        <w:t>根据实际工作需求</w:t>
      </w:r>
      <w:r>
        <w:rPr>
          <w:rFonts w:hint="eastAsia" w:ascii="宋体" w:hAnsi="宋体" w:eastAsia="宋体" w:cs="宋体"/>
          <w:kern w:val="2"/>
          <w:sz w:val="21"/>
          <w:szCs w:val="21"/>
          <w:lang w:val="en-US" w:eastAsia="zh-CN" w:bidi="ar-SA"/>
        </w:rPr>
        <w:t>，经甲乙双方平等自愿、友好协商，就原合同</w:t>
      </w:r>
      <w:r>
        <w:rPr>
          <w:rFonts w:hint="eastAsia" w:ascii="宋体" w:hAnsi="宋体" w:cs="宋体"/>
          <w:kern w:val="2"/>
          <w:sz w:val="21"/>
          <w:szCs w:val="21"/>
          <w:lang w:val="en-US" w:eastAsia="zh-CN" w:bidi="ar-SA"/>
        </w:rPr>
        <w:t>相关</w:t>
      </w:r>
      <w:r>
        <w:rPr>
          <w:rFonts w:hint="eastAsia" w:ascii="宋体" w:hAnsi="宋体" w:eastAsia="宋体" w:cs="宋体"/>
          <w:kern w:val="2"/>
          <w:sz w:val="21"/>
          <w:szCs w:val="21"/>
          <w:lang w:val="en-US" w:eastAsia="zh-CN" w:bidi="ar-SA"/>
        </w:rPr>
        <w:t>条款变更事宜达成如下补充协议，以资共同遵守。</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一、原合同变更内容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原合同第二条第1款第2项约定：“所供食材保证卫生安全，无毒无害，具有相应的色、香、味等感官性状。蔬菜类应保持良好的色泽和新鲜度，不得有黄叶、腐烂、泥沙等现象，属于无公害蔬菜；冷冻类及干货应在保质期内，并保持较好的外观和等级，须是正规厂商并具有合格证书的优质产品；鲜肉类全部来源于国家认可的正规肉联厂，为当日新鲜食材，并经政府检验合格；海鲜、河鲜等水产品必须鲜活；家禽类应有动物检疫证明，为当日新鲜食材；粮油、副食、调料等由大型正规厂商供货，相关证件齐全。”</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变更为</w:t>
      </w:r>
      <w:r>
        <w:rPr>
          <w:rFonts w:hint="eastAsia" w:asciiTheme="minorEastAsia" w:hAnsiTheme="minorEastAsia" w:eastAsiaTheme="minorEastAsia" w:cstheme="minorEastAsia"/>
          <w:sz w:val="21"/>
          <w:szCs w:val="21"/>
          <w:lang w:val="en-US" w:eastAsia="zh-CN"/>
        </w:rPr>
        <w:t>：“所供食材保证卫生安全，无毒无害，具有相应的色、香、味等感官性状。蔬菜类应保持良好的色泽和新鲜度，不得有黄叶、腐烂、泥沙等现象，属于无公害蔬菜；鲜肉类全部来源于国家认可的正规肉联厂，为当日新鲜食材，并经政府检验合格；海鲜、河鲜等水产品必须鲜活；家禽类应有动物检疫证明，为当日新鲜食材；冷冻类、干货、粮油、副食、调料等应在保质期内，并保持较好的外观和等级，须是正规厂商并具有合格证书的优质产品，剩余保质期不少于总保质期的80%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2、原合同第三条第2项约定：“具体计价按以下方式进行：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（1）蔬菜、鲜肉类产品价格以中农数据食堂采配平台（https://www.znttcp.com）每季度最后一个月公布的精品价取平均值（平均值精确到分，即小数点后两位）确定为下季度该项食材的基准价，结算价格=基准价*0.78。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（2）除蔬菜、鲜肉类产品外的中农数据食堂采配平台（https://www.znttcp.com）其他类别产品，以每季度最后一个月公布的精品价取平均值（平均值精确到分，即小数点后两位）确定为下季度该项食材的结算价格。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中农数据食堂采配平台中无价格的产品，则结算价格=市场价*折扣率。所有品种的结算价格原则上按市场浮动情况每季度定价一次，由甲、乙双方组成联合市场价格调查小组，于每季度最后一个月中下旬，从龙岗中心城周边市场、商场或网上超市的市场价进行调查，作为该项物资下一季度市场价格，并以书面形式确定当期执行的结算价格，价格表每季度确认一次。甲方定好的价格在有效期内乙方不得随意更改。”</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变更为</w:t>
      </w:r>
      <w:r>
        <w:rPr>
          <w:rFonts w:hint="eastAsia" w:asciiTheme="minorEastAsia" w:hAnsiTheme="minorEastAsia" w:eastAsiaTheme="minorEastAsia" w:cstheme="minorEastAsia"/>
          <w:sz w:val="21"/>
          <w:szCs w:val="21"/>
          <w:lang w:val="en-US" w:eastAsia="zh-CN"/>
        </w:rPr>
        <w:t>：“具体计价按以下方式进行：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（1）蔬菜、鲜肉类产品价格以中农数据食堂采配平台（https://www.znttcp.com）每月公布的价格取平均值（平均值精确到分，即小数点后两位）确定为次月该项食材的基准价，结算价格=基准价*0.78。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（2）除蔬菜、鲜肉类产品价格以中农数据食堂采配平台（https://www.znttcp.com）其他类别产品每月公布的价格取平均值（平均值精确到分，即小数点后两位）确定为次月该项食材的结算价格。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中农数据食堂采配平台中无价格的产品，则结算价格=市场价*折扣率。其中蔬菜、鲜肉水产、禽类等生鲜类产品按市场浮动情况每月定价一次，其他类别产品按市场浮动情况每半年定价一次。由甲、乙双方组成联合市场价格调查小组，于每月中下旬从龙岗中心城周边市场、商场或网上超市的市场价进行调查，并以书面形式确定当期执行的结算价格，生鲜类产品价格表每月确认一次，其余产品价格表每半年确认一次，甲方定好的价格在有效期内乙方不得随意更改。”</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3、原合同第七条第12项约定：“乙方不按采购需求、投标文件及采购合同履约，年度履约考评为“不合格”等次或累计两个月考评为“不合格”等次的。甲方有权立即解除合同，并要求乙方向甲方支付合同总价款1%的违约金。”</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1" w:firstLineChars="200"/>
        <w:jc w:val="both"/>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变更为</w:t>
      </w:r>
      <w:r>
        <w:rPr>
          <w:rFonts w:hint="eastAsia" w:asciiTheme="minorEastAsia" w:hAnsiTheme="minorEastAsia" w:eastAsiaTheme="minorEastAsia" w:cstheme="minorEastAsia"/>
          <w:b w:val="0"/>
          <w:bCs w:val="0"/>
          <w:kern w:val="2"/>
          <w:sz w:val="21"/>
          <w:szCs w:val="21"/>
          <w:lang w:val="en-US" w:eastAsia="zh-CN" w:bidi="ar-SA"/>
        </w:rPr>
        <w:t>：“乙方不按采购需求、投标文件及采购合同履约，年度履约考评为‘差’等次或累计两个月考评为‘差’等次的。甲方有权立即解除合同，并要求乙方向甲方支付合同总价款1%的违约金。”</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firstLine="420" w:firstLineChars="200"/>
        <w:jc w:val="both"/>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4、原合同第十条第3项约定：“乙方考核不合格。”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1" w:firstLineChars="200"/>
        <w:jc w:val="both"/>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变更为</w:t>
      </w:r>
      <w:r>
        <w:rPr>
          <w:rFonts w:hint="eastAsia" w:asciiTheme="minorEastAsia" w:hAnsiTheme="minorEastAsia" w:eastAsiaTheme="minorEastAsia" w:cstheme="minorEastAsia"/>
          <w:b w:val="0"/>
          <w:bCs w:val="0"/>
          <w:kern w:val="2"/>
          <w:sz w:val="21"/>
          <w:szCs w:val="21"/>
          <w:lang w:val="en-US" w:eastAsia="zh-CN" w:bidi="ar-SA"/>
        </w:rPr>
        <w:t>：“乙方年度履约考评为‘差’等次或累计两个月考评为‘差’等次的。”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5、调整原合同附件4和5，详见附件。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1" w:firstLineChars="200"/>
        <w:textAlignment w:val="auto"/>
        <w:rPr>
          <w:rFonts w:hint="eastAsia" w:ascii="宋体" w:hAnsi="宋体" w:cs="宋体"/>
          <w:b/>
          <w:bCs/>
          <w:szCs w:val="21"/>
          <w:lang w:eastAsia="zh-CN"/>
        </w:rPr>
      </w:pPr>
      <w:r>
        <w:rPr>
          <w:rFonts w:hint="eastAsia" w:ascii="宋体" w:hAnsi="宋体" w:cs="宋体"/>
          <w:b/>
          <w:bCs/>
          <w:szCs w:val="21"/>
          <w:lang w:eastAsia="zh-CN"/>
        </w:rPr>
        <w:t>二、本协议是《深圳市龙岗区机关后勤服务中心</w:t>
      </w:r>
      <w:r>
        <w:rPr>
          <w:rFonts w:hint="eastAsia" w:ascii="宋体" w:hAnsi="宋体" w:cs="宋体"/>
          <w:b/>
          <w:bCs/>
          <w:szCs w:val="21"/>
          <w:lang w:val="en" w:eastAsia="zh-CN"/>
        </w:rPr>
        <w:t>食材配</w:t>
      </w:r>
      <w:r>
        <w:rPr>
          <w:rFonts w:hint="eastAsia" w:ascii="宋体" w:hAnsi="宋体" w:cs="宋体"/>
          <w:b/>
          <w:bCs/>
          <w:szCs w:val="21"/>
          <w:lang w:eastAsia="zh-CN"/>
        </w:rPr>
        <w:t>送服务采购合同》的有效补充，约定与原合同不一致之处，以本协议约定为准。本协议未涉及之事宜，仍按原合同约定执行。</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21" w:firstLineChars="200"/>
        <w:textAlignment w:val="auto"/>
        <w:rPr>
          <w:rFonts w:hint="eastAsia" w:ascii="宋体" w:hAnsi="宋体" w:eastAsia="宋体" w:cs="宋体"/>
          <w:b/>
          <w:bCs/>
          <w:szCs w:val="21"/>
          <w:lang w:val="en-US" w:eastAsia="zh-CN"/>
        </w:rPr>
      </w:pPr>
      <w:r>
        <w:rPr>
          <w:rFonts w:hint="eastAsia" w:ascii="宋体" w:hAnsi="宋体" w:cs="宋体"/>
          <w:b/>
          <w:bCs/>
          <w:szCs w:val="21"/>
          <w:lang w:val="en-US" w:eastAsia="zh-CN"/>
        </w:rPr>
        <w:t>三、</w:t>
      </w:r>
      <w:r>
        <w:rPr>
          <w:rFonts w:hint="default" w:ascii="宋体" w:hAnsi="宋体" w:eastAsia="宋体" w:cs="宋体"/>
          <w:b/>
          <w:bCs/>
          <w:szCs w:val="21"/>
          <w:lang w:val="en-US" w:eastAsia="zh-CN"/>
        </w:rPr>
        <w:t>本</w:t>
      </w:r>
      <w:r>
        <w:rPr>
          <w:rFonts w:hint="eastAsia" w:ascii="宋体" w:hAnsi="宋体" w:eastAsia="宋体" w:cs="宋体"/>
          <w:b/>
          <w:bCs/>
          <w:szCs w:val="21"/>
          <w:lang w:val="en-US" w:eastAsia="zh-CN"/>
        </w:rPr>
        <w:t>协议</w:t>
      </w:r>
      <w:r>
        <w:rPr>
          <w:rFonts w:hint="default" w:ascii="宋体" w:hAnsi="宋体" w:eastAsia="宋体" w:cs="宋体"/>
          <w:b/>
          <w:bCs/>
          <w:szCs w:val="21"/>
          <w:lang w:val="en-US" w:eastAsia="zh-CN"/>
        </w:rPr>
        <w:t>壹式肆份，甲方执叁份，乙方执壹份，具有同等效力</w:t>
      </w:r>
      <w:r>
        <w:rPr>
          <w:rFonts w:hint="eastAsia" w:ascii="宋体" w:hAnsi="宋体" w:eastAsia="宋体" w:cs="宋体"/>
          <w:b/>
          <w:bCs/>
          <w:szCs w:val="21"/>
          <w:lang w:val="en-US" w:eastAsia="zh-CN"/>
        </w:rPr>
        <w:t>。本补充协议自双方法定代表人或授权代理人签订并加盖公章之日起生效。如有未尽事宜，双方另行议定并签订书面补充协议。</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420" w:leftChars="200" w:firstLine="0" w:firstLineChars="0"/>
        <w:textAlignment w:val="auto"/>
        <w:rPr>
          <w:rFonts w:hint="eastAsia"/>
          <w:lang w:eastAsia="zh-CN"/>
        </w:rPr>
      </w:pPr>
    </w:p>
    <w:p>
      <w:pPr>
        <w:pStyle w:val="9"/>
        <w:numPr>
          <w:ilvl w:val="0"/>
          <w:numId w:val="0"/>
        </w:numPr>
        <w:ind w:leftChars="200"/>
        <w:rPr>
          <w:rFonts w:hint="eastAsia"/>
          <w:lang w:eastAsia="zh-CN"/>
        </w:rPr>
      </w:pPr>
    </w:p>
    <w:p>
      <w:pPr>
        <w:spacing w:line="400" w:lineRule="exact"/>
        <w:rPr>
          <w:rFonts w:hint="eastAsia" w:ascii="宋体" w:hAnsi="宋体" w:eastAsia="宋体" w:cs="宋体"/>
          <w:szCs w:val="21"/>
          <w:lang w:eastAsia="zh-CN"/>
        </w:rPr>
      </w:pPr>
      <w:r>
        <w:rPr>
          <w:rFonts w:hint="eastAsia" w:ascii="宋体" w:hAnsi="宋体" w:eastAsia="宋体" w:cs="宋体"/>
          <w:szCs w:val="21"/>
        </w:rPr>
        <w:t xml:space="preserve">甲方：深圳市龙岗区机关后勤服务中心    </w:t>
      </w:r>
      <w:r>
        <w:rPr>
          <w:rFonts w:hint="eastAsia" w:ascii="宋体" w:hAnsi="宋体" w:eastAsia="宋体" w:cs="宋体"/>
          <w:szCs w:val="21"/>
          <w:lang w:val="en-US" w:eastAsia="zh-CN"/>
        </w:rPr>
        <w:t xml:space="preserve"> </w:t>
      </w:r>
      <w:r>
        <w:rPr>
          <w:rFonts w:hint="eastAsia" w:ascii="宋体" w:hAnsi="宋体" w:eastAsia="宋体" w:cs="宋体"/>
          <w:szCs w:val="21"/>
        </w:rPr>
        <w:t>乙方：</w:t>
      </w:r>
      <w:r>
        <w:rPr>
          <w:rFonts w:hint="eastAsia" w:ascii="宋体" w:hAnsi="宋体" w:cs="宋体"/>
          <w:color w:val="auto"/>
          <w:szCs w:val="21"/>
          <w:highlight w:val="none"/>
        </w:rPr>
        <w:t>深圳市乐和农产品有限公司</w:t>
      </w:r>
    </w:p>
    <w:p>
      <w:pPr>
        <w:spacing w:line="400" w:lineRule="exact"/>
        <w:rPr>
          <w:rFonts w:hint="eastAsia" w:ascii="宋体" w:hAnsi="宋体" w:eastAsia="宋体" w:cs="宋体"/>
          <w:szCs w:val="21"/>
          <w:lang w:val="en-US" w:eastAsia="zh-CN"/>
        </w:rPr>
      </w:pPr>
      <w:r>
        <w:rPr>
          <w:rFonts w:hint="eastAsia" w:ascii="宋体" w:hAnsi="宋体" w:eastAsia="宋体" w:cs="宋体"/>
          <w:szCs w:val="21"/>
        </w:rPr>
        <w:t>法定代表人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eastAsia="宋体" w:cs="宋体"/>
          <w:szCs w:val="21"/>
        </w:rPr>
        <w:t>法定代表人</w:t>
      </w:r>
      <w:r>
        <w:rPr>
          <w:rFonts w:hint="eastAsia" w:ascii="宋体" w:hAnsi="宋体" w:eastAsia="宋体" w:cs="宋体"/>
          <w:szCs w:val="21"/>
          <w:lang w:eastAsia="zh-CN"/>
        </w:rPr>
        <w:t>：</w:t>
      </w:r>
    </w:p>
    <w:p>
      <w:pPr>
        <w:spacing w:line="400" w:lineRule="exact"/>
        <w:rPr>
          <w:rFonts w:hint="eastAsia" w:ascii="宋体" w:hAnsi="宋体" w:eastAsia="宋体" w:cs="宋体"/>
          <w:szCs w:val="21"/>
        </w:rPr>
      </w:pPr>
      <w:r>
        <w:rPr>
          <w:rFonts w:hint="eastAsia" w:ascii="宋体" w:hAnsi="宋体" w:eastAsia="宋体" w:cs="宋体"/>
          <w:szCs w:val="21"/>
        </w:rPr>
        <w:t xml:space="preserve">授权代理人：               </w:t>
      </w:r>
      <w:r>
        <w:rPr>
          <w:rFonts w:hint="eastAsia" w:ascii="宋体" w:hAnsi="宋体" w:cs="宋体"/>
          <w:szCs w:val="21"/>
          <w:lang w:val="en-US" w:eastAsia="zh-CN"/>
        </w:rPr>
        <w:t xml:space="preserve">            </w:t>
      </w:r>
      <w:r>
        <w:rPr>
          <w:rFonts w:hint="eastAsia" w:ascii="宋体" w:hAnsi="宋体" w:eastAsia="宋体" w:cs="宋体"/>
          <w:szCs w:val="21"/>
        </w:rPr>
        <w:t>授权代理人：</w:t>
      </w:r>
    </w:p>
    <w:p>
      <w:pPr>
        <w:keepNext w:val="0"/>
        <w:keepLines w:val="0"/>
        <w:pageBreakBefore w:val="0"/>
        <w:widowControl w:val="0"/>
        <w:kinsoku/>
        <w:wordWrap/>
        <w:overflowPunct/>
        <w:topLinePunct w:val="0"/>
        <w:autoSpaceDE/>
        <w:autoSpaceDN/>
        <w:bidi w:val="0"/>
        <w:spacing w:line="420" w:lineRule="exact"/>
        <w:ind w:left="6720" w:hanging="6720" w:hangingChars="3200"/>
        <w:jc w:val="left"/>
        <w:rPr>
          <w:rFonts w:ascii="宋体" w:hAnsi="宋体" w:cs="宋体"/>
          <w:color w:val="auto"/>
          <w:szCs w:val="21"/>
          <w:highlight w:val="none"/>
        </w:rPr>
      </w:pPr>
      <w:r>
        <w:rPr>
          <w:rFonts w:hint="eastAsia" w:ascii="宋体" w:hAnsi="宋体" w:eastAsia="宋体" w:cs="宋体"/>
          <w:szCs w:val="21"/>
          <w:lang w:eastAsia="zh-CN"/>
        </w:rPr>
        <w:t>开户银行：平安银行深圳中心城支行</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开户银行：</w:t>
      </w:r>
      <w:r>
        <w:rPr>
          <w:rFonts w:hint="eastAsia" w:ascii="宋体" w:hAnsi="宋体" w:cs="宋体"/>
          <w:color w:val="auto"/>
          <w:szCs w:val="21"/>
          <w:highlight w:val="none"/>
        </w:rPr>
        <w:t>招商银行股份有限公司深圳龙岗支行</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账号：15000107894992                   账号：</w:t>
      </w:r>
      <w:r>
        <w:rPr>
          <w:rFonts w:hint="eastAsia" w:ascii="宋体" w:hAnsi="宋体" w:eastAsia="宋体" w:cs="宋体"/>
          <w:color w:val="auto"/>
          <w:szCs w:val="21"/>
          <w:highlight w:val="none"/>
        </w:rPr>
        <w:t>755925289310701</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日期</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日期：</w:t>
      </w:r>
    </w:p>
    <w:p>
      <w:pPr>
        <w:spacing w:line="400" w:lineRule="exact"/>
        <w:rPr>
          <w:rFonts w:ascii="宋体" w:hAnsi="宋体" w:cs="宋体"/>
          <w:szCs w:val="21"/>
        </w:rPr>
      </w:pPr>
    </w:p>
    <w:p>
      <w:pPr>
        <w:pStyle w:val="2"/>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spacing w:line="400" w:lineRule="exact"/>
        <w:ind w:left="0"/>
        <w:rPr>
          <w:color w:val="auto"/>
          <w:highlight w:val="none"/>
        </w:rPr>
      </w:pPr>
      <w:r>
        <w:rPr>
          <w:rFonts w:hint="eastAsia"/>
          <w:color w:val="auto"/>
          <w:highlight w:val="none"/>
        </w:rPr>
        <w:t>附件4：</w:t>
      </w:r>
    </w:p>
    <w:p>
      <w:pPr>
        <w:spacing w:line="260" w:lineRule="exact"/>
        <w:ind w:firstLine="480"/>
        <w:jc w:val="center"/>
        <w:rPr>
          <w:rFonts w:hint="eastAsia"/>
          <w:color w:val="auto"/>
          <w:sz w:val="24"/>
          <w:highlight w:val="none"/>
        </w:rPr>
      </w:pPr>
    </w:p>
    <w:p>
      <w:pPr>
        <w:spacing w:line="260" w:lineRule="exact"/>
        <w:ind w:firstLine="480"/>
        <w:jc w:val="center"/>
        <w:rPr>
          <w:rFonts w:hint="eastAsia"/>
          <w:color w:val="auto"/>
          <w:sz w:val="24"/>
          <w:highlight w:val="none"/>
          <w:lang w:val="en-US" w:eastAsia="zh-CN"/>
        </w:rPr>
      </w:pPr>
      <w:r>
        <w:rPr>
          <w:rFonts w:hint="eastAsia"/>
          <w:color w:val="auto"/>
          <w:sz w:val="24"/>
          <w:highlight w:val="none"/>
          <w:lang w:eastAsia="zh-CN"/>
        </w:rPr>
        <w:t>深圳市</w:t>
      </w:r>
      <w:r>
        <w:rPr>
          <w:rFonts w:hint="eastAsia"/>
          <w:color w:val="auto"/>
          <w:sz w:val="24"/>
          <w:highlight w:val="none"/>
        </w:rPr>
        <w:t>龙岗区机关后勤服务中心</w:t>
      </w:r>
      <w:r>
        <w:rPr>
          <w:rFonts w:hint="eastAsia"/>
          <w:color w:val="auto"/>
          <w:sz w:val="24"/>
          <w:highlight w:val="none"/>
          <w:lang w:eastAsia="zh-CN"/>
        </w:rPr>
        <w:t>食材</w:t>
      </w:r>
      <w:r>
        <w:rPr>
          <w:rFonts w:hint="eastAsia"/>
          <w:color w:val="auto"/>
          <w:sz w:val="24"/>
          <w:highlight w:val="none"/>
        </w:rPr>
        <w:t>供应商试供期和每月考核评分表</w:t>
      </w:r>
      <w:r>
        <w:rPr>
          <w:rFonts w:hint="eastAsia"/>
          <w:color w:val="auto"/>
          <w:sz w:val="24"/>
          <w:highlight w:val="none"/>
          <w:lang w:val="en-US" w:eastAsia="zh-CN"/>
        </w:rPr>
        <w:t xml:space="preserve">  </w:t>
      </w:r>
    </w:p>
    <w:p>
      <w:pPr>
        <w:pStyle w:val="9"/>
        <w:ind w:firstLine="480"/>
        <w:jc w:val="both"/>
        <w:rPr>
          <w:rFonts w:hint="eastAsia"/>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rFonts w:hint="eastAsia"/>
          <w:color w:val="auto"/>
          <w:sz w:val="24"/>
          <w:highlight w:val="none"/>
          <w:lang w:val="en-US" w:eastAsia="zh-CN"/>
        </w:rPr>
        <w:t>年</w:t>
      </w:r>
      <w:r>
        <w:rPr>
          <w:rFonts w:hint="eastAsia"/>
          <w:color w:val="auto"/>
          <w:sz w:val="24"/>
          <w:highlight w:val="none"/>
          <w:u w:val="single"/>
          <w:lang w:val="en-US" w:eastAsia="zh-CN"/>
        </w:rPr>
        <w:t xml:space="preserve">    </w:t>
      </w:r>
      <w:r>
        <w:rPr>
          <w:rFonts w:hint="eastAsia"/>
          <w:color w:val="auto"/>
          <w:sz w:val="24"/>
          <w:highlight w:val="none"/>
          <w:lang w:val="en-US" w:eastAsia="zh-CN"/>
        </w:rPr>
        <w:t>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674"/>
        <w:gridCol w:w="690"/>
        <w:gridCol w:w="4407"/>
        <w:gridCol w:w="630"/>
        <w:gridCol w:w="71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b w:val="0"/>
                <w:bCs/>
                <w:color w:val="auto"/>
                <w:sz w:val="18"/>
                <w:szCs w:val="18"/>
                <w:highlight w:val="none"/>
                <w:lang w:val="zh-CN"/>
              </w:rPr>
            </w:pPr>
            <w:r>
              <w:rPr>
                <w:rFonts w:hint="eastAsia" w:ascii="宋体" w:hAnsi="宋体"/>
                <w:b w:val="0"/>
                <w:bCs/>
                <w:color w:val="auto"/>
                <w:sz w:val="18"/>
                <w:szCs w:val="18"/>
                <w:highlight w:val="none"/>
                <w:lang w:val="zh-CN"/>
              </w:rPr>
              <w:t>序号</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b w:val="0"/>
                <w:bCs/>
                <w:color w:val="auto"/>
                <w:sz w:val="18"/>
                <w:szCs w:val="18"/>
                <w:highlight w:val="none"/>
                <w:lang w:val="zh-CN"/>
              </w:rPr>
            </w:pPr>
            <w:r>
              <w:rPr>
                <w:rFonts w:hint="eastAsia" w:ascii="宋体"/>
                <w:b w:val="0"/>
                <w:bCs/>
                <w:color w:val="auto"/>
                <w:sz w:val="18"/>
                <w:szCs w:val="18"/>
                <w:highlight w:val="none"/>
                <w:lang w:val="zh-CN"/>
              </w:rPr>
              <w:t>评分项</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b w:val="0"/>
                <w:bCs/>
                <w:color w:val="auto"/>
                <w:sz w:val="18"/>
                <w:szCs w:val="18"/>
                <w:highlight w:val="none"/>
                <w:lang w:val="zh-CN"/>
              </w:rPr>
            </w:pPr>
            <w:r>
              <w:rPr>
                <w:rFonts w:hint="eastAsia" w:ascii="宋体" w:hAnsi="宋体"/>
                <w:b w:val="0"/>
                <w:bCs/>
                <w:color w:val="auto"/>
                <w:sz w:val="18"/>
                <w:szCs w:val="18"/>
                <w:highlight w:val="none"/>
                <w:lang w:val="zh-CN"/>
              </w:rPr>
              <w:t>内容</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b w:val="0"/>
                <w:bCs/>
                <w:color w:val="auto"/>
                <w:sz w:val="18"/>
                <w:szCs w:val="18"/>
                <w:highlight w:val="none"/>
                <w:lang w:val="zh-CN"/>
              </w:rPr>
            </w:pPr>
            <w:r>
              <w:rPr>
                <w:rFonts w:hint="eastAsia" w:ascii="宋体" w:hAnsi="宋体"/>
                <w:b w:val="0"/>
                <w:bCs/>
                <w:color w:val="auto"/>
                <w:sz w:val="18"/>
                <w:szCs w:val="18"/>
                <w:highlight w:val="none"/>
                <w:lang w:val="zh-CN"/>
              </w:rPr>
              <w:t>评分细则</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b w:val="0"/>
                <w:bCs/>
                <w:color w:val="auto"/>
                <w:sz w:val="18"/>
                <w:szCs w:val="18"/>
                <w:highlight w:val="none"/>
              </w:rPr>
            </w:pPr>
            <w:r>
              <w:rPr>
                <w:rFonts w:hint="eastAsia" w:ascii="宋体" w:hAnsi="宋体"/>
                <w:b w:val="0"/>
                <w:bCs/>
                <w:color w:val="auto"/>
                <w:sz w:val="18"/>
                <w:szCs w:val="18"/>
                <w:highlight w:val="none"/>
                <w:lang w:val="zh-CN"/>
              </w:rPr>
              <w:t>分值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val="0"/>
                <w:bCs/>
                <w:color w:val="auto"/>
                <w:sz w:val="18"/>
                <w:szCs w:val="18"/>
                <w:highlight w:val="none"/>
                <w:lang w:val="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b w:val="0"/>
                <w:bCs/>
                <w:color w:val="auto"/>
                <w:sz w:val="18"/>
                <w:szCs w:val="18"/>
                <w:highlight w:val="none"/>
                <w:lang w:val="zh-CN"/>
              </w:rPr>
            </w:pPr>
            <w:r>
              <w:rPr>
                <w:rFonts w:hint="eastAsia" w:ascii="宋体" w:hAnsi="宋体"/>
                <w:b w:val="0"/>
                <w:bCs/>
                <w:color w:val="auto"/>
                <w:sz w:val="18"/>
                <w:szCs w:val="18"/>
                <w:highlight w:val="none"/>
                <w:lang w:val="zh-CN"/>
              </w:rPr>
              <w:t>评分</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b w:val="0"/>
                <w:bCs/>
                <w:color w:val="auto"/>
                <w:sz w:val="18"/>
                <w:szCs w:val="18"/>
                <w:highlight w:val="none"/>
              </w:rPr>
            </w:pPr>
            <w:r>
              <w:rPr>
                <w:rFonts w:hint="eastAsia" w:ascii="宋体" w:hAnsi="宋体"/>
                <w:b w:val="0"/>
                <w:bCs/>
                <w:color w:val="auto"/>
                <w:sz w:val="18"/>
                <w:szCs w:val="18"/>
                <w:highlight w:val="none"/>
              </w:rPr>
              <w:t>分项</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b w:val="0"/>
                <w:bCs/>
                <w:color w:val="auto"/>
                <w:sz w:val="18"/>
                <w:szCs w:val="18"/>
                <w:highlight w:val="none"/>
                <w:lang w:val="zh-CN"/>
              </w:rPr>
            </w:pPr>
            <w:r>
              <w:rPr>
                <w:rFonts w:hint="eastAsia" w:ascii="宋体" w:hAnsi="宋体"/>
                <w:b w:val="0"/>
                <w:bCs/>
                <w:color w:val="auto"/>
                <w:sz w:val="18"/>
                <w:szCs w:val="18"/>
                <w:highlight w:val="none"/>
                <w:lang w:val="zh-CN"/>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ascii="宋体" w:hAnsi="宋体"/>
                <w:color w:val="auto"/>
                <w:sz w:val="18"/>
                <w:szCs w:val="18"/>
                <w:highlight w:val="none"/>
                <w:lang w:val="zh-CN"/>
              </w:rPr>
              <w:t>1</w:t>
            </w:r>
          </w:p>
        </w:tc>
        <w:tc>
          <w:tcPr>
            <w:tcW w:w="6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hint="default" w:ascii="宋体" w:hAnsi="宋体"/>
                <w:color w:val="auto"/>
                <w:sz w:val="18"/>
                <w:szCs w:val="18"/>
                <w:highlight w:val="none"/>
                <w:lang w:val="en"/>
              </w:rPr>
              <w:t>食品</w:t>
            </w:r>
            <w:r>
              <w:rPr>
                <w:rFonts w:hint="eastAsia" w:ascii="宋体" w:hAnsi="宋体"/>
                <w:color w:val="auto"/>
                <w:sz w:val="18"/>
                <w:szCs w:val="18"/>
                <w:highlight w:val="none"/>
                <w:lang w:val="zh-CN"/>
              </w:rPr>
              <w:t>安全</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hint="eastAsia" w:ascii="宋体" w:hAnsi="宋体"/>
                <w:color w:val="auto"/>
                <w:sz w:val="18"/>
                <w:szCs w:val="18"/>
                <w:highlight w:val="none"/>
                <w:lang w:val="zh-CN"/>
              </w:rPr>
              <w:t>检测</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zh-CN"/>
              </w:rPr>
              <w:t>甲方对配送</w:t>
            </w:r>
            <w:r>
              <w:rPr>
                <w:rFonts w:hint="eastAsia" w:ascii="宋体" w:hAnsi="宋体"/>
                <w:color w:val="auto"/>
                <w:sz w:val="18"/>
                <w:szCs w:val="18"/>
                <w:highlight w:val="none"/>
                <w:lang w:val="zh-CN"/>
              </w:rPr>
              <w:t>食材</w:t>
            </w:r>
            <w:r>
              <w:rPr>
                <w:rFonts w:hint="eastAsia" w:ascii="宋体" w:hAnsi="宋体" w:eastAsia="宋体"/>
                <w:color w:val="auto"/>
                <w:sz w:val="18"/>
                <w:szCs w:val="18"/>
                <w:highlight w:val="none"/>
                <w:lang w:val="zh-CN"/>
              </w:rPr>
              <w:t>进行食品安全检测，若检测不合格，每发现</w:t>
            </w:r>
            <w:r>
              <w:rPr>
                <w:rFonts w:hint="eastAsia" w:ascii="宋体" w:hAnsi="宋体"/>
                <w:color w:val="auto"/>
                <w:sz w:val="18"/>
                <w:szCs w:val="18"/>
                <w:highlight w:val="none"/>
                <w:lang w:val="en-US" w:eastAsia="zh-CN"/>
              </w:rPr>
              <w:t>1</w:t>
            </w:r>
            <w:r>
              <w:rPr>
                <w:rFonts w:hint="eastAsia" w:ascii="宋体" w:hAnsi="宋体" w:eastAsia="宋体"/>
                <w:color w:val="auto"/>
                <w:sz w:val="18"/>
                <w:szCs w:val="18"/>
                <w:highlight w:val="none"/>
                <w:lang w:val="zh-CN"/>
              </w:rPr>
              <w:t>次扣5分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c>
          <w:tcPr>
            <w:tcW w:w="12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color w:val="auto"/>
                <w:highlight w:val="none"/>
              </w:rPr>
            </w:pPr>
          </w:p>
        </w:tc>
        <w:tc>
          <w:tcPr>
            <w:tcW w:w="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color w:val="auto"/>
                <w:highlight w:val="none"/>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eastAsia="zh-CN"/>
              </w:rPr>
            </w:pPr>
            <w:r>
              <w:rPr>
                <w:rFonts w:hint="eastAsia" w:ascii="宋体" w:hAnsi="宋体"/>
                <w:color w:val="auto"/>
                <w:sz w:val="18"/>
                <w:szCs w:val="18"/>
                <w:highlight w:val="none"/>
                <w:lang w:val="zh-CN" w:eastAsia="zh-CN"/>
              </w:rPr>
              <w:t>索证索票</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宋体" w:hAnsi="宋体"/>
                <w:color w:val="auto"/>
                <w:sz w:val="18"/>
                <w:szCs w:val="18"/>
                <w:highlight w:val="none"/>
                <w:lang w:val="en-US"/>
              </w:rPr>
            </w:pPr>
            <w:r>
              <w:rPr>
                <w:rFonts w:hint="eastAsia" w:ascii="宋体" w:hAnsi="宋体"/>
                <w:color w:val="auto"/>
                <w:sz w:val="18"/>
                <w:szCs w:val="18"/>
                <w:highlight w:val="none"/>
                <w:lang w:val="zh-CN"/>
              </w:rPr>
              <w:t>是否建立相应的溯源体系和专门台账档案；是否有清晰的货物来源或产地；是否及时提供产品对应的</w:t>
            </w:r>
            <w:r>
              <w:rPr>
                <w:rFonts w:hint="eastAsia" w:ascii="宋体" w:hAnsi="宋体" w:eastAsia="宋体"/>
                <w:color w:val="auto"/>
                <w:sz w:val="18"/>
                <w:szCs w:val="18"/>
                <w:highlight w:val="none"/>
                <w:lang w:val="zh-CN"/>
              </w:rPr>
              <w:t>检测</w:t>
            </w:r>
            <w:r>
              <w:rPr>
                <w:rFonts w:hint="eastAsia" w:ascii="宋体" w:hAnsi="宋体"/>
                <w:color w:val="auto"/>
                <w:sz w:val="18"/>
                <w:szCs w:val="18"/>
                <w:highlight w:val="none"/>
                <w:lang w:val="zh-CN"/>
              </w:rPr>
              <w:t>报告</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val="zh-CN"/>
              </w:rPr>
              <w:t>每发现</w:t>
            </w:r>
            <w:r>
              <w:rPr>
                <w:rFonts w:hint="eastAsia" w:ascii="宋体" w:hAnsi="宋体"/>
                <w:color w:val="auto"/>
                <w:sz w:val="18"/>
                <w:szCs w:val="18"/>
                <w:highlight w:val="none"/>
                <w:lang w:val="en-US" w:eastAsia="zh-CN"/>
              </w:rPr>
              <w:t>1次扣3分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 xml:space="preserve"> 15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color w:val="auto"/>
                <w:highlight w:val="none"/>
              </w:rPr>
            </w:pPr>
          </w:p>
        </w:tc>
        <w:tc>
          <w:tcPr>
            <w:tcW w:w="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color w:val="auto"/>
                <w:highlight w:val="none"/>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eastAsia="zh-CN"/>
              </w:rPr>
            </w:pPr>
            <w:r>
              <w:rPr>
                <w:rFonts w:hint="eastAsia" w:ascii="宋体" w:hAnsi="宋体"/>
                <w:color w:val="auto"/>
                <w:sz w:val="18"/>
                <w:szCs w:val="18"/>
                <w:highlight w:val="none"/>
                <w:lang w:val="zh-CN" w:eastAsia="zh-CN"/>
              </w:rPr>
              <w:t>健康证</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zh-CN"/>
              </w:rPr>
              <w:t>乙方工作人员（含驻点、配送、深粗加工人员）必须持健康证上岗，未持证上岗，每发现</w:t>
            </w:r>
            <w:r>
              <w:rPr>
                <w:rFonts w:hint="eastAsia" w:ascii="宋体" w:hAnsi="宋体"/>
                <w:color w:val="auto"/>
                <w:sz w:val="18"/>
                <w:szCs w:val="18"/>
                <w:highlight w:val="none"/>
                <w:lang w:val="en-US" w:eastAsia="zh-CN"/>
              </w:rPr>
              <w:t>1次扣2分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ascii="宋体" w:hAnsi="宋体"/>
                <w:color w:val="auto"/>
                <w:sz w:val="18"/>
                <w:szCs w:val="18"/>
                <w:highlight w:val="none"/>
                <w:lang w:val="zh-CN"/>
              </w:rPr>
              <w:t>2</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hint="eastAsia" w:ascii="宋体" w:hAnsi="宋体"/>
                <w:color w:val="auto"/>
                <w:sz w:val="18"/>
                <w:szCs w:val="18"/>
                <w:highlight w:val="none"/>
                <w:lang w:val="zh-CN"/>
              </w:rPr>
              <w:t>供货价格</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宋体"/>
                <w:color w:val="auto"/>
                <w:sz w:val="18"/>
                <w:szCs w:val="18"/>
                <w:highlight w:val="none"/>
                <w:lang w:val="zh-CN"/>
              </w:rPr>
            </w:pPr>
            <w:r>
              <w:rPr>
                <w:rFonts w:hint="eastAsia" w:ascii="宋体" w:hAnsi="宋体"/>
                <w:color w:val="auto"/>
                <w:sz w:val="18"/>
                <w:szCs w:val="18"/>
                <w:highlight w:val="none"/>
                <w:lang w:val="zh-CN"/>
              </w:rPr>
              <w:t>价格</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eastAsia="宋体"/>
                <w:color w:val="auto"/>
                <w:sz w:val="18"/>
                <w:szCs w:val="18"/>
                <w:highlight w:val="none"/>
                <w:lang w:val="zh-CN" w:eastAsia="zh-CN"/>
              </w:rPr>
            </w:pPr>
            <w:r>
              <w:rPr>
                <w:rFonts w:hint="eastAsia" w:ascii="宋体" w:eastAsia="宋体"/>
                <w:color w:val="auto"/>
                <w:sz w:val="18"/>
                <w:szCs w:val="18"/>
                <w:highlight w:val="none"/>
                <w:lang w:val="zh-CN" w:eastAsia="zh-CN"/>
              </w:rPr>
              <w:t>存在</w:t>
            </w:r>
            <w:r>
              <w:rPr>
                <w:rFonts w:hint="eastAsia" w:ascii="宋体"/>
                <w:color w:val="auto"/>
                <w:sz w:val="18"/>
                <w:szCs w:val="18"/>
                <w:highlight w:val="none"/>
                <w:lang w:val="zh-CN" w:eastAsia="zh-CN"/>
              </w:rPr>
              <w:t>食材价格乱报、虚报或核价不及时</w:t>
            </w:r>
            <w:r>
              <w:rPr>
                <w:rFonts w:hint="eastAsia" w:ascii="宋体" w:eastAsia="宋体"/>
                <w:color w:val="auto"/>
                <w:sz w:val="18"/>
                <w:szCs w:val="18"/>
                <w:highlight w:val="none"/>
                <w:lang w:val="zh-CN" w:eastAsia="zh-CN"/>
              </w:rPr>
              <w:t>等情况，每发现</w:t>
            </w:r>
            <w:r>
              <w:rPr>
                <w:rFonts w:hint="eastAsia" w:ascii="宋体"/>
                <w:color w:val="auto"/>
                <w:sz w:val="18"/>
                <w:szCs w:val="18"/>
                <w:highlight w:val="none"/>
                <w:lang w:val="en-US" w:eastAsia="zh-CN"/>
              </w:rPr>
              <w:t>1</w:t>
            </w:r>
            <w:r>
              <w:rPr>
                <w:rFonts w:hint="eastAsia" w:ascii="宋体" w:eastAsia="宋体"/>
                <w:color w:val="auto"/>
                <w:sz w:val="18"/>
                <w:szCs w:val="18"/>
                <w:highlight w:val="none"/>
                <w:lang w:val="zh-CN" w:eastAsia="zh-CN"/>
              </w:rPr>
              <w:t>次扣</w:t>
            </w:r>
            <w:r>
              <w:rPr>
                <w:rFonts w:hint="eastAsia" w:ascii="宋体" w:eastAsia="宋体"/>
                <w:color w:val="auto"/>
                <w:sz w:val="18"/>
                <w:szCs w:val="18"/>
                <w:highlight w:val="none"/>
                <w:lang w:val="en-US" w:eastAsia="zh-CN"/>
              </w:rPr>
              <w:t>1分</w:t>
            </w:r>
            <w:r>
              <w:rPr>
                <w:rFonts w:hint="eastAsia" w:ascii="宋体" w:eastAsia="宋体"/>
                <w:color w:val="auto"/>
                <w:sz w:val="18"/>
                <w:szCs w:val="18"/>
                <w:highlight w:val="none"/>
                <w:lang w:val="zh-CN" w:eastAsia="zh-CN"/>
              </w:rPr>
              <w:t>；存在月度结算对账不及时情况，每发现1次扣1分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3</w:t>
            </w:r>
          </w:p>
        </w:tc>
        <w:tc>
          <w:tcPr>
            <w:tcW w:w="6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供货质量</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质量</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宋体" w:eastAsia="宋体"/>
                <w:color w:val="auto"/>
                <w:sz w:val="18"/>
                <w:szCs w:val="18"/>
                <w:highlight w:val="none"/>
                <w:lang w:val="en-US" w:eastAsia="zh-CN"/>
              </w:rPr>
            </w:pPr>
            <w:r>
              <w:rPr>
                <w:rFonts w:hint="eastAsia" w:ascii="宋体"/>
                <w:color w:val="auto"/>
                <w:sz w:val="18"/>
                <w:szCs w:val="18"/>
                <w:highlight w:val="none"/>
                <w:lang w:val="zh-CN" w:eastAsia="zh-CN"/>
              </w:rPr>
              <w:t>配送食材不新鲜或有异味或混有杂质或内包装破损或未在保质期内或未按甲方要求配送等，及时更换不影响供餐使用每次扣1分；不及时改正每次扣2分；情节严重影响供餐的，直接扣1</w:t>
            </w:r>
            <w:r>
              <w:rPr>
                <w:rFonts w:hint="eastAsia" w:ascii="宋体"/>
                <w:color w:val="auto"/>
                <w:sz w:val="18"/>
                <w:szCs w:val="18"/>
                <w:highlight w:val="none"/>
                <w:lang w:val="en-US" w:eastAsia="zh-CN"/>
              </w:rPr>
              <w:t>5</w:t>
            </w:r>
            <w:r>
              <w:rPr>
                <w:rFonts w:hint="eastAsia" w:ascii="宋体"/>
                <w:color w:val="auto"/>
                <w:sz w:val="18"/>
                <w:szCs w:val="18"/>
                <w:highlight w:val="none"/>
                <w:lang w:val="zh-CN" w:eastAsia="zh-CN"/>
              </w:rPr>
              <w:t>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c>
          <w:tcPr>
            <w:tcW w:w="12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color w:val="auto"/>
                <w:highlight w:val="none"/>
              </w:rPr>
            </w:pPr>
          </w:p>
        </w:tc>
        <w:tc>
          <w:tcPr>
            <w:tcW w:w="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color w:val="auto"/>
                <w:highlight w:val="none"/>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数量</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zh-CN"/>
              </w:rPr>
              <w:t>配送食材数量少于预购数量的，与订单数量相差10%，扣</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lang w:val="zh-CN"/>
              </w:rPr>
              <w:t>分；相差20%，扣</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lang w:val="zh-CN"/>
              </w:rPr>
              <w:t>分；相差30%，扣</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lang w:val="zh-CN"/>
              </w:rPr>
              <w:t>分；与订单品种每相差1个，扣</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lang w:val="zh-CN"/>
              </w:rPr>
              <w:t>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4</w:t>
            </w:r>
          </w:p>
        </w:tc>
        <w:tc>
          <w:tcPr>
            <w:tcW w:w="6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配送时效</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hint="eastAsia" w:ascii="宋体"/>
                <w:color w:val="auto"/>
                <w:sz w:val="18"/>
                <w:szCs w:val="18"/>
                <w:highlight w:val="none"/>
                <w:lang w:val="zh-CN"/>
              </w:rPr>
              <w:t>时间</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zh-CN"/>
              </w:rPr>
              <w:t>食材配送超时</w:t>
            </w:r>
            <w:r>
              <w:rPr>
                <w:rFonts w:hint="eastAsia" w:ascii="宋体" w:hAnsi="宋体"/>
                <w:color w:val="auto"/>
                <w:sz w:val="18"/>
                <w:szCs w:val="18"/>
                <w:highlight w:val="none"/>
                <w:lang w:val="en-US" w:eastAsia="zh-CN"/>
              </w:rPr>
              <w:t>30分钟及以上，每发现一次扣5分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c>
          <w:tcPr>
            <w:tcW w:w="12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en-US" w:eastAsia="zh-CN"/>
              </w:rPr>
            </w:pPr>
          </w:p>
        </w:tc>
        <w:tc>
          <w:tcPr>
            <w:tcW w:w="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color w:val="auto"/>
                <w:sz w:val="18"/>
                <w:szCs w:val="18"/>
                <w:highlight w:val="none"/>
                <w:lang w:val="zh-CN"/>
              </w:rPr>
            </w:pPr>
            <w:r>
              <w:rPr>
                <w:rFonts w:hint="eastAsia" w:ascii="宋体"/>
                <w:color w:val="auto"/>
                <w:sz w:val="18"/>
                <w:szCs w:val="18"/>
                <w:highlight w:val="none"/>
                <w:lang w:val="zh-CN"/>
              </w:rPr>
              <w:t>应急</w:t>
            </w: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未按甲方要求和履约承诺进行应急处理，每发现1次扣5分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eastAsia="宋体"/>
                <w:color w:val="auto"/>
                <w:sz w:val="18"/>
                <w:szCs w:val="18"/>
                <w:highlight w:val="none"/>
                <w:lang w:val="zh-CN" w:eastAsia="zh-CN"/>
              </w:rPr>
            </w:pPr>
            <w:r>
              <w:rPr>
                <w:rFonts w:hint="eastAsia" w:ascii="宋体" w:hAnsi="宋体"/>
                <w:color w:val="auto"/>
                <w:sz w:val="18"/>
                <w:szCs w:val="18"/>
                <w:highlight w:val="none"/>
                <w:lang w:val="en-US" w:eastAsia="zh-CN"/>
              </w:rPr>
              <w:t>5</w:t>
            </w:r>
          </w:p>
        </w:tc>
        <w:tc>
          <w:tcPr>
            <w:tcW w:w="6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r>
              <w:rPr>
                <w:rFonts w:hint="eastAsia" w:ascii="宋体" w:hAnsi="宋体"/>
                <w:color w:val="auto"/>
                <w:sz w:val="18"/>
                <w:szCs w:val="18"/>
                <w:highlight w:val="none"/>
                <w:lang w:val="zh-CN"/>
              </w:rPr>
              <w:t>服务水平</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服务</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color w:val="auto"/>
                <w:sz w:val="18"/>
                <w:szCs w:val="18"/>
                <w:highlight w:val="none"/>
                <w:lang w:val="zh-CN"/>
              </w:rPr>
            </w:pP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ascii="宋体"/>
                <w:color w:val="auto"/>
                <w:sz w:val="18"/>
                <w:szCs w:val="18"/>
                <w:highlight w:val="none"/>
                <w:lang w:val="zh-CN"/>
              </w:rPr>
            </w:pPr>
            <w:r>
              <w:rPr>
                <w:rFonts w:hint="eastAsia" w:ascii="宋体" w:hAnsi="宋体"/>
                <w:color w:val="auto"/>
                <w:sz w:val="18"/>
                <w:szCs w:val="18"/>
                <w:highlight w:val="none"/>
                <w:lang w:val="zh-CN"/>
              </w:rPr>
              <w:t>服务态度是否良好，每核实</w:t>
            </w:r>
            <w:r>
              <w:rPr>
                <w:rFonts w:ascii="宋体" w:hAnsi="宋体"/>
                <w:color w:val="auto"/>
                <w:sz w:val="18"/>
                <w:szCs w:val="18"/>
                <w:highlight w:val="none"/>
                <w:lang w:val="zh-CN"/>
              </w:rPr>
              <w:t>1</w:t>
            </w:r>
            <w:r>
              <w:rPr>
                <w:rFonts w:hint="eastAsia" w:ascii="宋体" w:hAnsi="宋体"/>
                <w:color w:val="auto"/>
                <w:sz w:val="18"/>
                <w:szCs w:val="18"/>
                <w:highlight w:val="none"/>
                <w:lang w:val="zh-CN"/>
              </w:rPr>
              <w:t>次有效投诉扣</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lang w:val="zh-CN"/>
              </w:rPr>
              <w:t>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c>
          <w:tcPr>
            <w:tcW w:w="12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cs="Times New Roman"/>
                <w:b w:val="0"/>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38" w:type="dxa"/>
            <w:vMerge w:val="continue"/>
            <w:noWrap w:val="0"/>
            <w:vAlign w:val="center"/>
          </w:tcPr>
          <w:p>
            <w:pPr>
              <w:spacing w:line="200" w:lineRule="exact"/>
              <w:jc w:val="center"/>
              <w:rPr>
                <w:rFonts w:ascii="宋体"/>
                <w:color w:val="auto"/>
                <w:sz w:val="18"/>
                <w:szCs w:val="18"/>
                <w:highlight w:val="none"/>
                <w:lang w:val="zh-CN"/>
              </w:rPr>
            </w:pPr>
          </w:p>
        </w:tc>
        <w:tc>
          <w:tcPr>
            <w:tcW w:w="674" w:type="dxa"/>
            <w:vMerge w:val="continue"/>
            <w:noWrap w:val="0"/>
            <w:vAlign w:val="center"/>
          </w:tcPr>
          <w:p>
            <w:pPr>
              <w:spacing w:line="200" w:lineRule="exact"/>
              <w:jc w:val="center"/>
              <w:rPr>
                <w:rFonts w:ascii="宋体"/>
                <w:color w:val="auto"/>
                <w:sz w:val="18"/>
                <w:szCs w:val="18"/>
                <w:highlight w:val="none"/>
                <w:lang w:val="zh-CN"/>
              </w:rPr>
            </w:pPr>
          </w:p>
        </w:tc>
        <w:tc>
          <w:tcPr>
            <w:tcW w:w="690" w:type="dxa"/>
            <w:vMerge w:val="continue"/>
            <w:noWrap w:val="0"/>
            <w:vAlign w:val="center"/>
          </w:tcPr>
          <w:p>
            <w:pPr>
              <w:spacing w:line="200" w:lineRule="exact"/>
              <w:jc w:val="center"/>
              <w:rPr>
                <w:rFonts w:ascii="宋体"/>
                <w:color w:val="auto"/>
                <w:sz w:val="18"/>
                <w:szCs w:val="18"/>
                <w:highlight w:val="none"/>
                <w:lang w:val="zh-CN"/>
              </w:rPr>
            </w:pPr>
          </w:p>
        </w:tc>
        <w:tc>
          <w:tcPr>
            <w:tcW w:w="4407" w:type="dxa"/>
            <w:noWrap w:val="0"/>
            <w:vAlign w:val="center"/>
          </w:tcPr>
          <w:p>
            <w:pPr>
              <w:spacing w:line="200" w:lineRule="exact"/>
              <w:jc w:val="left"/>
              <w:rPr>
                <w:rFonts w:hint="eastAsia" w:ascii="宋体" w:hAnsi="宋体"/>
                <w:color w:val="auto"/>
                <w:sz w:val="18"/>
                <w:szCs w:val="18"/>
                <w:highlight w:val="none"/>
                <w:lang w:val="zh-CN"/>
              </w:rPr>
            </w:pPr>
            <w:r>
              <w:rPr>
                <w:rFonts w:hint="eastAsia" w:ascii="宋体" w:hAnsi="宋体"/>
                <w:color w:val="auto"/>
                <w:sz w:val="18"/>
                <w:szCs w:val="18"/>
                <w:highlight w:val="none"/>
                <w:lang w:val="zh-CN"/>
              </w:rPr>
              <w:t>未严格按照《食品安全法》等规定或甲方要求，对食品进行卫生安全粗加工，每发现</w:t>
            </w:r>
            <w:r>
              <w:rPr>
                <w:rFonts w:hint="eastAsia" w:ascii="宋体" w:hAnsi="宋体"/>
                <w:color w:val="auto"/>
                <w:sz w:val="18"/>
                <w:szCs w:val="18"/>
                <w:highlight w:val="none"/>
                <w:lang w:val="en-US" w:eastAsia="zh-CN"/>
              </w:rPr>
              <w:t>1次扣2分</w:t>
            </w:r>
            <w:r>
              <w:rPr>
                <w:rFonts w:hint="eastAsia" w:ascii="宋体" w:hAnsi="宋体"/>
                <w:color w:val="auto"/>
                <w:sz w:val="18"/>
                <w:szCs w:val="18"/>
                <w:highlight w:val="none"/>
                <w:lang w:val="zh-CN"/>
              </w:rPr>
              <w:t>；粗加工完成后未将加工场所清理干净，每发现</w:t>
            </w:r>
            <w:r>
              <w:rPr>
                <w:rFonts w:ascii="宋体" w:hAnsi="宋体"/>
                <w:color w:val="auto"/>
                <w:sz w:val="18"/>
                <w:szCs w:val="18"/>
                <w:highlight w:val="none"/>
                <w:lang w:val="zh-CN"/>
              </w:rPr>
              <w:t>1</w:t>
            </w:r>
            <w:r>
              <w:rPr>
                <w:rFonts w:hint="eastAsia" w:ascii="宋体" w:hAnsi="宋体"/>
                <w:color w:val="auto"/>
                <w:sz w:val="18"/>
                <w:szCs w:val="18"/>
                <w:highlight w:val="none"/>
                <w:lang w:val="zh-CN"/>
              </w:rPr>
              <w:t>次扣</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lang w:val="zh-CN"/>
              </w:rPr>
              <w:t>分；</w:t>
            </w:r>
          </w:p>
          <w:p>
            <w:pPr>
              <w:spacing w:line="200" w:lineRule="exact"/>
              <w:jc w:val="left"/>
              <w:rPr>
                <w:rFonts w:hint="default" w:ascii="宋体"/>
                <w:color w:val="auto"/>
                <w:sz w:val="18"/>
                <w:szCs w:val="18"/>
                <w:highlight w:val="none"/>
                <w:lang w:val="en-US"/>
              </w:rPr>
            </w:pPr>
            <w:r>
              <w:rPr>
                <w:rFonts w:hint="eastAsia" w:ascii="宋体" w:hAnsi="宋体"/>
                <w:color w:val="auto"/>
                <w:sz w:val="18"/>
                <w:szCs w:val="18"/>
                <w:highlight w:val="none"/>
                <w:lang w:val="zh-CN"/>
              </w:rPr>
              <w:t>粗加工人员不服从甲方管理与调配，每发现</w:t>
            </w:r>
            <w:r>
              <w:rPr>
                <w:rFonts w:hint="eastAsia" w:ascii="宋体" w:hAnsi="宋体"/>
                <w:color w:val="auto"/>
                <w:sz w:val="18"/>
                <w:szCs w:val="18"/>
                <w:highlight w:val="none"/>
                <w:lang w:val="en-US" w:eastAsia="zh-CN"/>
              </w:rPr>
              <w:t>1次扣2分；未按要求按时按量提供粗加工人员，每发现1次扣5分</w:t>
            </w:r>
          </w:p>
        </w:tc>
        <w:tc>
          <w:tcPr>
            <w:tcW w:w="630" w:type="dxa"/>
            <w:noWrap w:val="0"/>
            <w:vAlign w:val="center"/>
          </w:tcPr>
          <w:p>
            <w:pPr>
              <w:spacing w:line="200" w:lineRule="exact"/>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719" w:type="dxa"/>
            <w:noWrap w:val="0"/>
            <w:vAlign w:val="center"/>
          </w:tcPr>
          <w:p>
            <w:pPr>
              <w:spacing w:line="200" w:lineRule="exact"/>
              <w:jc w:val="center"/>
              <w:rPr>
                <w:rFonts w:hint="eastAsia" w:ascii="Calibri" w:cs="Times New Roman"/>
                <w:b w:val="0"/>
                <w:color w:val="auto"/>
                <w:sz w:val="18"/>
                <w:szCs w:val="18"/>
                <w:highlight w:val="none"/>
                <w:lang w:val="en-US"/>
              </w:rPr>
            </w:pPr>
          </w:p>
        </w:tc>
        <w:tc>
          <w:tcPr>
            <w:tcW w:w="1279" w:type="dxa"/>
            <w:vMerge w:val="continue"/>
            <w:noWrap w:val="0"/>
            <w:vAlign w:val="center"/>
          </w:tcPr>
          <w:p>
            <w:pPr>
              <w:spacing w:line="200" w:lineRule="exact"/>
              <w:jc w:val="center"/>
              <w:rPr>
                <w:rFonts w:hint="eastAsia" w:ascii="Calibri" w:cs="Times New Roman"/>
                <w:b w:val="0"/>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p>
        </w:tc>
        <w:tc>
          <w:tcPr>
            <w:tcW w:w="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color w:val="auto"/>
                <w:sz w:val="18"/>
                <w:szCs w:val="18"/>
                <w:highlight w:val="none"/>
                <w:lang w:val="zh-CN"/>
              </w:rPr>
            </w:pPr>
            <w:r>
              <w:rPr>
                <w:rFonts w:hint="eastAsia" w:ascii="宋体" w:hAnsi="宋体"/>
                <w:color w:val="auto"/>
                <w:sz w:val="18"/>
                <w:szCs w:val="18"/>
                <w:highlight w:val="none"/>
                <w:lang w:val="zh-CN"/>
              </w:rPr>
              <w:t>未对甲方的反馈意见进行认真及时整改，发现</w:t>
            </w:r>
            <w:r>
              <w:rPr>
                <w:rFonts w:hint="eastAsia" w:ascii="宋体" w:hAnsi="宋体"/>
                <w:color w:val="auto"/>
                <w:sz w:val="18"/>
                <w:szCs w:val="18"/>
                <w:highlight w:val="none"/>
              </w:rPr>
              <w:t>未</w:t>
            </w:r>
            <w:r>
              <w:rPr>
                <w:rFonts w:hint="eastAsia" w:ascii="宋体" w:hAnsi="宋体"/>
                <w:color w:val="auto"/>
                <w:sz w:val="18"/>
                <w:szCs w:val="18"/>
                <w:highlight w:val="none"/>
                <w:lang w:eastAsia="zh-CN"/>
              </w:rPr>
              <w:t>及时</w:t>
            </w:r>
            <w:r>
              <w:rPr>
                <w:rFonts w:hint="eastAsia" w:ascii="宋体" w:hAnsi="宋体"/>
                <w:color w:val="auto"/>
                <w:sz w:val="18"/>
                <w:szCs w:val="18"/>
                <w:highlight w:val="none"/>
              </w:rPr>
              <w:t>整改的</w:t>
            </w:r>
            <w:r>
              <w:rPr>
                <w:rFonts w:hint="eastAsia" w:ascii="宋体" w:hAnsi="宋体"/>
                <w:color w:val="auto"/>
                <w:sz w:val="18"/>
                <w:szCs w:val="18"/>
                <w:highlight w:val="none"/>
                <w:lang w:eastAsia="zh-CN"/>
              </w:rPr>
              <w:t>，</w:t>
            </w:r>
            <w:r>
              <w:rPr>
                <w:rFonts w:hint="eastAsia" w:ascii="宋体" w:hAnsi="宋体"/>
                <w:color w:val="auto"/>
                <w:sz w:val="18"/>
                <w:szCs w:val="18"/>
                <w:highlight w:val="none"/>
              </w:rPr>
              <w:t>每</w:t>
            </w:r>
            <w:r>
              <w:rPr>
                <w:rFonts w:hint="eastAsia" w:ascii="宋体" w:hAnsi="宋体"/>
                <w:color w:val="auto"/>
                <w:sz w:val="18"/>
                <w:szCs w:val="18"/>
                <w:highlight w:val="none"/>
                <w:lang w:eastAsia="zh-CN"/>
              </w:rPr>
              <w:t>发现</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次</w:t>
            </w:r>
            <w:r>
              <w:rPr>
                <w:rFonts w:hint="eastAsia" w:ascii="宋体" w:hAnsi="宋体"/>
                <w:color w:val="auto"/>
                <w:sz w:val="18"/>
                <w:szCs w:val="18"/>
                <w:highlight w:val="none"/>
                <w:lang w:val="zh-CN"/>
              </w:rPr>
              <w:t>扣</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lang w:val="zh-CN"/>
              </w:rPr>
              <w:t>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color w:val="auto"/>
                <w:sz w:val="18"/>
                <w:szCs w:val="18"/>
                <w:highlight w:val="none"/>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p>
        </w:tc>
        <w:tc>
          <w:tcPr>
            <w:tcW w:w="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p>
        </w:tc>
        <w:tc>
          <w:tcPr>
            <w:tcW w:w="44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zh-CN"/>
              </w:rPr>
              <w:t>未按合同约定事项履约，每发现</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lang w:val="zh-CN"/>
              </w:rPr>
              <w:t>项扣</w:t>
            </w:r>
            <w:r>
              <w:rPr>
                <w:rFonts w:hint="eastAsia" w:ascii="宋体" w:hAnsi="宋体"/>
                <w:color w:val="auto"/>
                <w:sz w:val="18"/>
                <w:szCs w:val="18"/>
                <w:highlight w:val="none"/>
                <w:lang w:val="en-US" w:eastAsia="zh-CN"/>
              </w:rPr>
              <w:t>2分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color w:val="auto"/>
                <w:sz w:val="18"/>
                <w:szCs w:val="18"/>
                <w:highlight w:val="none"/>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color w:val="auto"/>
                <w:sz w:val="18"/>
                <w:szCs w:val="18"/>
                <w:highlight w:val="none"/>
                <w:lang w:val="zh-CN"/>
              </w:rPr>
            </w:pPr>
            <w:r>
              <w:rPr>
                <w:rFonts w:hint="eastAsia"/>
                <w:color w:val="auto"/>
                <w:sz w:val="18"/>
                <w:szCs w:val="18"/>
                <w:highlight w:val="none"/>
                <w:lang w:val="zh-CN"/>
              </w:rPr>
              <w:t>每月考评情况</w:t>
            </w:r>
          </w:p>
          <w:p>
            <w:pPr>
              <w:pStyle w:val="9"/>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color w:val="auto"/>
                <w:highlight w:val="none"/>
                <w:lang w:val="zh-CN"/>
              </w:rPr>
            </w:pPr>
            <w:r>
              <w:rPr>
                <w:rFonts w:hint="eastAsia" w:ascii="宋体"/>
                <w:color w:val="auto"/>
                <w:sz w:val="18"/>
                <w:szCs w:val="18"/>
                <w:highlight w:val="none"/>
                <w:lang w:val="zh-CN"/>
              </w:rPr>
              <w:t>（总得分</w:t>
            </w:r>
            <w:r>
              <w:rPr>
                <w:rFonts w:hint="eastAsia" w:ascii="宋体"/>
                <w:color w:val="auto"/>
                <w:sz w:val="18"/>
                <w:szCs w:val="18"/>
                <w:highlight w:val="none"/>
                <w:u w:val="single"/>
                <w:lang w:val="en-US" w:eastAsia="zh-CN"/>
              </w:rPr>
              <w:t xml:space="preserve">        </w:t>
            </w:r>
            <w:r>
              <w:rPr>
                <w:rFonts w:hint="eastAsia" w:ascii="宋体"/>
                <w:color w:val="auto"/>
                <w:sz w:val="18"/>
                <w:szCs w:val="18"/>
                <w:highlight w:val="none"/>
                <w:lang w:val="zh-CN"/>
              </w:rPr>
              <w:t>）</w:t>
            </w:r>
          </w:p>
        </w:tc>
        <w:tc>
          <w:tcPr>
            <w:tcW w:w="70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auto"/>
                <w:sz w:val="18"/>
                <w:szCs w:val="18"/>
                <w:lang w:val="en-US" w:eastAsia="zh-CN"/>
              </w:rPr>
            </w:pPr>
            <w:r>
              <w:rPr>
                <w:rFonts w:hint="eastAsia" w:ascii="宋体" w:hAnsi="宋体" w:eastAsia="宋体" w:cs="宋体"/>
                <w:b w:val="0"/>
                <w:color w:val="auto"/>
                <w:sz w:val="18"/>
                <w:szCs w:val="18"/>
                <w:lang w:val="en-US" w:eastAsia="zh-CN"/>
              </w:rPr>
              <w:t>当月考评总分为：□优（</w:t>
            </w:r>
            <w:r>
              <w:rPr>
                <w:rFonts w:hint="eastAsia" w:ascii="宋体" w:hAnsi="宋体" w:eastAsia="宋体" w:cs="宋体"/>
                <w:b w:val="0"/>
                <w:color w:val="000000"/>
                <w:sz w:val="18"/>
                <w:szCs w:val="18"/>
                <w:lang w:val="en-US" w:eastAsia="zh-CN"/>
              </w:rPr>
              <w:t>100-</w:t>
            </w:r>
            <w:r>
              <w:rPr>
                <w:rFonts w:hint="default" w:ascii="宋体" w:hAnsi="宋体" w:cs="宋体"/>
                <w:b w:val="0"/>
                <w:color w:val="000000"/>
                <w:sz w:val="18"/>
                <w:szCs w:val="18"/>
                <w:lang w:val="en" w:eastAsia="zh-CN"/>
              </w:rPr>
              <w:t>90</w:t>
            </w:r>
            <w:r>
              <w:rPr>
                <w:rFonts w:hint="eastAsia" w:ascii="宋体" w:hAnsi="宋体" w:eastAsia="宋体" w:cs="宋体"/>
                <w:b w:val="0"/>
                <w:color w:val="auto"/>
                <w:sz w:val="18"/>
                <w:szCs w:val="18"/>
                <w:lang w:val="en-US" w:eastAsia="zh-CN"/>
              </w:rPr>
              <w:t>分） □</w:t>
            </w:r>
            <w:r>
              <w:rPr>
                <w:rFonts w:hint="eastAsia" w:ascii="宋体" w:hAnsi="宋体" w:cs="宋体"/>
                <w:b w:val="0"/>
                <w:color w:val="auto"/>
                <w:sz w:val="18"/>
                <w:szCs w:val="18"/>
                <w:lang w:val="en-US" w:eastAsia="zh-CN"/>
              </w:rPr>
              <w:t>良</w:t>
            </w:r>
            <w:r>
              <w:rPr>
                <w:rFonts w:hint="eastAsia" w:ascii="宋体" w:hAnsi="宋体" w:eastAsia="宋体" w:cs="宋体"/>
                <w:b w:val="0"/>
                <w:color w:val="auto"/>
                <w:sz w:val="18"/>
                <w:szCs w:val="18"/>
                <w:lang w:val="en-US" w:eastAsia="zh-CN"/>
              </w:rPr>
              <w:t>（</w:t>
            </w:r>
            <w:r>
              <w:rPr>
                <w:rFonts w:hint="default" w:ascii="宋体" w:hAnsi="宋体" w:cs="宋体"/>
                <w:b w:val="0"/>
                <w:color w:val="000000"/>
                <w:sz w:val="18"/>
                <w:szCs w:val="18"/>
                <w:lang w:val="en" w:eastAsia="zh-CN"/>
              </w:rPr>
              <w:t>89</w:t>
            </w:r>
            <w:r>
              <w:rPr>
                <w:rFonts w:hint="eastAsia" w:ascii="宋体" w:hAnsi="宋体" w:cs="宋体"/>
                <w:b w:val="0"/>
                <w:color w:val="000000"/>
                <w:sz w:val="18"/>
                <w:szCs w:val="18"/>
                <w:lang w:val="en-US" w:eastAsia="zh-CN"/>
              </w:rPr>
              <w:t>-</w:t>
            </w:r>
            <w:r>
              <w:rPr>
                <w:rFonts w:hint="default" w:ascii="宋体" w:hAnsi="宋体" w:cs="宋体"/>
                <w:b w:val="0"/>
                <w:color w:val="000000"/>
                <w:sz w:val="18"/>
                <w:szCs w:val="18"/>
                <w:lang w:val="en" w:eastAsia="zh-CN"/>
              </w:rPr>
              <w:t>80</w:t>
            </w:r>
            <w:r>
              <w:rPr>
                <w:rFonts w:hint="eastAsia" w:ascii="宋体" w:hAnsi="宋体" w:eastAsia="宋体" w:cs="宋体"/>
                <w:b w:val="0"/>
                <w:color w:val="auto"/>
                <w:sz w:val="18"/>
                <w:szCs w:val="18"/>
                <w:lang w:val="en-US" w:eastAsia="zh-CN"/>
              </w:rPr>
              <w:t>分）  □中（</w:t>
            </w:r>
            <w:r>
              <w:rPr>
                <w:rFonts w:hint="default" w:ascii="宋体" w:hAnsi="宋体" w:cs="宋体"/>
                <w:b w:val="0"/>
                <w:color w:val="000000"/>
                <w:sz w:val="18"/>
                <w:szCs w:val="18"/>
                <w:lang w:val="en" w:eastAsia="zh-CN"/>
              </w:rPr>
              <w:t>79</w:t>
            </w:r>
            <w:r>
              <w:rPr>
                <w:rFonts w:hint="eastAsia" w:ascii="宋体" w:hAnsi="宋体" w:eastAsia="宋体" w:cs="宋体"/>
                <w:b w:val="0"/>
                <w:color w:val="000000"/>
                <w:sz w:val="18"/>
                <w:szCs w:val="18"/>
                <w:lang w:val="en-US" w:eastAsia="zh-CN"/>
              </w:rPr>
              <w:t>-</w:t>
            </w:r>
            <w:r>
              <w:rPr>
                <w:rFonts w:hint="default" w:ascii="宋体" w:hAnsi="宋体" w:cs="宋体"/>
                <w:b w:val="0"/>
                <w:color w:val="000000"/>
                <w:sz w:val="18"/>
                <w:szCs w:val="18"/>
                <w:lang w:val="en" w:eastAsia="zh-CN"/>
              </w:rPr>
              <w:t>70</w:t>
            </w:r>
            <w:r>
              <w:rPr>
                <w:rFonts w:hint="eastAsia" w:ascii="宋体" w:hAnsi="宋体" w:eastAsia="宋体" w:cs="宋体"/>
                <w:b w:val="0"/>
                <w:color w:val="auto"/>
                <w:sz w:val="18"/>
                <w:szCs w:val="18"/>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b w:val="0"/>
                <w:color w:val="auto"/>
                <w:sz w:val="18"/>
                <w:szCs w:val="18"/>
                <w:highlight w:val="none"/>
                <w:lang w:val="en-US" w:eastAsia="zh-CN"/>
              </w:rPr>
            </w:pPr>
            <w:r>
              <w:rPr>
                <w:rFonts w:hint="eastAsia" w:ascii="宋体" w:hAnsi="宋体" w:eastAsia="宋体" w:cs="宋体"/>
                <w:b w:val="0"/>
                <w:color w:val="auto"/>
                <w:sz w:val="18"/>
                <w:szCs w:val="18"/>
                <w:lang w:val="en-US" w:eastAsia="zh-CN"/>
              </w:rPr>
              <w:t>□</w:t>
            </w:r>
            <w:r>
              <w:rPr>
                <w:rFonts w:hint="eastAsia" w:ascii="宋体" w:hAnsi="宋体" w:cs="宋体"/>
                <w:b w:val="0"/>
                <w:color w:val="auto"/>
                <w:sz w:val="18"/>
                <w:szCs w:val="18"/>
                <w:lang w:val="en-US" w:eastAsia="zh-CN"/>
              </w:rPr>
              <w:t>差</w:t>
            </w:r>
            <w:r>
              <w:rPr>
                <w:rFonts w:hint="eastAsia" w:ascii="宋体" w:hAnsi="宋体" w:eastAsia="宋体" w:cs="宋体"/>
                <w:b w:val="0"/>
                <w:color w:val="auto"/>
                <w:sz w:val="18"/>
                <w:szCs w:val="18"/>
                <w:lang w:val="en-US" w:eastAsia="zh-CN"/>
              </w:rPr>
              <w:t>（</w:t>
            </w:r>
            <w:r>
              <w:rPr>
                <w:rFonts w:hint="default" w:ascii="宋体" w:hAnsi="宋体" w:cs="宋体"/>
                <w:b w:val="0"/>
                <w:color w:val="000000"/>
                <w:sz w:val="18"/>
                <w:szCs w:val="18"/>
                <w:lang w:val="en" w:eastAsia="zh-CN"/>
              </w:rPr>
              <w:t>70</w:t>
            </w:r>
            <w:r>
              <w:rPr>
                <w:rFonts w:hint="eastAsia" w:ascii="宋体" w:hAnsi="宋体" w:eastAsia="宋体" w:cs="宋体"/>
                <w:b w:val="0"/>
                <w:color w:val="auto"/>
                <w:sz w:val="18"/>
                <w:szCs w:val="18"/>
                <w:lang w:val="en-US" w:eastAsia="zh-CN"/>
              </w:rPr>
              <w:t>分及以下）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auto"/>
                <w:sz w:val="18"/>
                <w:szCs w:val="18"/>
                <w:highlight w:val="none"/>
                <w:lang w:val="zh-CN"/>
              </w:rPr>
            </w:pPr>
            <w:r>
              <w:rPr>
                <w:rFonts w:hint="eastAsia" w:ascii="宋体" w:hAnsi="宋体"/>
                <w:color w:val="auto"/>
                <w:sz w:val="18"/>
                <w:szCs w:val="18"/>
                <w:highlight w:val="none"/>
                <w:lang w:val="zh-CN"/>
              </w:rPr>
              <w:t>综合考评等次</w:t>
            </w:r>
          </w:p>
        </w:tc>
        <w:tc>
          <w:tcPr>
            <w:tcW w:w="70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auto"/>
                <w:sz w:val="18"/>
                <w:szCs w:val="18"/>
                <w:highlight w:val="none"/>
                <w:lang w:val="zh-CN"/>
              </w:rPr>
            </w:pPr>
            <w:r>
              <w:rPr>
                <w:rFonts w:hint="eastAsia" w:ascii="宋体" w:hAnsi="宋体" w:eastAsia="宋体" w:cs="宋体"/>
                <w:color w:val="auto"/>
                <w:sz w:val="21"/>
                <w:szCs w:val="21"/>
                <w:highlight w:val="none"/>
                <w:lang w:val="zh-CN"/>
              </w:rPr>
              <w:t>□优</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差</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宋体" w:hAnsi="宋体"/>
          <w:color w:val="auto"/>
          <w:sz w:val="18"/>
          <w:szCs w:val="18"/>
          <w:highlight w:val="none"/>
        </w:rPr>
      </w:pPr>
      <w:r>
        <w:rPr>
          <w:rFonts w:hint="eastAsia" w:ascii="宋体" w:hAnsi="宋体"/>
          <w:color w:val="auto"/>
          <w:sz w:val="18"/>
          <w:szCs w:val="18"/>
          <w:highlight w:val="none"/>
        </w:rPr>
        <w:t>考评说明：</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宋体" w:hAnsi="宋体"/>
          <w:color w:val="auto"/>
          <w:sz w:val="18"/>
          <w:szCs w:val="18"/>
          <w:highlight w:val="none"/>
        </w:rPr>
      </w:pPr>
      <w:r>
        <w:rPr>
          <w:rFonts w:hint="eastAsia" w:ascii="宋体" w:hAnsi="宋体"/>
          <w:color w:val="auto"/>
          <w:sz w:val="18"/>
          <w:szCs w:val="18"/>
          <w:highlight w:val="none"/>
        </w:rPr>
        <w:t>①在“综合</w:t>
      </w:r>
      <w:r>
        <w:rPr>
          <w:rFonts w:hint="eastAsia" w:ascii="宋体" w:hAnsi="宋体"/>
          <w:color w:val="auto"/>
          <w:sz w:val="18"/>
          <w:szCs w:val="18"/>
          <w:highlight w:val="none"/>
          <w:lang w:val="zh-CN"/>
        </w:rPr>
        <w:t>考评</w:t>
      </w:r>
      <w:r>
        <w:rPr>
          <w:rFonts w:hint="eastAsia" w:ascii="宋体" w:hAnsi="宋体"/>
          <w:color w:val="auto"/>
          <w:sz w:val="18"/>
          <w:szCs w:val="18"/>
          <w:highlight w:val="none"/>
        </w:rPr>
        <w:t>等次”中的</w:t>
      </w:r>
      <w:r>
        <w:rPr>
          <w:rFonts w:hint="eastAsia" w:ascii="宋体" w:hAnsi="宋体" w:eastAsia="宋体" w:cs="Times New Roman"/>
          <w:color w:val="auto"/>
          <w:sz w:val="18"/>
          <w:szCs w:val="18"/>
          <w:highlight w:val="none"/>
        </w:rPr>
        <w:t>“优”“</w:t>
      </w:r>
      <w:r>
        <w:rPr>
          <w:rFonts w:hint="eastAsia" w:ascii="宋体" w:hAnsi="宋体" w:cs="Times New Roman"/>
          <w:color w:val="auto"/>
          <w:sz w:val="18"/>
          <w:szCs w:val="18"/>
          <w:highlight w:val="none"/>
          <w:lang w:eastAsia="zh-CN"/>
        </w:rPr>
        <w:t>良</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eastAsia="zh-CN"/>
        </w:rPr>
        <w:t>中</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eastAsia="zh-CN"/>
        </w:rPr>
        <w:t>“差”四</w:t>
      </w:r>
      <w:r>
        <w:rPr>
          <w:rFonts w:hint="eastAsia" w:ascii="宋体" w:hAnsi="宋体" w:eastAsia="宋体" w:cs="Times New Roman"/>
          <w:color w:val="auto"/>
          <w:sz w:val="18"/>
          <w:szCs w:val="18"/>
          <w:highlight w:val="none"/>
        </w:rPr>
        <w:t>个等次</w:t>
      </w:r>
      <w:r>
        <w:rPr>
          <w:rFonts w:hint="eastAsia" w:ascii="宋体" w:hAnsi="宋体"/>
          <w:color w:val="auto"/>
          <w:sz w:val="18"/>
          <w:szCs w:val="18"/>
          <w:highlight w:val="none"/>
        </w:rPr>
        <w:t>，只能选其中一</w:t>
      </w:r>
      <w:r>
        <w:rPr>
          <w:rFonts w:hint="eastAsia" w:ascii="宋体" w:hAnsi="宋体"/>
          <w:color w:val="auto"/>
          <w:sz w:val="18"/>
          <w:szCs w:val="18"/>
          <w:highlight w:val="none"/>
          <w:lang w:val="zh-CN"/>
        </w:rPr>
        <w:t>个等次，并在方格内画“</w:t>
      </w:r>
      <w:r>
        <w:rPr>
          <w:rFonts w:hint="eastAsia" w:ascii="宋体" w:hAnsi="宋体" w:eastAsia="宋体" w:cs="宋体"/>
          <w:color w:val="auto"/>
          <w:sz w:val="21"/>
          <w:szCs w:val="21"/>
          <w:lang w:eastAsia="zh-CN"/>
        </w:rPr>
        <w:t>√</w:t>
      </w:r>
      <w:r>
        <w:rPr>
          <w:rFonts w:hint="eastAsia" w:ascii="宋体" w:hAnsi="宋体"/>
          <w:color w:val="auto"/>
          <w:sz w:val="18"/>
          <w:szCs w:val="18"/>
          <w:highlight w:val="none"/>
          <w:lang w:val="zh-CN"/>
        </w:rPr>
        <w:t>”，多选无效。</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②</w:t>
      </w:r>
      <w:r>
        <w:rPr>
          <w:rFonts w:hint="eastAsia" w:ascii="宋体" w:hAnsi="宋体"/>
          <w:color w:val="auto"/>
          <w:sz w:val="18"/>
          <w:szCs w:val="18"/>
          <w:highlight w:val="none"/>
          <w:lang w:eastAsia="zh-CN"/>
        </w:rPr>
        <w:t>每月考评</w:t>
      </w:r>
      <w:r>
        <w:rPr>
          <w:rFonts w:hint="eastAsia" w:ascii="宋体" w:hAnsi="宋体"/>
          <w:color w:val="auto"/>
          <w:sz w:val="18"/>
          <w:szCs w:val="18"/>
          <w:highlight w:val="none"/>
          <w:lang w:val="zh-CN"/>
        </w:rPr>
        <w:t>总分值为</w:t>
      </w:r>
      <w:r>
        <w:rPr>
          <w:rFonts w:hint="eastAsia" w:ascii="宋体" w:hAnsi="宋体"/>
          <w:color w:val="auto"/>
          <w:sz w:val="18"/>
          <w:szCs w:val="18"/>
          <w:highlight w:val="none"/>
        </w:rPr>
        <w:t>100分</w:t>
      </w:r>
      <w:r>
        <w:rPr>
          <w:rFonts w:hint="eastAsia" w:ascii="宋体" w:hAnsi="宋体"/>
          <w:color w:val="auto"/>
          <w:sz w:val="18"/>
          <w:szCs w:val="18"/>
          <w:highlight w:val="none"/>
          <w:lang w:val="zh-CN"/>
        </w:rPr>
        <w:t>，</w:t>
      </w:r>
      <w:r>
        <w:rPr>
          <w:rFonts w:hint="eastAsia" w:ascii="宋体" w:hAnsi="宋体"/>
          <w:color w:val="auto"/>
          <w:sz w:val="18"/>
          <w:szCs w:val="18"/>
          <w:highlight w:val="none"/>
        </w:rPr>
        <w:t>“优”为100-</w:t>
      </w:r>
      <w:r>
        <w:rPr>
          <w:rFonts w:hint="default" w:ascii="宋体" w:hAnsi="宋体"/>
          <w:color w:val="auto"/>
          <w:sz w:val="18"/>
          <w:szCs w:val="18"/>
          <w:highlight w:val="none"/>
          <w:lang w:val="en" w:eastAsia="zh-CN"/>
        </w:rPr>
        <w:t>90</w:t>
      </w:r>
      <w:r>
        <w:rPr>
          <w:rFonts w:hint="eastAsia" w:ascii="宋体" w:hAnsi="宋体"/>
          <w:color w:val="auto"/>
          <w:sz w:val="18"/>
          <w:szCs w:val="18"/>
          <w:highlight w:val="none"/>
        </w:rPr>
        <w:t>分，“</w:t>
      </w:r>
      <w:r>
        <w:rPr>
          <w:rFonts w:hint="eastAsia" w:ascii="宋体" w:hAnsi="宋体"/>
          <w:color w:val="auto"/>
          <w:sz w:val="18"/>
          <w:szCs w:val="18"/>
          <w:highlight w:val="none"/>
          <w:lang w:eastAsia="zh-CN"/>
        </w:rPr>
        <w:t>良</w:t>
      </w:r>
      <w:r>
        <w:rPr>
          <w:rFonts w:hint="eastAsia" w:ascii="宋体" w:hAnsi="宋体"/>
          <w:color w:val="auto"/>
          <w:sz w:val="18"/>
          <w:szCs w:val="18"/>
          <w:highlight w:val="none"/>
        </w:rPr>
        <w:t>”为</w:t>
      </w:r>
      <w:r>
        <w:rPr>
          <w:rFonts w:hint="default" w:ascii="宋体" w:hAnsi="宋体"/>
          <w:color w:val="auto"/>
          <w:sz w:val="18"/>
          <w:szCs w:val="18"/>
          <w:highlight w:val="none"/>
          <w:lang w:val="en" w:eastAsia="zh-CN"/>
        </w:rPr>
        <w:t>89</w:t>
      </w:r>
      <w:r>
        <w:rPr>
          <w:rFonts w:hint="eastAsia" w:ascii="宋体" w:hAnsi="宋体"/>
          <w:color w:val="auto"/>
          <w:sz w:val="18"/>
          <w:szCs w:val="18"/>
          <w:highlight w:val="none"/>
        </w:rPr>
        <w:t>-</w:t>
      </w:r>
      <w:r>
        <w:rPr>
          <w:rFonts w:hint="default" w:ascii="宋体" w:hAnsi="宋体"/>
          <w:color w:val="auto"/>
          <w:sz w:val="18"/>
          <w:szCs w:val="18"/>
          <w:highlight w:val="none"/>
          <w:lang w:val="en" w:eastAsia="zh-CN"/>
        </w:rPr>
        <w:t>80</w:t>
      </w:r>
      <w:r>
        <w:rPr>
          <w:rFonts w:hint="eastAsia" w:ascii="宋体" w:hAnsi="宋体"/>
          <w:color w:val="auto"/>
          <w:sz w:val="18"/>
          <w:szCs w:val="18"/>
          <w:highlight w:val="none"/>
        </w:rPr>
        <w:t>分，</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eastAsia="zh-CN"/>
        </w:rPr>
        <w:t>中</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eastAsia="zh-CN"/>
        </w:rPr>
        <w:t>为</w:t>
      </w:r>
      <w:r>
        <w:rPr>
          <w:rFonts w:hint="default" w:ascii="宋体" w:hAnsi="宋体" w:cs="Times New Roman"/>
          <w:color w:val="auto"/>
          <w:sz w:val="18"/>
          <w:szCs w:val="18"/>
          <w:highlight w:val="none"/>
          <w:lang w:val="en" w:eastAsia="zh-CN"/>
        </w:rPr>
        <w:t>79</w:t>
      </w:r>
      <w:r>
        <w:rPr>
          <w:rFonts w:hint="eastAsia" w:ascii="宋体" w:hAnsi="宋体" w:cs="Times New Roman"/>
          <w:color w:val="auto"/>
          <w:sz w:val="18"/>
          <w:szCs w:val="18"/>
          <w:highlight w:val="none"/>
          <w:lang w:val="en-US" w:eastAsia="zh-CN"/>
        </w:rPr>
        <w:t>-</w:t>
      </w:r>
      <w:r>
        <w:rPr>
          <w:rFonts w:hint="default" w:ascii="宋体" w:hAnsi="宋体" w:cs="Times New Roman"/>
          <w:color w:val="auto"/>
          <w:sz w:val="18"/>
          <w:szCs w:val="18"/>
          <w:highlight w:val="none"/>
          <w:lang w:val="en" w:eastAsia="zh-CN"/>
        </w:rPr>
        <w:t>70</w:t>
      </w:r>
      <w:r>
        <w:rPr>
          <w:rFonts w:hint="eastAsia" w:ascii="宋体" w:hAnsi="宋体" w:cs="Times New Roman"/>
          <w:color w:val="auto"/>
          <w:sz w:val="18"/>
          <w:szCs w:val="18"/>
          <w:highlight w:val="none"/>
          <w:lang w:val="en-US" w:eastAsia="zh-CN"/>
        </w:rPr>
        <w:t>分</w:t>
      </w:r>
      <w:r>
        <w:rPr>
          <w:rFonts w:hint="eastAsia" w:ascii="宋体" w:hAnsi="宋体" w:eastAsia="宋体" w:cs="Times New Roman"/>
          <w:color w:val="auto"/>
          <w:sz w:val="18"/>
          <w:szCs w:val="18"/>
          <w:highlight w:val="none"/>
          <w:lang w:val="en-US" w:eastAsia="zh-CN"/>
        </w:rPr>
        <w:t>，</w:t>
      </w:r>
      <w:r>
        <w:rPr>
          <w:rFonts w:hint="eastAsia" w:ascii="宋体" w:hAnsi="宋体"/>
          <w:color w:val="auto"/>
          <w:sz w:val="18"/>
          <w:szCs w:val="18"/>
          <w:highlight w:val="none"/>
        </w:rPr>
        <w:t>“</w:t>
      </w:r>
      <w:r>
        <w:rPr>
          <w:rFonts w:hint="eastAsia" w:ascii="宋体" w:hAnsi="宋体"/>
          <w:color w:val="auto"/>
          <w:sz w:val="18"/>
          <w:szCs w:val="18"/>
          <w:highlight w:val="none"/>
          <w:lang w:eastAsia="zh-CN"/>
        </w:rPr>
        <w:t>差</w:t>
      </w:r>
      <w:r>
        <w:rPr>
          <w:rFonts w:hint="eastAsia" w:ascii="宋体" w:hAnsi="宋体"/>
          <w:color w:val="auto"/>
          <w:sz w:val="18"/>
          <w:szCs w:val="18"/>
          <w:highlight w:val="none"/>
        </w:rPr>
        <w:t>”为</w:t>
      </w:r>
      <w:r>
        <w:rPr>
          <w:rFonts w:hint="default" w:ascii="宋体" w:hAnsi="宋体"/>
          <w:color w:val="auto"/>
          <w:sz w:val="18"/>
          <w:szCs w:val="18"/>
          <w:highlight w:val="none"/>
          <w:lang w:val="en" w:eastAsia="zh-CN"/>
        </w:rPr>
        <w:t>70</w:t>
      </w:r>
      <w:r>
        <w:rPr>
          <w:rFonts w:hint="eastAsia" w:ascii="宋体" w:hAnsi="宋体"/>
          <w:color w:val="auto"/>
          <w:sz w:val="18"/>
          <w:szCs w:val="18"/>
          <w:highlight w:val="none"/>
        </w:rPr>
        <w:t>分</w:t>
      </w:r>
      <w:r>
        <w:rPr>
          <w:rFonts w:hint="eastAsia" w:ascii="宋体" w:hAnsi="宋体"/>
          <w:color w:val="auto"/>
          <w:sz w:val="18"/>
          <w:szCs w:val="18"/>
          <w:highlight w:val="none"/>
          <w:lang w:eastAsia="zh-CN"/>
        </w:rPr>
        <w:t>及</w:t>
      </w:r>
      <w:r>
        <w:rPr>
          <w:rFonts w:hint="eastAsia" w:ascii="宋体" w:hAnsi="宋体"/>
          <w:color w:val="auto"/>
          <w:sz w:val="18"/>
          <w:szCs w:val="18"/>
          <w:highlight w:val="none"/>
        </w:rPr>
        <w:t>以下。</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cs="Times New Roman"/>
          <w:bCs w:val="0"/>
          <w:color w:val="auto"/>
          <w:sz w:val="18"/>
          <w:szCs w:val="18"/>
          <w:highlight w:val="none"/>
          <w:lang w:val="zh-CN"/>
        </w:rPr>
      </w:pPr>
      <w:r>
        <w:rPr>
          <w:rFonts w:hint="eastAsia" w:ascii="汉仪书宋二S" w:hAnsi="汉仪书宋二S" w:eastAsia="汉仪书宋二S" w:cs="汉仪书宋二S"/>
          <w:color w:val="auto"/>
          <w:sz w:val="18"/>
          <w:szCs w:val="18"/>
          <w:highlight w:val="none"/>
          <w:lang w:val="zh-CN"/>
        </w:rPr>
        <w:t>③评分项食品安全、供货价格由物资与事务管理科进行日常登记，供货质量、配送时效、服务水平由物资与事务管理科及政务与应急保障科按职责共同进行日常登记。每月由物资与事务管理科组织召开月考核会议，</w:t>
      </w:r>
      <w:r>
        <w:rPr>
          <w:rFonts w:hint="eastAsia" w:ascii="宋体" w:hAnsi="宋体" w:eastAsia="宋体" w:cs="Times New Roman"/>
          <w:bCs w:val="0"/>
          <w:color w:val="auto"/>
          <w:sz w:val="18"/>
          <w:szCs w:val="18"/>
          <w:highlight w:val="none"/>
          <w:lang w:val="zh-CN"/>
        </w:rPr>
        <w:t>考评人员为</w:t>
      </w:r>
      <w:r>
        <w:rPr>
          <w:rFonts w:hint="eastAsia" w:ascii="宋体" w:hAnsi="宋体" w:cs="Times New Roman"/>
          <w:bCs w:val="0"/>
          <w:color w:val="auto"/>
          <w:sz w:val="18"/>
          <w:szCs w:val="18"/>
          <w:highlight w:val="none"/>
          <w:lang w:val="zh-CN"/>
        </w:rPr>
        <w:t>两个科室</w:t>
      </w:r>
      <w:r>
        <w:rPr>
          <w:rFonts w:hint="eastAsia" w:ascii="宋体" w:hAnsi="宋体" w:eastAsia="宋体" w:cs="Times New Roman"/>
          <w:bCs w:val="0"/>
          <w:color w:val="auto"/>
          <w:sz w:val="18"/>
          <w:szCs w:val="18"/>
          <w:highlight w:val="none"/>
          <w:lang w:val="zh-CN"/>
        </w:rPr>
        <w:t>分管科级干部、部门管理人员</w:t>
      </w:r>
      <w:r>
        <w:rPr>
          <w:rFonts w:hint="eastAsia" w:ascii="宋体" w:hAnsi="宋体" w:cs="Times New Roman"/>
          <w:bCs w:val="0"/>
          <w:color w:val="auto"/>
          <w:sz w:val="18"/>
          <w:szCs w:val="18"/>
          <w:highlight w:val="none"/>
          <w:lang w:val="zh-CN"/>
        </w:rPr>
        <w:t>及相关人员。</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color w:val="auto"/>
          <w:sz w:val="18"/>
          <w:szCs w:val="18"/>
          <w:highlight w:val="none"/>
        </w:rPr>
      </w:pPr>
      <w:r>
        <w:rPr>
          <w:rFonts w:hint="eastAsia" w:ascii="汉仪书宋二S" w:hAnsi="汉仪书宋二S" w:eastAsia="汉仪书宋二S" w:cs="汉仪书宋二S"/>
          <w:color w:val="auto"/>
          <w:kern w:val="2"/>
          <w:sz w:val="18"/>
          <w:szCs w:val="18"/>
          <w:highlight w:val="none"/>
          <w:lang w:val="zh-CN" w:eastAsia="zh-CN" w:bidi="ar-SA"/>
        </w:rPr>
        <w:t>④食品安全为一票否决考核，如当月发生食品安全事故或配送食材中明显有可能导致严重食品安全事故的，当月考核为“差”，如评分细则有两项评分为</w:t>
      </w:r>
      <w:r>
        <w:rPr>
          <w:rFonts w:hint="eastAsia" w:ascii="汉仪书宋二S" w:hAnsi="汉仪书宋二S" w:eastAsia="汉仪书宋二S" w:cs="汉仪书宋二S"/>
          <w:color w:val="auto"/>
          <w:kern w:val="2"/>
          <w:sz w:val="18"/>
          <w:szCs w:val="18"/>
          <w:highlight w:val="none"/>
          <w:lang w:val="en-US" w:eastAsia="zh-CN" w:bidi="ar-SA"/>
        </w:rPr>
        <w:t>0，当月考评等次只能评为“中”及以下</w:t>
      </w:r>
      <w:r>
        <w:rPr>
          <w:rFonts w:hint="eastAsia" w:ascii="汉仪书宋二S" w:hAnsi="汉仪书宋二S" w:eastAsia="汉仪书宋二S" w:cs="汉仪书宋二S"/>
          <w:color w:val="auto"/>
          <w:kern w:val="2"/>
          <w:sz w:val="18"/>
          <w:szCs w:val="18"/>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color w:val="auto"/>
          <w:sz w:val="18"/>
          <w:szCs w:val="18"/>
          <w:highlight w:val="none"/>
        </w:rPr>
      </w:pPr>
      <w:r>
        <w:rPr>
          <w:rFonts w:hint="eastAsia" w:ascii="宋体" w:hAnsi="宋体"/>
          <w:color w:val="auto"/>
          <w:sz w:val="18"/>
          <w:szCs w:val="18"/>
          <w:highlight w:val="none"/>
        </w:rPr>
        <w:t xml:space="preserve">考评单位：龙岗区机关后勤服务中心                         考评人（签名）：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color w:val="auto"/>
          <w:sz w:val="18"/>
          <w:szCs w:val="18"/>
          <w:highlight w:val="none"/>
        </w:rPr>
      </w:pPr>
      <w:r>
        <w:rPr>
          <w:rFonts w:hint="eastAsia" w:ascii="宋体" w:hAnsi="宋体"/>
          <w:color w:val="auto"/>
          <w:sz w:val="18"/>
          <w:szCs w:val="18"/>
          <w:highlight w:val="none"/>
          <w:lang w:val="en-US" w:eastAsia="zh-CN"/>
        </w:rPr>
        <w:t xml:space="preserve">供应商（签名）：                                          </w:t>
      </w:r>
      <w:r>
        <w:rPr>
          <w:rFonts w:hint="eastAsia" w:ascii="宋体" w:hAnsi="宋体"/>
          <w:color w:val="auto"/>
          <w:sz w:val="18"/>
          <w:szCs w:val="18"/>
          <w:highlight w:val="none"/>
        </w:rPr>
        <w:t>考评日期：</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宋体"/>
          <w:color w:val="auto"/>
          <w:sz w:val="18"/>
          <w:szCs w:val="18"/>
          <w:highlight w:val="none"/>
          <w:lang w:val="en-US"/>
        </w:rPr>
      </w:pPr>
    </w:p>
    <w:p>
      <w:pPr>
        <w:spacing w:line="260" w:lineRule="exact"/>
        <w:rPr>
          <w:rFonts w:hint="eastAsia"/>
          <w:color w:val="auto"/>
          <w:highlight w:val="none"/>
        </w:rPr>
      </w:pPr>
    </w:p>
    <w:p>
      <w:pPr>
        <w:spacing w:line="260" w:lineRule="exact"/>
        <w:rPr>
          <w:rFonts w:ascii="宋体"/>
          <w:color w:val="auto"/>
          <w:szCs w:val="21"/>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w:t>
      </w:r>
    </w:p>
    <w:p>
      <w:pPr>
        <w:spacing w:line="260" w:lineRule="exact"/>
        <w:jc w:val="center"/>
        <w:rPr>
          <w:rFonts w:hint="eastAsia"/>
          <w:color w:val="auto"/>
          <w:sz w:val="24"/>
          <w:highlight w:val="none"/>
        </w:rPr>
      </w:pPr>
    </w:p>
    <w:p>
      <w:pPr>
        <w:spacing w:line="260" w:lineRule="exact"/>
        <w:jc w:val="center"/>
        <w:rPr>
          <w:rFonts w:hint="eastAsia" w:ascii="宋体" w:hAnsi="宋体"/>
          <w:color w:val="auto"/>
          <w:sz w:val="24"/>
          <w:highlight w:val="none"/>
        </w:rPr>
      </w:pPr>
      <w:r>
        <w:rPr>
          <w:rFonts w:hint="eastAsia"/>
          <w:color w:val="auto"/>
          <w:sz w:val="24"/>
          <w:highlight w:val="none"/>
        </w:rPr>
        <w:t>龙岗区机关后勤服务中心</w:t>
      </w:r>
      <w:r>
        <w:rPr>
          <w:rFonts w:hint="eastAsia" w:ascii="宋体" w:hAnsi="宋体"/>
          <w:color w:val="auto"/>
          <w:sz w:val="24"/>
          <w:highlight w:val="none"/>
        </w:rPr>
        <w:t>供应商</w:t>
      </w:r>
      <w:r>
        <w:rPr>
          <w:rFonts w:hint="eastAsia"/>
          <w:color w:val="auto"/>
          <w:sz w:val="24"/>
          <w:highlight w:val="none"/>
          <w:u w:val="single"/>
          <w:lang w:val="en-US" w:eastAsia="zh-CN"/>
        </w:rPr>
        <w:t xml:space="preserve">       </w:t>
      </w:r>
      <w:r>
        <w:rPr>
          <w:rFonts w:hint="eastAsia" w:ascii="宋体" w:hAnsi="宋体"/>
          <w:color w:val="auto"/>
          <w:sz w:val="24"/>
          <w:highlight w:val="none"/>
          <w:u w:val="none"/>
        </w:rPr>
        <w:t>年</w:t>
      </w:r>
      <w:r>
        <w:rPr>
          <w:rFonts w:hint="eastAsia" w:ascii="宋体" w:hAnsi="宋体"/>
          <w:color w:val="auto"/>
          <w:sz w:val="24"/>
          <w:highlight w:val="none"/>
        </w:rPr>
        <w:t>度履约等次综合考评表</w:t>
      </w:r>
    </w:p>
    <w:p>
      <w:pPr>
        <w:pStyle w:val="9"/>
        <w:rPr>
          <w:sz w:val="21"/>
          <w:szCs w:val="21"/>
          <w:highlight w:val="none"/>
        </w:rPr>
      </w:pPr>
    </w:p>
    <w:tbl>
      <w:tblPr>
        <w:tblStyle w:val="10"/>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815"/>
        <w:gridCol w:w="1650"/>
        <w:gridCol w:w="1804"/>
        <w:gridCol w:w="176"/>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31" w:type="dxa"/>
            <w:noWrap w:val="0"/>
            <w:vAlign w:val="center"/>
          </w:tcPr>
          <w:p>
            <w:pPr>
              <w:spacing w:line="260" w:lineRule="exact"/>
              <w:jc w:val="center"/>
              <w:rPr>
                <w:color w:val="auto"/>
                <w:sz w:val="21"/>
                <w:szCs w:val="21"/>
                <w:highlight w:val="none"/>
              </w:rPr>
            </w:pPr>
            <w:r>
              <w:rPr>
                <w:rFonts w:hint="eastAsia"/>
                <w:color w:val="auto"/>
                <w:sz w:val="21"/>
                <w:szCs w:val="21"/>
                <w:highlight w:val="none"/>
              </w:rPr>
              <w:t>供应商名称</w:t>
            </w:r>
          </w:p>
        </w:tc>
        <w:tc>
          <w:tcPr>
            <w:tcW w:w="3465" w:type="dxa"/>
            <w:gridSpan w:val="2"/>
            <w:noWrap w:val="0"/>
            <w:vAlign w:val="center"/>
          </w:tcPr>
          <w:p>
            <w:pPr>
              <w:spacing w:line="260" w:lineRule="exact"/>
              <w:rPr>
                <w:color w:val="auto"/>
                <w:sz w:val="21"/>
                <w:szCs w:val="21"/>
                <w:highlight w:val="none"/>
              </w:rPr>
            </w:pPr>
          </w:p>
        </w:tc>
        <w:tc>
          <w:tcPr>
            <w:tcW w:w="1804" w:type="dxa"/>
            <w:noWrap w:val="0"/>
            <w:vAlign w:val="center"/>
          </w:tcPr>
          <w:p>
            <w:pPr>
              <w:spacing w:line="260" w:lineRule="exact"/>
              <w:jc w:val="center"/>
              <w:rPr>
                <w:color w:val="auto"/>
                <w:sz w:val="21"/>
                <w:szCs w:val="21"/>
                <w:highlight w:val="none"/>
              </w:rPr>
            </w:pPr>
            <w:r>
              <w:rPr>
                <w:rFonts w:hint="eastAsia"/>
                <w:color w:val="auto"/>
                <w:sz w:val="21"/>
                <w:szCs w:val="21"/>
                <w:highlight w:val="none"/>
              </w:rPr>
              <w:t>供应商</w:t>
            </w:r>
          </w:p>
          <w:p>
            <w:pPr>
              <w:spacing w:line="260" w:lineRule="exact"/>
              <w:jc w:val="center"/>
              <w:rPr>
                <w:color w:val="auto"/>
                <w:sz w:val="21"/>
                <w:szCs w:val="21"/>
                <w:highlight w:val="none"/>
              </w:rPr>
            </w:pPr>
            <w:r>
              <w:rPr>
                <w:rFonts w:hint="eastAsia"/>
                <w:color w:val="auto"/>
                <w:sz w:val="21"/>
                <w:szCs w:val="21"/>
                <w:highlight w:val="none"/>
              </w:rPr>
              <w:t>联系人及电话</w:t>
            </w:r>
          </w:p>
        </w:tc>
        <w:tc>
          <w:tcPr>
            <w:tcW w:w="2270" w:type="dxa"/>
            <w:gridSpan w:val="2"/>
            <w:noWrap w:val="0"/>
            <w:vAlign w:val="center"/>
          </w:tcPr>
          <w:p>
            <w:pPr>
              <w:spacing w:line="260" w:lineRule="exac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1" w:type="dxa"/>
            <w:noWrap w:val="0"/>
            <w:vAlign w:val="center"/>
          </w:tcPr>
          <w:p>
            <w:pPr>
              <w:spacing w:line="260" w:lineRule="exact"/>
              <w:jc w:val="center"/>
              <w:rPr>
                <w:color w:val="auto"/>
                <w:sz w:val="21"/>
                <w:szCs w:val="21"/>
                <w:highlight w:val="none"/>
              </w:rPr>
            </w:pPr>
            <w:r>
              <w:rPr>
                <w:rFonts w:hint="eastAsia"/>
                <w:color w:val="auto"/>
                <w:sz w:val="21"/>
                <w:szCs w:val="21"/>
                <w:highlight w:val="none"/>
              </w:rPr>
              <w:t>合同履约时间</w:t>
            </w:r>
          </w:p>
        </w:tc>
        <w:tc>
          <w:tcPr>
            <w:tcW w:w="3465" w:type="dxa"/>
            <w:gridSpan w:val="2"/>
            <w:noWrap w:val="0"/>
            <w:vAlign w:val="center"/>
          </w:tcPr>
          <w:p>
            <w:pPr>
              <w:spacing w:line="260" w:lineRule="exact"/>
              <w:rPr>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年</w:t>
            </w:r>
            <w:r>
              <w:rPr>
                <w:color w:val="auto"/>
                <w:sz w:val="21"/>
                <w:szCs w:val="21"/>
                <w:highlight w:val="none"/>
              </w:rPr>
              <w:t xml:space="preserve">  </w:t>
            </w:r>
            <w:r>
              <w:rPr>
                <w:rFonts w:hint="eastAsia"/>
                <w:color w:val="auto"/>
                <w:sz w:val="21"/>
                <w:szCs w:val="21"/>
                <w:highlight w:val="none"/>
              </w:rPr>
              <w:t>月</w:t>
            </w:r>
            <w:r>
              <w:rPr>
                <w:color w:val="auto"/>
                <w:sz w:val="21"/>
                <w:szCs w:val="21"/>
                <w:highlight w:val="none"/>
              </w:rPr>
              <w:t xml:space="preserve">  </w:t>
            </w:r>
            <w:r>
              <w:rPr>
                <w:rFonts w:hint="eastAsia"/>
                <w:color w:val="auto"/>
                <w:sz w:val="21"/>
                <w:szCs w:val="21"/>
                <w:highlight w:val="none"/>
              </w:rPr>
              <w:t>日至</w:t>
            </w: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年</w:t>
            </w:r>
            <w:r>
              <w:rPr>
                <w:color w:val="auto"/>
                <w:sz w:val="21"/>
                <w:szCs w:val="21"/>
                <w:highlight w:val="none"/>
              </w:rPr>
              <w:t xml:space="preserve">  </w:t>
            </w:r>
            <w:r>
              <w:rPr>
                <w:rFonts w:hint="eastAsia"/>
                <w:color w:val="auto"/>
                <w:sz w:val="21"/>
                <w:szCs w:val="21"/>
                <w:highlight w:val="none"/>
              </w:rPr>
              <w:t>月</w:t>
            </w:r>
            <w:r>
              <w:rPr>
                <w:color w:val="auto"/>
                <w:sz w:val="21"/>
                <w:szCs w:val="21"/>
                <w:highlight w:val="none"/>
              </w:rPr>
              <w:t xml:space="preserve">  </w:t>
            </w:r>
            <w:r>
              <w:rPr>
                <w:rFonts w:hint="eastAsia"/>
                <w:color w:val="auto"/>
                <w:sz w:val="21"/>
                <w:szCs w:val="21"/>
                <w:highlight w:val="none"/>
              </w:rPr>
              <w:t>日</w:t>
            </w:r>
          </w:p>
        </w:tc>
        <w:tc>
          <w:tcPr>
            <w:tcW w:w="1804" w:type="dxa"/>
            <w:noWrap w:val="0"/>
            <w:vAlign w:val="center"/>
          </w:tcPr>
          <w:p>
            <w:pPr>
              <w:spacing w:line="260" w:lineRule="exact"/>
              <w:jc w:val="center"/>
              <w:rPr>
                <w:color w:val="auto"/>
                <w:sz w:val="21"/>
                <w:szCs w:val="21"/>
                <w:highlight w:val="none"/>
              </w:rPr>
            </w:pPr>
            <w:r>
              <w:rPr>
                <w:rFonts w:hint="eastAsia"/>
                <w:color w:val="auto"/>
                <w:sz w:val="21"/>
                <w:szCs w:val="21"/>
                <w:highlight w:val="none"/>
              </w:rPr>
              <w:t>考评日期</w:t>
            </w:r>
          </w:p>
        </w:tc>
        <w:tc>
          <w:tcPr>
            <w:tcW w:w="2270" w:type="dxa"/>
            <w:gridSpan w:val="2"/>
            <w:noWrap w:val="0"/>
            <w:vAlign w:val="center"/>
          </w:tcPr>
          <w:p>
            <w:pPr>
              <w:spacing w:line="260" w:lineRule="exact"/>
              <w:jc w:val="center"/>
              <w:rPr>
                <w:color w:val="auto"/>
                <w:sz w:val="21"/>
                <w:szCs w:val="21"/>
                <w:highlight w:val="none"/>
              </w:rPr>
            </w:pPr>
            <w:r>
              <w:rPr>
                <w:rFonts w:hint="eastAsia"/>
                <w:color w:val="auto"/>
                <w:sz w:val="21"/>
                <w:szCs w:val="21"/>
                <w:highlight w:val="none"/>
              </w:rPr>
              <w:t>年</w:t>
            </w: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月</w:t>
            </w: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31" w:type="dxa"/>
            <w:vMerge w:val="restart"/>
            <w:noWrap w:val="0"/>
            <w:vAlign w:val="center"/>
          </w:tcPr>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每</w:t>
            </w:r>
          </w:p>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月</w:t>
            </w:r>
          </w:p>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考</w:t>
            </w:r>
          </w:p>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评</w:t>
            </w:r>
          </w:p>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情</w:t>
            </w:r>
          </w:p>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况</w:t>
            </w:r>
          </w:p>
          <w:p>
            <w:pPr>
              <w:spacing w:line="260" w:lineRule="exact"/>
              <w:jc w:val="center"/>
              <w:rPr>
                <w:rFonts w:hint="eastAsia"/>
                <w:color w:val="auto"/>
                <w:sz w:val="21"/>
                <w:szCs w:val="21"/>
                <w:highlight w:val="none"/>
                <w:lang w:eastAsia="zh-CN"/>
              </w:rPr>
            </w:pPr>
            <w:r>
              <w:rPr>
                <w:rFonts w:hint="eastAsia"/>
                <w:color w:val="auto"/>
                <w:sz w:val="21"/>
                <w:szCs w:val="21"/>
                <w:highlight w:val="none"/>
                <w:lang w:eastAsia="zh-CN"/>
              </w:rPr>
              <w:t>汇</w:t>
            </w:r>
          </w:p>
          <w:p>
            <w:pPr>
              <w:spacing w:line="260" w:lineRule="exact"/>
              <w:jc w:val="center"/>
              <w:rPr>
                <w:rFonts w:hint="eastAsia" w:eastAsia="宋体"/>
                <w:color w:val="auto"/>
                <w:sz w:val="21"/>
                <w:szCs w:val="21"/>
                <w:highlight w:val="none"/>
                <w:lang w:eastAsia="zh-CN"/>
              </w:rPr>
            </w:pPr>
            <w:r>
              <w:rPr>
                <w:rFonts w:hint="eastAsia"/>
                <w:color w:val="auto"/>
                <w:sz w:val="21"/>
                <w:szCs w:val="21"/>
                <w:highlight w:val="none"/>
                <w:lang w:eastAsia="zh-CN"/>
              </w:rPr>
              <w:t>总</w:t>
            </w:r>
          </w:p>
        </w:tc>
        <w:tc>
          <w:tcPr>
            <w:tcW w:w="3465" w:type="dxa"/>
            <w:gridSpan w:val="2"/>
            <w:noWrap w:val="0"/>
            <w:vAlign w:val="center"/>
          </w:tcPr>
          <w:p>
            <w:pPr>
              <w:spacing w:line="260" w:lineRule="exact"/>
              <w:ind w:firstLine="0" w:firstLineChars="0"/>
              <w:jc w:val="center"/>
              <w:rPr>
                <w:rFonts w:hint="eastAsia" w:eastAsia="宋体"/>
                <w:color w:val="auto"/>
                <w:sz w:val="21"/>
                <w:szCs w:val="21"/>
                <w:highlight w:val="none"/>
                <w:lang w:eastAsia="zh-CN"/>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color w:val="auto"/>
                <w:sz w:val="21"/>
                <w:szCs w:val="21"/>
                <w:highlight w:val="none"/>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31" w:type="dxa"/>
            <w:vMerge w:val="continue"/>
            <w:noWrap w:val="0"/>
            <w:vAlign w:val="center"/>
          </w:tcPr>
          <w:p>
            <w:pPr>
              <w:spacing w:line="260" w:lineRule="exact"/>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color w:val="auto"/>
                <w:sz w:val="21"/>
                <w:szCs w:val="21"/>
                <w:highlight w:val="none"/>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631" w:type="dxa"/>
            <w:vMerge w:val="continue"/>
            <w:noWrap w:val="0"/>
            <w:vAlign w:val="center"/>
          </w:tcPr>
          <w:p>
            <w:pPr>
              <w:spacing w:line="260" w:lineRule="exact"/>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color w:val="auto"/>
                <w:sz w:val="21"/>
                <w:szCs w:val="21"/>
                <w:highlight w:val="none"/>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color w:val="auto"/>
                <w:sz w:val="21"/>
                <w:szCs w:val="21"/>
                <w:highlight w:val="none"/>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u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u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color w:val="auto"/>
                <w:sz w:val="21"/>
                <w:szCs w:val="21"/>
                <w:highlight w:val="none"/>
                <w:u w:val="none"/>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rFonts w:hint="eastAsia"/>
                <w:color w:val="auto"/>
                <w:sz w:val="21"/>
                <w:szCs w:val="21"/>
                <w:highlight w:val="none"/>
                <w:u w:val="none"/>
                <w:lang w:val="en-US" w:eastAsia="zh-CN"/>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3465" w:type="dxa"/>
            <w:gridSpan w:val="2"/>
            <w:noWrap w:val="0"/>
            <w:vAlign w:val="center"/>
          </w:tcPr>
          <w:p>
            <w:pPr>
              <w:spacing w:line="260" w:lineRule="exact"/>
              <w:ind w:firstLine="0" w:firstLineChars="0"/>
              <w:jc w:val="center"/>
              <w:rPr>
                <w:rFonts w:hint="eastAsia"/>
                <w:color w:val="auto"/>
                <w:sz w:val="21"/>
                <w:szCs w:val="21"/>
                <w:highlight w:val="none"/>
                <w:u w:val="none"/>
                <w:lang w:val="en-US" w:eastAsia="zh-CN"/>
              </w:rPr>
            </w:pPr>
            <w:r>
              <w:rPr>
                <w:rFonts w:hint="eastAsia"/>
                <w:color w:val="auto"/>
                <w:sz w:val="21"/>
                <w:szCs w:val="21"/>
                <w:highlight w:val="none"/>
                <w:u w:val="single"/>
                <w:lang w:val="en-US" w:eastAsia="zh-CN"/>
              </w:rPr>
              <w:t xml:space="preserve">   </w:t>
            </w:r>
            <w:r>
              <w:rPr>
                <w:rFonts w:hint="default"/>
                <w:color w:val="auto"/>
                <w:sz w:val="21"/>
                <w:szCs w:val="21"/>
                <w:highlight w:val="none"/>
                <w:u w:val="single"/>
                <w:lang w:val="en" w:eastAsia="zh-CN"/>
              </w:rPr>
              <w:t xml:space="preserve">  </w:t>
            </w:r>
            <w:r>
              <w:rPr>
                <w:rFonts w:hint="eastAsia"/>
                <w:color w:val="auto"/>
                <w:sz w:val="21"/>
                <w:szCs w:val="21"/>
                <w:highlight w:val="none"/>
                <w:lang w:eastAsia="zh-CN"/>
              </w:rPr>
              <w:t>月考评结果</w:t>
            </w:r>
          </w:p>
        </w:tc>
        <w:tc>
          <w:tcPr>
            <w:tcW w:w="4074" w:type="dxa"/>
            <w:gridSpan w:val="3"/>
            <w:noWrap w:val="0"/>
            <w:vAlign w:val="center"/>
          </w:tcPr>
          <w:p>
            <w:pPr>
              <w:spacing w:line="260" w:lineRule="exact"/>
              <w:jc w:val="both"/>
              <w:rPr>
                <w:rFonts w:hint="default" w:eastAsia="宋体"/>
                <w:color w:val="auto"/>
                <w:sz w:val="21"/>
                <w:szCs w:val="21"/>
                <w:highlight w:val="none"/>
                <w:lang w:val="en-US" w:eastAsia="zh-CN"/>
              </w:rPr>
            </w:pPr>
            <w:r>
              <w:rPr>
                <w:rFonts w:hint="eastAsia" w:ascii="宋体" w:hAnsi="宋体"/>
                <w:color w:val="auto"/>
                <w:sz w:val="21"/>
                <w:szCs w:val="21"/>
                <w:highlight w:val="none"/>
                <w:lang w:val="zh-CN"/>
              </w:rPr>
              <w:t>□优</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□良</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val="zh-CN"/>
              </w:rPr>
              <w:t>□中</w:t>
            </w:r>
            <w:r>
              <w:rPr>
                <w:rFonts w:hint="eastAsia" w:ascii="宋体" w:hAnsi="宋体"/>
                <w:color w:val="auto"/>
                <w:sz w:val="21"/>
                <w:szCs w:val="21"/>
                <w:highlight w:val="none"/>
                <w:lang w:val="en-US" w:eastAsia="zh-CN"/>
              </w:rPr>
              <w:t xml:space="preserve">      </w:t>
            </w:r>
            <w:r>
              <w:rPr>
                <w:rFonts w:hint="eastAsia" w:ascii="宋体" w:hAnsi="宋体"/>
                <w:color w:val="000000" w:themeColor="text1"/>
                <w:sz w:val="21"/>
                <w:szCs w:val="21"/>
                <w:highlight w:val="none"/>
                <w:lang w:val="zh-CN"/>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631" w:type="dxa"/>
            <w:noWrap w:val="0"/>
            <w:vAlign w:val="center"/>
          </w:tcPr>
          <w:p>
            <w:pPr>
              <w:spacing w:line="260" w:lineRule="exact"/>
              <w:jc w:val="center"/>
              <w:rPr>
                <w:rFonts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诚信考核</w:t>
            </w:r>
          </w:p>
        </w:tc>
        <w:tc>
          <w:tcPr>
            <w:tcW w:w="7539" w:type="dxa"/>
            <w:gridSpan w:val="5"/>
            <w:noWrap w:val="0"/>
            <w:vAlign w:val="center"/>
          </w:tcPr>
          <w:p>
            <w:pPr>
              <w:spacing w:line="260" w:lineRule="exact"/>
              <w:rPr>
                <w:rFonts w:hint="eastAsia"/>
                <w:color w:val="auto"/>
                <w:sz w:val="21"/>
                <w:szCs w:val="21"/>
                <w:highlight w:val="none"/>
              </w:rPr>
            </w:pPr>
            <w:r>
              <w:rPr>
                <w:rFonts w:hint="eastAsia"/>
                <w:color w:val="auto"/>
                <w:sz w:val="21"/>
                <w:szCs w:val="21"/>
                <w:highlight w:val="none"/>
                <w:lang w:eastAsia="zh-CN"/>
              </w:rPr>
              <w:t>□政府采购或其他违规受过处罚</w:t>
            </w:r>
            <w:r>
              <w:rPr>
                <w:rFonts w:hint="eastAsia"/>
                <w:color w:val="auto"/>
                <w:sz w:val="21"/>
                <w:szCs w:val="21"/>
                <w:highlight w:val="none"/>
              </w:rPr>
              <w:t xml:space="preserve">    </w:t>
            </w:r>
          </w:p>
          <w:p>
            <w:pPr>
              <w:spacing w:line="260" w:lineRule="exact"/>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投标提供虚假资料</w:t>
            </w:r>
            <w:r>
              <w:rPr>
                <w:rFonts w:hint="eastAsia"/>
                <w:color w:val="auto"/>
                <w:sz w:val="21"/>
                <w:szCs w:val="21"/>
                <w:highlight w:val="none"/>
              </w:rPr>
              <w:t xml:space="preserve">    </w:t>
            </w:r>
          </w:p>
          <w:p>
            <w:pPr>
              <w:spacing w:line="260" w:lineRule="exact"/>
              <w:rPr>
                <w:rFonts w:hint="eastAsia"/>
                <w:color w:val="auto"/>
                <w:sz w:val="21"/>
                <w:szCs w:val="21"/>
                <w:highlight w:val="none"/>
                <w:lang w:val="en-US" w:eastAsia="zh-CN"/>
              </w:rPr>
            </w:pPr>
            <w:r>
              <w:rPr>
                <w:rFonts w:hint="eastAsia"/>
                <w:color w:val="auto"/>
                <w:sz w:val="21"/>
                <w:szCs w:val="21"/>
                <w:highlight w:val="none"/>
              </w:rPr>
              <w:t>□</w:t>
            </w:r>
            <w:r>
              <w:rPr>
                <w:rFonts w:hint="eastAsia"/>
                <w:color w:val="auto"/>
                <w:sz w:val="21"/>
                <w:szCs w:val="21"/>
                <w:highlight w:val="none"/>
                <w:lang w:eastAsia="zh-CN"/>
              </w:rPr>
              <w:t>列入失信名单</w:t>
            </w:r>
            <w:r>
              <w:rPr>
                <w:rFonts w:hint="eastAsia"/>
                <w:color w:val="auto"/>
                <w:sz w:val="21"/>
                <w:szCs w:val="21"/>
                <w:highlight w:val="none"/>
                <w:lang w:val="en-US" w:eastAsia="zh-CN"/>
              </w:rPr>
              <w:t xml:space="preserve">   </w:t>
            </w:r>
          </w:p>
          <w:p>
            <w:pPr>
              <w:spacing w:line="260" w:lineRule="exact"/>
              <w:rPr>
                <w:rFonts w:hint="eastAsia" w:ascii="Calibri" w:hAnsi="Calibri" w:eastAsia="宋体" w:cs="Times New Roman"/>
                <w:color w:val="auto"/>
                <w:kern w:val="2"/>
                <w:sz w:val="21"/>
                <w:szCs w:val="21"/>
                <w:highlight w:val="none"/>
                <w:lang w:val="en-US" w:eastAsia="zh-CN" w:bidi="ar-SA"/>
              </w:rPr>
            </w:pPr>
            <w:r>
              <w:rPr>
                <w:rFonts w:hint="eastAsia"/>
                <w:color w:val="auto"/>
                <w:sz w:val="21"/>
                <w:szCs w:val="21"/>
                <w:highlight w:val="none"/>
              </w:rPr>
              <w:t>□</w:t>
            </w:r>
            <w:r>
              <w:rPr>
                <w:rFonts w:hint="eastAsia"/>
                <w:color w:val="auto"/>
                <w:sz w:val="21"/>
                <w:szCs w:val="21"/>
                <w:highlight w:val="none"/>
                <w:lang w:eastAsia="zh-CN"/>
              </w:rPr>
              <w:t>纳入诚信不良记录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31" w:type="dxa"/>
            <w:vMerge w:val="restart"/>
            <w:noWrap w:val="0"/>
            <w:vAlign w:val="center"/>
          </w:tcPr>
          <w:p>
            <w:pPr>
              <w:spacing w:line="260" w:lineRule="exact"/>
              <w:jc w:val="center"/>
              <w:rPr>
                <w:color w:val="auto"/>
                <w:sz w:val="21"/>
                <w:szCs w:val="21"/>
                <w:highlight w:val="none"/>
              </w:rPr>
            </w:pPr>
            <w:r>
              <w:rPr>
                <w:rFonts w:hint="eastAsia"/>
                <w:color w:val="auto"/>
                <w:sz w:val="21"/>
                <w:szCs w:val="21"/>
                <w:highlight w:val="none"/>
              </w:rPr>
              <w:t>年度履约</w:t>
            </w:r>
          </w:p>
          <w:p>
            <w:pPr>
              <w:spacing w:line="260" w:lineRule="exact"/>
              <w:jc w:val="center"/>
              <w:rPr>
                <w:color w:val="auto"/>
                <w:sz w:val="21"/>
                <w:szCs w:val="21"/>
                <w:highlight w:val="none"/>
              </w:rPr>
            </w:pPr>
            <w:r>
              <w:rPr>
                <w:rFonts w:hint="eastAsia"/>
                <w:color w:val="auto"/>
                <w:sz w:val="21"/>
                <w:szCs w:val="21"/>
                <w:highlight w:val="none"/>
              </w:rPr>
              <w:t>综合考评等次</w:t>
            </w:r>
          </w:p>
          <w:p>
            <w:pPr>
              <w:pStyle w:val="9"/>
              <w:spacing w:after="0" w:line="260" w:lineRule="exact"/>
              <w:ind w:left="0" w:leftChars="0" w:firstLine="210" w:firstLineChars="100"/>
              <w:rPr>
                <w:color w:val="auto"/>
                <w:sz w:val="21"/>
                <w:szCs w:val="21"/>
                <w:highlight w:val="none"/>
              </w:rPr>
            </w:pPr>
          </w:p>
        </w:tc>
        <w:tc>
          <w:tcPr>
            <w:tcW w:w="1815" w:type="dxa"/>
            <w:noWrap w:val="0"/>
            <w:vAlign w:val="center"/>
          </w:tcPr>
          <w:p>
            <w:pPr>
              <w:spacing w:line="2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优</w:t>
            </w:r>
          </w:p>
        </w:tc>
        <w:tc>
          <w:tcPr>
            <w:tcW w:w="1650" w:type="dxa"/>
            <w:noWrap w:val="0"/>
            <w:vAlign w:val="center"/>
          </w:tcPr>
          <w:p>
            <w:pPr>
              <w:spacing w:line="260" w:lineRule="exact"/>
              <w:jc w:val="center"/>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eastAsia="zh-CN"/>
              </w:rPr>
              <w:t>良</w:t>
            </w:r>
          </w:p>
        </w:tc>
        <w:tc>
          <w:tcPr>
            <w:tcW w:w="1980" w:type="dxa"/>
            <w:gridSpan w:val="2"/>
            <w:noWrap w:val="0"/>
            <w:vAlign w:val="center"/>
          </w:tcPr>
          <w:p>
            <w:pPr>
              <w:spacing w:line="260" w:lineRule="exact"/>
              <w:jc w:val="center"/>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eastAsia="zh-CN"/>
              </w:rPr>
              <w:t>中</w:t>
            </w:r>
          </w:p>
        </w:tc>
        <w:tc>
          <w:tcPr>
            <w:tcW w:w="2094" w:type="dxa"/>
            <w:noWrap w:val="0"/>
            <w:vAlign w:val="center"/>
          </w:tcPr>
          <w:p>
            <w:pPr>
              <w:spacing w:line="260" w:lineRule="exact"/>
              <w:jc w:val="center"/>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1815" w:type="dxa"/>
            <w:noWrap w:val="0"/>
            <w:vAlign w:val="center"/>
          </w:tcPr>
          <w:p>
            <w:pPr>
              <w:spacing w:line="260" w:lineRule="exact"/>
              <w:jc w:val="center"/>
              <w:rPr>
                <w:color w:val="auto"/>
                <w:sz w:val="21"/>
                <w:szCs w:val="21"/>
                <w:highlight w:val="none"/>
              </w:rPr>
            </w:pPr>
          </w:p>
        </w:tc>
        <w:tc>
          <w:tcPr>
            <w:tcW w:w="1650" w:type="dxa"/>
            <w:noWrap w:val="0"/>
            <w:vAlign w:val="center"/>
          </w:tcPr>
          <w:p>
            <w:pPr>
              <w:spacing w:line="260" w:lineRule="exact"/>
              <w:jc w:val="center"/>
              <w:rPr>
                <w:color w:val="auto"/>
                <w:sz w:val="21"/>
                <w:szCs w:val="21"/>
                <w:highlight w:val="none"/>
              </w:rPr>
            </w:pPr>
          </w:p>
        </w:tc>
        <w:tc>
          <w:tcPr>
            <w:tcW w:w="1980" w:type="dxa"/>
            <w:gridSpan w:val="2"/>
            <w:noWrap w:val="0"/>
            <w:vAlign w:val="center"/>
          </w:tcPr>
          <w:p>
            <w:pPr>
              <w:spacing w:line="260" w:lineRule="exact"/>
              <w:jc w:val="center"/>
              <w:rPr>
                <w:color w:val="auto"/>
                <w:sz w:val="21"/>
                <w:szCs w:val="21"/>
                <w:highlight w:val="none"/>
              </w:rPr>
            </w:pPr>
          </w:p>
        </w:tc>
        <w:tc>
          <w:tcPr>
            <w:tcW w:w="2094" w:type="dxa"/>
            <w:noWrap w:val="0"/>
            <w:vAlign w:val="center"/>
          </w:tcPr>
          <w:p>
            <w:pPr>
              <w:spacing w:line="26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31" w:type="dxa"/>
            <w:vMerge w:val="restart"/>
            <w:noWrap w:val="0"/>
            <w:vAlign w:val="center"/>
          </w:tcPr>
          <w:p>
            <w:pPr>
              <w:spacing w:line="260" w:lineRule="exact"/>
              <w:jc w:val="center"/>
              <w:rPr>
                <w:color w:val="auto"/>
                <w:sz w:val="21"/>
                <w:szCs w:val="21"/>
                <w:highlight w:val="none"/>
              </w:rPr>
            </w:pPr>
            <w:r>
              <w:rPr>
                <w:rFonts w:hint="eastAsia"/>
                <w:color w:val="auto"/>
                <w:sz w:val="21"/>
                <w:szCs w:val="21"/>
                <w:highlight w:val="none"/>
              </w:rPr>
              <w:t>履约期亮点</w:t>
            </w:r>
          </w:p>
          <w:p>
            <w:pPr>
              <w:spacing w:line="260" w:lineRule="exact"/>
              <w:jc w:val="center"/>
              <w:rPr>
                <w:color w:val="auto"/>
                <w:sz w:val="21"/>
                <w:szCs w:val="21"/>
                <w:highlight w:val="none"/>
              </w:rPr>
            </w:pPr>
            <w:r>
              <w:rPr>
                <w:rFonts w:hint="eastAsia"/>
                <w:color w:val="auto"/>
                <w:sz w:val="21"/>
                <w:szCs w:val="21"/>
                <w:highlight w:val="none"/>
              </w:rPr>
              <w:t>及存在问题</w:t>
            </w:r>
          </w:p>
        </w:tc>
        <w:tc>
          <w:tcPr>
            <w:tcW w:w="1815" w:type="dxa"/>
            <w:noWrap w:val="0"/>
            <w:vAlign w:val="center"/>
          </w:tcPr>
          <w:p>
            <w:pPr>
              <w:spacing w:line="260" w:lineRule="exact"/>
              <w:jc w:val="center"/>
              <w:rPr>
                <w:color w:val="auto"/>
                <w:sz w:val="21"/>
                <w:szCs w:val="21"/>
                <w:highlight w:val="none"/>
              </w:rPr>
            </w:pPr>
            <w:r>
              <w:rPr>
                <w:rFonts w:hint="eastAsia"/>
                <w:color w:val="auto"/>
                <w:sz w:val="21"/>
                <w:szCs w:val="21"/>
                <w:highlight w:val="none"/>
              </w:rPr>
              <w:t>主要表现</w:t>
            </w:r>
          </w:p>
        </w:tc>
        <w:tc>
          <w:tcPr>
            <w:tcW w:w="5724" w:type="dxa"/>
            <w:gridSpan w:val="4"/>
            <w:noWrap w:val="0"/>
            <w:vAlign w:val="center"/>
          </w:tcPr>
          <w:p>
            <w:pPr>
              <w:spacing w:line="26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31" w:type="dxa"/>
            <w:vMerge w:val="continue"/>
            <w:noWrap w:val="0"/>
            <w:vAlign w:val="center"/>
          </w:tcPr>
          <w:p>
            <w:pPr>
              <w:spacing w:line="260" w:lineRule="exact"/>
              <w:jc w:val="center"/>
              <w:rPr>
                <w:color w:val="auto"/>
                <w:sz w:val="21"/>
                <w:szCs w:val="21"/>
                <w:highlight w:val="none"/>
              </w:rPr>
            </w:pPr>
          </w:p>
        </w:tc>
        <w:tc>
          <w:tcPr>
            <w:tcW w:w="1815" w:type="dxa"/>
            <w:noWrap w:val="0"/>
            <w:vAlign w:val="center"/>
          </w:tcPr>
          <w:p>
            <w:pPr>
              <w:spacing w:line="260" w:lineRule="exact"/>
              <w:jc w:val="center"/>
              <w:rPr>
                <w:color w:val="auto"/>
                <w:sz w:val="21"/>
                <w:szCs w:val="21"/>
                <w:highlight w:val="none"/>
              </w:rPr>
            </w:pPr>
            <w:r>
              <w:rPr>
                <w:rFonts w:hint="eastAsia"/>
                <w:color w:val="auto"/>
                <w:sz w:val="21"/>
                <w:szCs w:val="21"/>
                <w:highlight w:val="none"/>
              </w:rPr>
              <w:t>存在哪些问题</w:t>
            </w:r>
          </w:p>
        </w:tc>
        <w:tc>
          <w:tcPr>
            <w:tcW w:w="5724" w:type="dxa"/>
            <w:gridSpan w:val="4"/>
            <w:noWrap w:val="0"/>
            <w:vAlign w:val="center"/>
          </w:tcPr>
          <w:p>
            <w:pPr>
              <w:spacing w:line="260" w:lineRule="exact"/>
              <w:jc w:val="center"/>
              <w:rPr>
                <w:color w:val="auto"/>
                <w:sz w:val="21"/>
                <w:szCs w:val="21"/>
                <w:highlight w:val="none"/>
              </w:rPr>
            </w:pPr>
          </w:p>
        </w:tc>
      </w:tr>
    </w:tbl>
    <w:p>
      <w:pPr>
        <w:pStyle w:val="9"/>
        <w:spacing w:after="0" w:line="260" w:lineRule="exact"/>
        <w:ind w:left="0" w:leftChars="0"/>
        <w:rPr>
          <w:rFonts w:ascii="宋体" w:hAnsi="宋体"/>
          <w:color w:val="auto"/>
          <w:sz w:val="21"/>
          <w:szCs w:val="21"/>
          <w:highlight w:val="none"/>
        </w:rPr>
      </w:pPr>
      <w:r>
        <w:rPr>
          <w:rFonts w:hint="eastAsia" w:ascii="宋体" w:hAnsi="宋体"/>
          <w:color w:val="auto"/>
          <w:sz w:val="21"/>
          <w:szCs w:val="21"/>
          <w:highlight w:val="none"/>
        </w:rPr>
        <w:t>考评说明：</w:t>
      </w:r>
    </w:p>
    <w:p>
      <w:pPr>
        <w:pStyle w:val="9"/>
        <w:spacing w:after="0" w:line="260" w:lineRule="exact"/>
        <w:ind w:left="0" w:leftChars="0"/>
        <w:rPr>
          <w:rFonts w:ascii="宋体" w:hAnsi="宋体"/>
          <w:color w:val="auto"/>
          <w:sz w:val="21"/>
          <w:szCs w:val="21"/>
          <w:highlight w:val="none"/>
        </w:rPr>
      </w:pPr>
      <w:r>
        <w:rPr>
          <w:rFonts w:hint="eastAsia" w:ascii="宋体" w:hAnsi="宋体"/>
          <w:color w:val="auto"/>
          <w:sz w:val="21"/>
          <w:szCs w:val="21"/>
          <w:highlight w:val="none"/>
        </w:rPr>
        <w:t>①在“综合</w:t>
      </w:r>
      <w:r>
        <w:rPr>
          <w:rFonts w:hint="eastAsia" w:ascii="宋体" w:hAnsi="宋体"/>
          <w:color w:val="auto"/>
          <w:sz w:val="21"/>
          <w:szCs w:val="21"/>
          <w:highlight w:val="none"/>
          <w:lang w:val="zh-CN"/>
        </w:rPr>
        <w:t>考评</w:t>
      </w:r>
      <w:r>
        <w:rPr>
          <w:rFonts w:hint="eastAsia" w:ascii="宋体" w:hAnsi="宋体"/>
          <w:color w:val="auto"/>
          <w:sz w:val="21"/>
          <w:szCs w:val="21"/>
          <w:highlight w:val="none"/>
        </w:rPr>
        <w:t>等次”中的“优”“</w:t>
      </w:r>
      <w:r>
        <w:rPr>
          <w:rFonts w:hint="eastAsia" w:ascii="宋体" w:hAnsi="宋体"/>
          <w:color w:val="auto"/>
          <w:sz w:val="21"/>
          <w:szCs w:val="21"/>
          <w:highlight w:val="none"/>
          <w:lang w:eastAsia="zh-CN"/>
        </w:rPr>
        <w:t>良</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中</w:t>
      </w:r>
      <w:r>
        <w:rPr>
          <w:rFonts w:hint="eastAsia" w:ascii="宋体" w:hAnsi="宋体"/>
          <w:color w:val="auto"/>
          <w:sz w:val="21"/>
          <w:szCs w:val="21"/>
          <w:highlight w:val="none"/>
        </w:rPr>
        <w:t>”</w:t>
      </w:r>
      <w:r>
        <w:rPr>
          <w:rFonts w:hint="eastAsia" w:ascii="宋体" w:hAnsi="宋体"/>
          <w:color w:val="auto"/>
          <w:sz w:val="21"/>
          <w:szCs w:val="21"/>
          <w:highlight w:val="none"/>
          <w:lang w:eastAsia="zh-CN"/>
        </w:rPr>
        <w:t>“差”四</w:t>
      </w:r>
      <w:r>
        <w:rPr>
          <w:rFonts w:hint="eastAsia" w:ascii="宋体" w:hAnsi="宋体"/>
          <w:color w:val="auto"/>
          <w:sz w:val="21"/>
          <w:szCs w:val="21"/>
          <w:highlight w:val="none"/>
        </w:rPr>
        <w:t>个等次，只能选其中一</w:t>
      </w:r>
      <w:r>
        <w:rPr>
          <w:rFonts w:hint="eastAsia" w:ascii="宋体" w:hAnsi="宋体"/>
          <w:color w:val="auto"/>
          <w:sz w:val="21"/>
          <w:szCs w:val="21"/>
          <w:highlight w:val="none"/>
          <w:lang w:val="zh-CN"/>
        </w:rPr>
        <w:t>个等次，并在方格内画“</w:t>
      </w:r>
      <w:r>
        <w:rPr>
          <w:rFonts w:hint="eastAsia" w:ascii="宋体" w:hAnsi="宋体" w:eastAsia="宋体" w:cs="宋体"/>
          <w:color w:val="auto"/>
          <w:sz w:val="21"/>
          <w:szCs w:val="21"/>
          <w:lang w:eastAsia="zh-CN"/>
        </w:rPr>
        <w:t>√</w:t>
      </w:r>
      <w:r>
        <w:rPr>
          <w:rFonts w:hint="eastAsia" w:ascii="宋体" w:hAnsi="宋体"/>
          <w:color w:val="auto"/>
          <w:sz w:val="21"/>
          <w:szCs w:val="21"/>
          <w:highlight w:val="none"/>
          <w:lang w:val="zh-CN"/>
        </w:rPr>
        <w:t>”，多选无效。</w:t>
      </w:r>
    </w:p>
    <w:p>
      <w:pPr>
        <w:pStyle w:val="9"/>
        <w:spacing w:after="0" w:line="260" w:lineRule="exact"/>
        <w:ind w:left="0" w:leftChars="0"/>
        <w:rPr>
          <w:rFonts w:hint="eastAsia" w:ascii="宋体" w:hAnsi="宋体" w:eastAsiaTheme="minorEastAsia"/>
          <w:color w:val="auto"/>
          <w:sz w:val="21"/>
          <w:szCs w:val="21"/>
          <w:highlight w:val="none"/>
          <w:lang w:eastAsia="zh-CN"/>
        </w:rPr>
      </w:pPr>
      <w:r>
        <w:rPr>
          <w:rFonts w:hint="eastAsia" w:ascii="汉仪书宋二S" w:hAnsi="汉仪书宋二S" w:eastAsia="汉仪书宋二S" w:cs="汉仪书宋二S"/>
          <w:color w:val="auto"/>
          <w:sz w:val="21"/>
          <w:szCs w:val="21"/>
          <w:highlight w:val="none"/>
        </w:rPr>
        <w:t>②</w:t>
      </w:r>
      <w:r>
        <w:rPr>
          <w:rFonts w:hint="eastAsia" w:ascii="宋体" w:hAnsi="宋体"/>
          <w:color w:val="auto"/>
          <w:sz w:val="21"/>
          <w:szCs w:val="21"/>
          <w:highlight w:val="none"/>
        </w:rPr>
        <w:t>年度</w:t>
      </w:r>
      <w:r>
        <w:rPr>
          <w:rFonts w:hint="eastAsia" w:ascii="宋体" w:hAnsi="宋体"/>
          <w:color w:val="auto"/>
          <w:sz w:val="21"/>
          <w:szCs w:val="21"/>
          <w:highlight w:val="none"/>
          <w:lang w:eastAsia="zh-CN"/>
        </w:rPr>
        <w:t>履约综合</w:t>
      </w:r>
      <w:r>
        <w:rPr>
          <w:rFonts w:hint="eastAsia" w:ascii="宋体" w:hAnsi="宋体"/>
          <w:color w:val="auto"/>
          <w:sz w:val="21"/>
          <w:szCs w:val="21"/>
          <w:highlight w:val="none"/>
        </w:rPr>
        <w:t>考评等次为“优”，必须在“每月考评情况”中获7个月（含）以上“优”，其余为“</w:t>
      </w:r>
      <w:r>
        <w:rPr>
          <w:rFonts w:hint="eastAsia" w:ascii="宋体" w:hAnsi="宋体"/>
          <w:color w:val="auto"/>
          <w:sz w:val="21"/>
          <w:szCs w:val="21"/>
          <w:highlight w:val="none"/>
          <w:lang w:eastAsia="zh-CN"/>
        </w:rPr>
        <w:t>良</w:t>
      </w:r>
      <w:r>
        <w:rPr>
          <w:rFonts w:hint="eastAsia" w:ascii="宋体" w:hAnsi="宋体"/>
          <w:color w:val="auto"/>
          <w:sz w:val="21"/>
          <w:szCs w:val="21"/>
          <w:highlight w:val="none"/>
        </w:rPr>
        <w:t>”；年度考评等次为“</w:t>
      </w:r>
      <w:r>
        <w:rPr>
          <w:rFonts w:hint="eastAsia" w:ascii="宋体" w:hAnsi="宋体"/>
          <w:color w:val="auto"/>
          <w:sz w:val="21"/>
          <w:szCs w:val="21"/>
          <w:highlight w:val="none"/>
          <w:lang w:eastAsia="zh-CN"/>
        </w:rPr>
        <w:t>良</w:t>
      </w:r>
      <w:r>
        <w:rPr>
          <w:rFonts w:hint="eastAsia" w:ascii="宋体" w:hAnsi="宋体"/>
          <w:color w:val="auto"/>
          <w:sz w:val="21"/>
          <w:szCs w:val="21"/>
          <w:highlight w:val="none"/>
        </w:rPr>
        <w:t>”，必须在“每月考评情况”中获7个月</w:t>
      </w:r>
      <w:r>
        <w:rPr>
          <w:rFonts w:hint="eastAsia" w:ascii="宋体" w:hAnsi="宋体"/>
          <w:color w:val="auto"/>
          <w:sz w:val="21"/>
          <w:szCs w:val="21"/>
          <w:highlight w:val="none"/>
          <w:lang w:eastAsia="zh-CN"/>
        </w:rPr>
        <w:t>（含）</w:t>
      </w:r>
      <w:r>
        <w:rPr>
          <w:rFonts w:hint="eastAsia" w:ascii="宋体" w:hAnsi="宋体"/>
          <w:color w:val="auto"/>
          <w:sz w:val="21"/>
          <w:szCs w:val="21"/>
          <w:highlight w:val="none"/>
        </w:rPr>
        <w:t>以上“</w:t>
      </w:r>
      <w:r>
        <w:rPr>
          <w:rFonts w:hint="eastAsia" w:ascii="宋体" w:hAnsi="宋体"/>
          <w:color w:val="auto"/>
          <w:sz w:val="21"/>
          <w:szCs w:val="21"/>
          <w:highlight w:val="none"/>
          <w:lang w:eastAsia="zh-CN"/>
        </w:rPr>
        <w:t>良</w:t>
      </w:r>
      <w:r>
        <w:rPr>
          <w:rFonts w:hint="eastAsia" w:ascii="宋体" w:hAnsi="宋体"/>
          <w:color w:val="auto"/>
          <w:sz w:val="21"/>
          <w:szCs w:val="21"/>
          <w:highlight w:val="none"/>
        </w:rPr>
        <w:t>”</w:t>
      </w:r>
      <w:r>
        <w:rPr>
          <w:rFonts w:hint="eastAsia" w:ascii="宋体" w:hAnsi="宋体"/>
          <w:color w:val="auto"/>
          <w:sz w:val="21"/>
          <w:szCs w:val="21"/>
          <w:highlight w:val="none"/>
          <w:lang w:eastAsia="zh-CN"/>
        </w:rPr>
        <w:t>或“优”</w:t>
      </w:r>
      <w:r>
        <w:rPr>
          <w:rFonts w:hint="eastAsia" w:ascii="宋体" w:hAnsi="宋体"/>
          <w:color w:val="auto"/>
          <w:sz w:val="21"/>
          <w:szCs w:val="21"/>
          <w:highlight w:val="none"/>
        </w:rPr>
        <w:t>，最多1个月“</w:t>
      </w:r>
      <w:r>
        <w:rPr>
          <w:rFonts w:hint="eastAsia" w:ascii="宋体" w:hAnsi="宋体"/>
          <w:color w:val="auto"/>
          <w:sz w:val="21"/>
          <w:szCs w:val="21"/>
          <w:highlight w:val="none"/>
          <w:lang w:eastAsia="zh-CN"/>
        </w:rPr>
        <w:t>差</w:t>
      </w:r>
      <w:r>
        <w:rPr>
          <w:rFonts w:hint="eastAsia" w:ascii="宋体" w:hAnsi="宋体"/>
          <w:color w:val="auto"/>
          <w:sz w:val="21"/>
          <w:szCs w:val="21"/>
          <w:highlight w:val="none"/>
        </w:rPr>
        <w:t>”；年度考评等次为“</w:t>
      </w:r>
      <w:r>
        <w:rPr>
          <w:rFonts w:hint="eastAsia" w:ascii="宋体" w:hAnsi="宋体"/>
          <w:color w:val="auto"/>
          <w:sz w:val="21"/>
          <w:szCs w:val="21"/>
          <w:highlight w:val="none"/>
          <w:lang w:eastAsia="zh-CN"/>
        </w:rPr>
        <w:t>中</w:t>
      </w:r>
      <w:r>
        <w:rPr>
          <w:rFonts w:hint="eastAsia" w:ascii="宋体" w:hAnsi="宋体"/>
          <w:color w:val="auto"/>
          <w:sz w:val="21"/>
          <w:szCs w:val="21"/>
          <w:highlight w:val="none"/>
        </w:rPr>
        <w:t>”，必须在“每月考评情况”中</w:t>
      </w:r>
      <w:r>
        <w:rPr>
          <w:rFonts w:hint="eastAsia" w:ascii="宋体" w:hAnsi="宋体"/>
          <w:color w:val="auto"/>
          <w:sz w:val="21"/>
          <w:szCs w:val="21"/>
          <w:highlight w:val="none"/>
          <w:lang w:eastAsia="zh-CN"/>
        </w:rPr>
        <w:t>获</w:t>
      </w:r>
      <w:r>
        <w:rPr>
          <w:rFonts w:hint="eastAsia" w:ascii="宋体" w:hAnsi="宋体"/>
          <w:color w:val="auto"/>
          <w:sz w:val="21"/>
          <w:szCs w:val="21"/>
          <w:highlight w:val="none"/>
          <w:lang w:val="en-US" w:eastAsia="zh-CN"/>
        </w:rPr>
        <w:t>6个月（含）以上“中”</w:t>
      </w:r>
      <w:r>
        <w:rPr>
          <w:rFonts w:hint="default" w:ascii="宋体" w:hAnsi="宋体"/>
          <w:color w:val="auto"/>
          <w:sz w:val="21"/>
          <w:szCs w:val="21"/>
          <w:highlight w:val="none"/>
          <w:lang w:val="en"/>
        </w:rPr>
        <w:t>,</w:t>
      </w:r>
      <w:r>
        <w:rPr>
          <w:rFonts w:hint="eastAsia" w:ascii="宋体" w:hAnsi="宋体"/>
          <w:color w:val="auto"/>
          <w:sz w:val="21"/>
          <w:szCs w:val="21"/>
          <w:highlight w:val="none"/>
        </w:rPr>
        <w:t>最多1个月“</w:t>
      </w:r>
      <w:r>
        <w:rPr>
          <w:rFonts w:hint="eastAsia" w:ascii="宋体" w:hAnsi="宋体"/>
          <w:color w:val="auto"/>
          <w:sz w:val="21"/>
          <w:szCs w:val="21"/>
          <w:highlight w:val="none"/>
          <w:lang w:eastAsia="zh-CN"/>
        </w:rPr>
        <w:t>差</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宋体" w:hAnsi="宋体"/>
          <w:color w:val="auto"/>
          <w:sz w:val="21"/>
          <w:szCs w:val="21"/>
          <w:highlight w:val="none"/>
        </w:rPr>
        <w:t>年度考评等次为“</w:t>
      </w:r>
      <w:r>
        <w:rPr>
          <w:rFonts w:hint="eastAsia" w:ascii="宋体" w:hAnsi="宋体"/>
          <w:color w:val="auto"/>
          <w:sz w:val="21"/>
          <w:szCs w:val="21"/>
          <w:highlight w:val="none"/>
          <w:lang w:eastAsia="zh-CN"/>
        </w:rPr>
        <w:t>差</w:t>
      </w:r>
      <w:r>
        <w:rPr>
          <w:rFonts w:hint="eastAsia" w:ascii="宋体" w:hAnsi="宋体"/>
          <w:color w:val="auto"/>
          <w:sz w:val="21"/>
          <w:szCs w:val="21"/>
          <w:highlight w:val="none"/>
        </w:rPr>
        <w:t>”，必须在“每月考评情况”中有</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个月（含）以上“</w:t>
      </w:r>
      <w:r>
        <w:rPr>
          <w:rFonts w:hint="eastAsia" w:ascii="宋体" w:hAnsi="宋体"/>
          <w:color w:val="auto"/>
          <w:sz w:val="21"/>
          <w:szCs w:val="21"/>
          <w:highlight w:val="none"/>
          <w:lang w:eastAsia="zh-CN"/>
        </w:rPr>
        <w:t>差</w:t>
      </w:r>
      <w:r>
        <w:rPr>
          <w:rFonts w:hint="eastAsia" w:ascii="宋体" w:hAnsi="宋体"/>
          <w:color w:val="auto"/>
          <w:sz w:val="21"/>
          <w:szCs w:val="21"/>
          <w:highlight w:val="none"/>
        </w:rPr>
        <w:t>”。</w:t>
      </w:r>
    </w:p>
    <w:p>
      <w:pPr>
        <w:pStyle w:val="9"/>
        <w:spacing w:after="0" w:line="260" w:lineRule="exact"/>
        <w:ind w:left="0" w:leftChars="0"/>
        <w:rPr>
          <w:rFonts w:hint="eastAsia" w:ascii="宋体" w:hAnsi="宋体"/>
          <w:color w:val="auto"/>
          <w:sz w:val="21"/>
          <w:szCs w:val="21"/>
          <w:highlight w:val="none"/>
        </w:rPr>
      </w:pPr>
      <w:r>
        <w:rPr>
          <w:rFonts w:hint="default" w:ascii="宋体" w:hAnsi="宋体"/>
          <w:color w:val="auto"/>
          <w:sz w:val="21"/>
          <w:szCs w:val="21"/>
          <w:highlight w:val="none"/>
        </w:rPr>
        <w:t>③</w:t>
      </w:r>
      <w:r>
        <w:rPr>
          <w:rFonts w:hint="eastAsia" w:ascii="宋体" w:hAnsi="宋体"/>
          <w:color w:val="auto"/>
          <w:sz w:val="21"/>
          <w:szCs w:val="21"/>
          <w:highlight w:val="none"/>
          <w:lang w:eastAsia="zh-CN"/>
        </w:rPr>
        <w:t>诚信考核为一票否决考核，如存在诚信考核问题，年度评价为差。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考</w:t>
      </w:r>
      <w:r>
        <w:rPr>
          <w:rFonts w:hint="eastAsia"/>
          <w:color w:val="auto"/>
          <w:sz w:val="21"/>
          <w:szCs w:val="21"/>
          <w:highlight w:val="none"/>
        </w:rPr>
        <w:t>评单位</w:t>
      </w:r>
      <w:r>
        <w:rPr>
          <w:rFonts w:hint="eastAsia" w:ascii="宋体" w:hAnsi="宋体"/>
          <w:color w:val="auto"/>
          <w:sz w:val="21"/>
          <w:szCs w:val="21"/>
          <w:highlight w:val="none"/>
        </w:rPr>
        <w:t>：龙岗区机关后勤服务中心</w:t>
      </w:r>
      <w:r>
        <w:rPr>
          <w:rFonts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供应商（签名）：</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考评人（签名）：</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考</w:t>
      </w:r>
      <w:r>
        <w:rPr>
          <w:rFonts w:hint="eastAsia"/>
          <w:color w:val="auto"/>
          <w:sz w:val="21"/>
          <w:szCs w:val="21"/>
          <w:highlight w:val="none"/>
        </w:rPr>
        <w:t>评</w:t>
      </w:r>
      <w:r>
        <w:rPr>
          <w:rFonts w:hint="eastAsia" w:ascii="宋体" w:hAnsi="宋体"/>
          <w:color w:val="auto"/>
          <w:sz w:val="21"/>
          <w:szCs w:val="21"/>
          <w:highlight w:val="none"/>
        </w:rPr>
        <w:t>日期：</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Cs w:val="21"/>
        </w:rPr>
      </w:pPr>
    </w:p>
    <w:sectPr>
      <w:footerReference r:id="rId5" w:type="first"/>
      <w:headerReference r:id="rId3" w:type="default"/>
      <w:footerReference r:id="rId4" w:type="default"/>
      <w:pgSz w:w="11906" w:h="16838"/>
      <w:pgMar w:top="794" w:right="1417" w:bottom="1134" w:left="21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书宋二S">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060" w:firstLineChars="17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2</w:t>
                          </w:r>
                          <w:r>
                            <w:rPr>
                              <w:u w:val="none"/>
                            </w:rPr>
                            <w:fldChar w:fldCharType="end"/>
                          </w:r>
                          <w:r>
                            <w:rPr>
                              <w:u w:val="none"/>
                            </w:rPr>
                            <w:t xml:space="preserve"> 页 共</w:t>
                          </w:r>
                          <w:r>
                            <w:rPr>
                              <w:rFonts w:hint="eastAsia"/>
                              <w:u w:val="none"/>
                              <w:lang w:val="en-US" w:eastAsia="zh-CN"/>
                            </w:rPr>
                            <w:t>5</w:t>
                          </w:r>
                          <w:r>
                            <w:rPr>
                              <w:u w:val="none"/>
                            </w:rPr>
                            <w:t xml:space="preserve"> 页</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uGuHmOcBAADHAwAADgAAAAAAAAABACAAAAA0AQAAZHJzL2Uyb0RvYy54bWxQ&#10;SwUGAAAAAAYABgBZAQAAjQUAAAAA&#10;">
              <v:fill on="f" focussize="0,0"/>
              <v:stroke on="f"/>
              <v:imagedata o:title=""/>
              <o:lock v:ext="edit" aspectratio="f"/>
              <v:textbox inset="0mm,0mm,0mm,0mm" style="mso-fit-shape-to-text:t;">
                <w:txbxContent>
                  <w:p>
                    <w:pPr>
                      <w:pStyle w:val="7"/>
                      <w:rPr>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2</w:t>
                    </w:r>
                    <w:r>
                      <w:rPr>
                        <w:u w:val="none"/>
                      </w:rPr>
                      <w:fldChar w:fldCharType="end"/>
                    </w:r>
                    <w:r>
                      <w:rPr>
                        <w:u w:val="none"/>
                      </w:rPr>
                      <w:t xml:space="preserve"> 页 共</w:t>
                    </w:r>
                    <w:r>
                      <w:rPr>
                        <w:rFonts w:hint="eastAsia"/>
                        <w:u w:val="none"/>
                        <w:lang w:val="en-US" w:eastAsia="zh-CN"/>
                      </w:rPr>
                      <w:t>5</w:t>
                    </w:r>
                    <w:r>
                      <w:rPr>
                        <w:u w:val="none"/>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peKi7ucBAADHAwAADgAAAAAAAAABACAAAAA0AQAAZHJzL2Uyb0RvYy54bWxQ&#10;SwUGAAAAAAYABgBZAQAAjQ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31422" o:spid="_x0000_s4097" o:spt="136" type="#_x0000_t136" style="position:absolute;left:0pt;height:67.8pt;width:519.4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龙岗区机关事务管理局"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1ADE"/>
    <w:rsid w:val="000A058D"/>
    <w:rsid w:val="00961E97"/>
    <w:rsid w:val="00AF470D"/>
    <w:rsid w:val="01F80A87"/>
    <w:rsid w:val="04000E6F"/>
    <w:rsid w:val="04652D78"/>
    <w:rsid w:val="09FBA738"/>
    <w:rsid w:val="0ABC4EC8"/>
    <w:rsid w:val="0AF87EA6"/>
    <w:rsid w:val="0BFF0A15"/>
    <w:rsid w:val="0F42413B"/>
    <w:rsid w:val="0FB2F94F"/>
    <w:rsid w:val="0FDA350E"/>
    <w:rsid w:val="117D44A9"/>
    <w:rsid w:val="13FEEF30"/>
    <w:rsid w:val="146393A7"/>
    <w:rsid w:val="17FF5FE9"/>
    <w:rsid w:val="18B3A4D8"/>
    <w:rsid w:val="19C2489A"/>
    <w:rsid w:val="1A4C9155"/>
    <w:rsid w:val="1AFFE1B1"/>
    <w:rsid w:val="1CD8F487"/>
    <w:rsid w:val="1D3F1299"/>
    <w:rsid w:val="1D75240D"/>
    <w:rsid w:val="1DB3E87E"/>
    <w:rsid w:val="1DBEE0F3"/>
    <w:rsid w:val="1DCF3ABE"/>
    <w:rsid w:val="1DEC712B"/>
    <w:rsid w:val="1E57E5E7"/>
    <w:rsid w:val="1EF36592"/>
    <w:rsid w:val="1EF94693"/>
    <w:rsid w:val="1F3F4480"/>
    <w:rsid w:val="1F5E5A4D"/>
    <w:rsid w:val="1F734D0E"/>
    <w:rsid w:val="1F7B1748"/>
    <w:rsid w:val="1FDB7839"/>
    <w:rsid w:val="1FECFD8D"/>
    <w:rsid w:val="1FEDAD57"/>
    <w:rsid w:val="1FFB3141"/>
    <w:rsid w:val="1FFB9355"/>
    <w:rsid w:val="1FFF5689"/>
    <w:rsid w:val="279F18B5"/>
    <w:rsid w:val="27BD9DF7"/>
    <w:rsid w:val="27D7E8CD"/>
    <w:rsid w:val="27FE2634"/>
    <w:rsid w:val="27FFC915"/>
    <w:rsid w:val="29758C01"/>
    <w:rsid w:val="2D3F7A81"/>
    <w:rsid w:val="2DFF1136"/>
    <w:rsid w:val="2EEBB684"/>
    <w:rsid w:val="2EFF91EA"/>
    <w:rsid w:val="2F295F45"/>
    <w:rsid w:val="2F544C9F"/>
    <w:rsid w:val="2F67B93A"/>
    <w:rsid w:val="2F7F488F"/>
    <w:rsid w:val="2F9F6E0B"/>
    <w:rsid w:val="2FCF2A4E"/>
    <w:rsid w:val="2FE5AA04"/>
    <w:rsid w:val="2FEE4304"/>
    <w:rsid w:val="2FF6F116"/>
    <w:rsid w:val="2FFB5A5B"/>
    <w:rsid w:val="35FACDE6"/>
    <w:rsid w:val="36B324D9"/>
    <w:rsid w:val="36EF2537"/>
    <w:rsid w:val="36FFB463"/>
    <w:rsid w:val="373F4B89"/>
    <w:rsid w:val="377CE1D4"/>
    <w:rsid w:val="379E5AA9"/>
    <w:rsid w:val="37B3A8E1"/>
    <w:rsid w:val="37D711DD"/>
    <w:rsid w:val="37EF5B45"/>
    <w:rsid w:val="37FFC820"/>
    <w:rsid w:val="3831493A"/>
    <w:rsid w:val="38DE7F4C"/>
    <w:rsid w:val="38FD05E5"/>
    <w:rsid w:val="3917198F"/>
    <w:rsid w:val="399F4B13"/>
    <w:rsid w:val="39F3C745"/>
    <w:rsid w:val="3A57296A"/>
    <w:rsid w:val="3A9D3DEA"/>
    <w:rsid w:val="3AE9CE2A"/>
    <w:rsid w:val="3AEE5C6B"/>
    <w:rsid w:val="3B5FEE26"/>
    <w:rsid w:val="3BBB5C4E"/>
    <w:rsid w:val="3BC7036F"/>
    <w:rsid w:val="3BEA5BCA"/>
    <w:rsid w:val="3BFFF670"/>
    <w:rsid w:val="3C767507"/>
    <w:rsid w:val="3CFF3959"/>
    <w:rsid w:val="3D1BC0D3"/>
    <w:rsid w:val="3D3E5D47"/>
    <w:rsid w:val="3D6DD43D"/>
    <w:rsid w:val="3DAF067F"/>
    <w:rsid w:val="3DB77250"/>
    <w:rsid w:val="3DBFE2DB"/>
    <w:rsid w:val="3DD909D9"/>
    <w:rsid w:val="3DEBE607"/>
    <w:rsid w:val="3DEFB321"/>
    <w:rsid w:val="3DF75E37"/>
    <w:rsid w:val="3DFF1C2A"/>
    <w:rsid w:val="3E7BF689"/>
    <w:rsid w:val="3E7D9E94"/>
    <w:rsid w:val="3EAE895C"/>
    <w:rsid w:val="3EDC2A30"/>
    <w:rsid w:val="3EF76876"/>
    <w:rsid w:val="3EFF4EF6"/>
    <w:rsid w:val="3F36AF6E"/>
    <w:rsid w:val="3F36D4E3"/>
    <w:rsid w:val="3F393DF3"/>
    <w:rsid w:val="3F3F3EDA"/>
    <w:rsid w:val="3F475F97"/>
    <w:rsid w:val="3F5E04DE"/>
    <w:rsid w:val="3F5F11D5"/>
    <w:rsid w:val="3F5F7327"/>
    <w:rsid w:val="3F6F5879"/>
    <w:rsid w:val="3F6F8494"/>
    <w:rsid w:val="3F7EC1FF"/>
    <w:rsid w:val="3F7F4FE8"/>
    <w:rsid w:val="3FAF729D"/>
    <w:rsid w:val="3FB75AF9"/>
    <w:rsid w:val="3FB98E5E"/>
    <w:rsid w:val="3FBE1B01"/>
    <w:rsid w:val="3FCE71D5"/>
    <w:rsid w:val="3FD3F715"/>
    <w:rsid w:val="3FDFBEE3"/>
    <w:rsid w:val="3FDFD8E7"/>
    <w:rsid w:val="3FE7C2A5"/>
    <w:rsid w:val="3FEEA17D"/>
    <w:rsid w:val="3FF90878"/>
    <w:rsid w:val="3FF96654"/>
    <w:rsid w:val="3FFD6FFC"/>
    <w:rsid w:val="3FFDFA5D"/>
    <w:rsid w:val="3FFE40E6"/>
    <w:rsid w:val="3FFFB64F"/>
    <w:rsid w:val="3FFFC7B5"/>
    <w:rsid w:val="43DFCE0B"/>
    <w:rsid w:val="45FF5D72"/>
    <w:rsid w:val="477A5C4A"/>
    <w:rsid w:val="477F3DEF"/>
    <w:rsid w:val="47BC0C9A"/>
    <w:rsid w:val="47EF6869"/>
    <w:rsid w:val="495FF614"/>
    <w:rsid w:val="4BE787D7"/>
    <w:rsid w:val="4BE91317"/>
    <w:rsid w:val="4BFF0574"/>
    <w:rsid w:val="4BFF4E07"/>
    <w:rsid w:val="4BFFBA7A"/>
    <w:rsid w:val="4CEF76E0"/>
    <w:rsid w:val="4D1ECA03"/>
    <w:rsid w:val="4D7752E2"/>
    <w:rsid w:val="4DCB49EC"/>
    <w:rsid w:val="4DED4736"/>
    <w:rsid w:val="4DEDFAA5"/>
    <w:rsid w:val="4E5F490D"/>
    <w:rsid w:val="4E794061"/>
    <w:rsid w:val="4E7D58A4"/>
    <w:rsid w:val="4EA1632D"/>
    <w:rsid w:val="4EE96A3D"/>
    <w:rsid w:val="4EFFC1E9"/>
    <w:rsid w:val="4F38ABF6"/>
    <w:rsid w:val="4F3F6C0F"/>
    <w:rsid w:val="4F59348F"/>
    <w:rsid w:val="4F5B1606"/>
    <w:rsid w:val="4F9470A6"/>
    <w:rsid w:val="4FCD2DF8"/>
    <w:rsid w:val="4FD32897"/>
    <w:rsid w:val="4FDD0358"/>
    <w:rsid w:val="4FFD0B4C"/>
    <w:rsid w:val="4FFD71F2"/>
    <w:rsid w:val="4FFF3702"/>
    <w:rsid w:val="4FFFEA17"/>
    <w:rsid w:val="50850DFC"/>
    <w:rsid w:val="523F8ECA"/>
    <w:rsid w:val="52BC6431"/>
    <w:rsid w:val="52CB71EC"/>
    <w:rsid w:val="53BFA671"/>
    <w:rsid w:val="53FF0FE5"/>
    <w:rsid w:val="547F6A0C"/>
    <w:rsid w:val="55A9947B"/>
    <w:rsid w:val="55B8DC2E"/>
    <w:rsid w:val="55F1B4FB"/>
    <w:rsid w:val="575BC426"/>
    <w:rsid w:val="576E11F1"/>
    <w:rsid w:val="577791D9"/>
    <w:rsid w:val="578F7D6F"/>
    <w:rsid w:val="57B766D5"/>
    <w:rsid w:val="57D9A211"/>
    <w:rsid w:val="57DF271D"/>
    <w:rsid w:val="57F63D41"/>
    <w:rsid w:val="57F687FC"/>
    <w:rsid w:val="57FF4BC3"/>
    <w:rsid w:val="58A52424"/>
    <w:rsid w:val="58BF2C92"/>
    <w:rsid w:val="593F410B"/>
    <w:rsid w:val="597FCDE7"/>
    <w:rsid w:val="59B55D62"/>
    <w:rsid w:val="59ED2F2A"/>
    <w:rsid w:val="59F7D8F8"/>
    <w:rsid w:val="5A6967B8"/>
    <w:rsid w:val="5B972971"/>
    <w:rsid w:val="5B9DA4B2"/>
    <w:rsid w:val="5BA78442"/>
    <w:rsid w:val="5BAF544C"/>
    <w:rsid w:val="5BB7C15B"/>
    <w:rsid w:val="5BE83EA5"/>
    <w:rsid w:val="5BEF349E"/>
    <w:rsid w:val="5BF79AD1"/>
    <w:rsid w:val="5BFECBA7"/>
    <w:rsid w:val="5BFF28AB"/>
    <w:rsid w:val="5BFF487A"/>
    <w:rsid w:val="5BFF4A12"/>
    <w:rsid w:val="5BFF9A7B"/>
    <w:rsid w:val="5CBF37B7"/>
    <w:rsid w:val="5CBF8F93"/>
    <w:rsid w:val="5DEAC451"/>
    <w:rsid w:val="5DEB777A"/>
    <w:rsid w:val="5DF9E5AC"/>
    <w:rsid w:val="5DFF60D8"/>
    <w:rsid w:val="5E0BAC7E"/>
    <w:rsid w:val="5EB646C4"/>
    <w:rsid w:val="5EE77D44"/>
    <w:rsid w:val="5EE9594A"/>
    <w:rsid w:val="5EEF787C"/>
    <w:rsid w:val="5EF8F1A6"/>
    <w:rsid w:val="5EFA66F8"/>
    <w:rsid w:val="5EFDD4B1"/>
    <w:rsid w:val="5EFF1265"/>
    <w:rsid w:val="5EFF1ADE"/>
    <w:rsid w:val="5F1FEEE1"/>
    <w:rsid w:val="5F3FC9D6"/>
    <w:rsid w:val="5F3FDBD2"/>
    <w:rsid w:val="5F7D2D28"/>
    <w:rsid w:val="5F7F42E1"/>
    <w:rsid w:val="5F7F736D"/>
    <w:rsid w:val="5F7FC99A"/>
    <w:rsid w:val="5F8BDCE4"/>
    <w:rsid w:val="5F9C24EA"/>
    <w:rsid w:val="5F9E5A2A"/>
    <w:rsid w:val="5FA5020D"/>
    <w:rsid w:val="5FAE9329"/>
    <w:rsid w:val="5FAF7348"/>
    <w:rsid w:val="5FB35F69"/>
    <w:rsid w:val="5FBDDF54"/>
    <w:rsid w:val="5FBE2F66"/>
    <w:rsid w:val="5FBE5D1C"/>
    <w:rsid w:val="5FBF54DF"/>
    <w:rsid w:val="5FD4ECB2"/>
    <w:rsid w:val="5FDCBB41"/>
    <w:rsid w:val="5FDFF6C4"/>
    <w:rsid w:val="5FE717C9"/>
    <w:rsid w:val="5FEBB49C"/>
    <w:rsid w:val="5FEFF5D2"/>
    <w:rsid w:val="5FF2D6E7"/>
    <w:rsid w:val="5FF5D6C4"/>
    <w:rsid w:val="5FF62D91"/>
    <w:rsid w:val="5FF7BF06"/>
    <w:rsid w:val="5FFBECD7"/>
    <w:rsid w:val="5FFBFFDA"/>
    <w:rsid w:val="5FFEB962"/>
    <w:rsid w:val="5FFF5FCF"/>
    <w:rsid w:val="5FFFB419"/>
    <w:rsid w:val="5FFFF1A9"/>
    <w:rsid w:val="5FFFFB88"/>
    <w:rsid w:val="613B827B"/>
    <w:rsid w:val="62AFBBA4"/>
    <w:rsid w:val="63363CF4"/>
    <w:rsid w:val="639CB82A"/>
    <w:rsid w:val="63B65C4B"/>
    <w:rsid w:val="63DFF806"/>
    <w:rsid w:val="63F7E432"/>
    <w:rsid w:val="649DD8A8"/>
    <w:rsid w:val="64DFE3AF"/>
    <w:rsid w:val="652E06A4"/>
    <w:rsid w:val="6577846B"/>
    <w:rsid w:val="65FD3A8E"/>
    <w:rsid w:val="67AE9A48"/>
    <w:rsid w:val="67B183A3"/>
    <w:rsid w:val="67B72A81"/>
    <w:rsid w:val="67D79D48"/>
    <w:rsid w:val="67ED71CC"/>
    <w:rsid w:val="67F7DDBF"/>
    <w:rsid w:val="67FB8BE3"/>
    <w:rsid w:val="67FE62AB"/>
    <w:rsid w:val="67FF248C"/>
    <w:rsid w:val="67FFD328"/>
    <w:rsid w:val="693E2111"/>
    <w:rsid w:val="69E737BD"/>
    <w:rsid w:val="69FFA9A7"/>
    <w:rsid w:val="6A77592B"/>
    <w:rsid w:val="6B2FD411"/>
    <w:rsid w:val="6B4F5816"/>
    <w:rsid w:val="6B6F08DE"/>
    <w:rsid w:val="6B773D36"/>
    <w:rsid w:val="6B7F8378"/>
    <w:rsid w:val="6B8D0C97"/>
    <w:rsid w:val="6B95AC0E"/>
    <w:rsid w:val="6B9F995B"/>
    <w:rsid w:val="6BAFF4D5"/>
    <w:rsid w:val="6BBC61AD"/>
    <w:rsid w:val="6BBED144"/>
    <w:rsid w:val="6BF7E750"/>
    <w:rsid w:val="6BFB5130"/>
    <w:rsid w:val="6BFD20AF"/>
    <w:rsid w:val="6BFD67E6"/>
    <w:rsid w:val="6BFF9F5D"/>
    <w:rsid w:val="6BFFC72F"/>
    <w:rsid w:val="6C5B4C2D"/>
    <w:rsid w:val="6CDAA7EB"/>
    <w:rsid w:val="6CF7EFA2"/>
    <w:rsid w:val="6CFDE438"/>
    <w:rsid w:val="6D36FC8F"/>
    <w:rsid w:val="6D7AEA61"/>
    <w:rsid w:val="6D7F2B66"/>
    <w:rsid w:val="6DABBD62"/>
    <w:rsid w:val="6DDA19F9"/>
    <w:rsid w:val="6DEBEE57"/>
    <w:rsid w:val="6DEFFD6B"/>
    <w:rsid w:val="6DFDC6E0"/>
    <w:rsid w:val="6DFE7972"/>
    <w:rsid w:val="6E3FCF70"/>
    <w:rsid w:val="6E5EFCCD"/>
    <w:rsid w:val="6E673D45"/>
    <w:rsid w:val="6ED79C5F"/>
    <w:rsid w:val="6EDFFD61"/>
    <w:rsid w:val="6EEB594B"/>
    <w:rsid w:val="6EEFD793"/>
    <w:rsid w:val="6EFD6BEA"/>
    <w:rsid w:val="6EFDAD1C"/>
    <w:rsid w:val="6EFF3DC8"/>
    <w:rsid w:val="6F1715FF"/>
    <w:rsid w:val="6F2E75A2"/>
    <w:rsid w:val="6F3DB794"/>
    <w:rsid w:val="6F4DF665"/>
    <w:rsid w:val="6F550A82"/>
    <w:rsid w:val="6F60AF3B"/>
    <w:rsid w:val="6F6F9AB8"/>
    <w:rsid w:val="6F6FCBF9"/>
    <w:rsid w:val="6F7E4B5C"/>
    <w:rsid w:val="6F981003"/>
    <w:rsid w:val="6F9F3346"/>
    <w:rsid w:val="6FB4ACDA"/>
    <w:rsid w:val="6FD6831D"/>
    <w:rsid w:val="6FD85275"/>
    <w:rsid w:val="6FE6A389"/>
    <w:rsid w:val="6FEB46DA"/>
    <w:rsid w:val="6FEFD7D8"/>
    <w:rsid w:val="6FF3D618"/>
    <w:rsid w:val="6FFE3645"/>
    <w:rsid w:val="6FFE85AD"/>
    <w:rsid w:val="6FFF0E9C"/>
    <w:rsid w:val="6FFFAE6F"/>
    <w:rsid w:val="6FFFB12C"/>
    <w:rsid w:val="6FFFBB83"/>
    <w:rsid w:val="6FFFD80A"/>
    <w:rsid w:val="7097EB66"/>
    <w:rsid w:val="7115A630"/>
    <w:rsid w:val="717B9C5C"/>
    <w:rsid w:val="71ADFD14"/>
    <w:rsid w:val="71FBF50A"/>
    <w:rsid w:val="71FD42FC"/>
    <w:rsid w:val="72E62379"/>
    <w:rsid w:val="732F7507"/>
    <w:rsid w:val="73B721E8"/>
    <w:rsid w:val="73BEF5D5"/>
    <w:rsid w:val="73BF613D"/>
    <w:rsid w:val="73DB212D"/>
    <w:rsid w:val="73DE45F2"/>
    <w:rsid w:val="73EC79F5"/>
    <w:rsid w:val="74DB5527"/>
    <w:rsid w:val="753F6742"/>
    <w:rsid w:val="75B5279D"/>
    <w:rsid w:val="75B6ECBF"/>
    <w:rsid w:val="75BE1D74"/>
    <w:rsid w:val="75DF9691"/>
    <w:rsid w:val="75EA8E9A"/>
    <w:rsid w:val="75FE8685"/>
    <w:rsid w:val="75FFC8DC"/>
    <w:rsid w:val="76B393B0"/>
    <w:rsid w:val="76B564F1"/>
    <w:rsid w:val="76C437AD"/>
    <w:rsid w:val="76E995DE"/>
    <w:rsid w:val="76FC7587"/>
    <w:rsid w:val="76FC978B"/>
    <w:rsid w:val="772B56EA"/>
    <w:rsid w:val="776DAFDA"/>
    <w:rsid w:val="77762876"/>
    <w:rsid w:val="777B2DF6"/>
    <w:rsid w:val="779DF731"/>
    <w:rsid w:val="77A7012D"/>
    <w:rsid w:val="77B56034"/>
    <w:rsid w:val="77BEE6EE"/>
    <w:rsid w:val="77BF82A5"/>
    <w:rsid w:val="77D71261"/>
    <w:rsid w:val="77D8AC4E"/>
    <w:rsid w:val="77DEF1E8"/>
    <w:rsid w:val="77EE916C"/>
    <w:rsid w:val="77F40824"/>
    <w:rsid w:val="77FC5E54"/>
    <w:rsid w:val="77FDC063"/>
    <w:rsid w:val="77FF6FD9"/>
    <w:rsid w:val="789820F1"/>
    <w:rsid w:val="78FE3F2C"/>
    <w:rsid w:val="791E44F1"/>
    <w:rsid w:val="796F36D2"/>
    <w:rsid w:val="799F6B4E"/>
    <w:rsid w:val="79B311AD"/>
    <w:rsid w:val="79DBCBC1"/>
    <w:rsid w:val="79DBDAD3"/>
    <w:rsid w:val="79E83199"/>
    <w:rsid w:val="79ECA738"/>
    <w:rsid w:val="79F22716"/>
    <w:rsid w:val="79FAAE99"/>
    <w:rsid w:val="79FDE88E"/>
    <w:rsid w:val="79FF6279"/>
    <w:rsid w:val="79FF83A9"/>
    <w:rsid w:val="7A1B4D8C"/>
    <w:rsid w:val="7A6B34D9"/>
    <w:rsid w:val="7A7B027C"/>
    <w:rsid w:val="7A7D8438"/>
    <w:rsid w:val="7AC7FC05"/>
    <w:rsid w:val="7ACB10D7"/>
    <w:rsid w:val="7AE7638F"/>
    <w:rsid w:val="7AED92F8"/>
    <w:rsid w:val="7AFF7023"/>
    <w:rsid w:val="7AFF988D"/>
    <w:rsid w:val="7B1F8C85"/>
    <w:rsid w:val="7B452AF1"/>
    <w:rsid w:val="7B5D72EC"/>
    <w:rsid w:val="7B6543FC"/>
    <w:rsid w:val="7B6B1A6E"/>
    <w:rsid w:val="7B6F5FFE"/>
    <w:rsid w:val="7B7766C1"/>
    <w:rsid w:val="7B9DC97A"/>
    <w:rsid w:val="7BA540E0"/>
    <w:rsid w:val="7BBFF524"/>
    <w:rsid w:val="7BD39991"/>
    <w:rsid w:val="7BD59A9A"/>
    <w:rsid w:val="7BD72E89"/>
    <w:rsid w:val="7BDE0F36"/>
    <w:rsid w:val="7BDFEED4"/>
    <w:rsid w:val="7BF36290"/>
    <w:rsid w:val="7BF3EFC4"/>
    <w:rsid w:val="7BFADCB0"/>
    <w:rsid w:val="7BFB4620"/>
    <w:rsid w:val="7BFC7084"/>
    <w:rsid w:val="7BFD05C8"/>
    <w:rsid w:val="7BFDBDC9"/>
    <w:rsid w:val="7BFDBEAB"/>
    <w:rsid w:val="7BFF9172"/>
    <w:rsid w:val="7BFFA6B0"/>
    <w:rsid w:val="7C2FFF8E"/>
    <w:rsid w:val="7C3F9481"/>
    <w:rsid w:val="7C771D53"/>
    <w:rsid w:val="7C7FDFBB"/>
    <w:rsid w:val="7CCF1564"/>
    <w:rsid w:val="7CEB42A3"/>
    <w:rsid w:val="7CF30470"/>
    <w:rsid w:val="7CFD9149"/>
    <w:rsid w:val="7CFFA6CD"/>
    <w:rsid w:val="7CFFDC3B"/>
    <w:rsid w:val="7D1F2BB4"/>
    <w:rsid w:val="7D3F42EA"/>
    <w:rsid w:val="7D4F645C"/>
    <w:rsid w:val="7D5F9781"/>
    <w:rsid w:val="7D71924F"/>
    <w:rsid w:val="7D7EDD5D"/>
    <w:rsid w:val="7D7F90B8"/>
    <w:rsid w:val="7DADB682"/>
    <w:rsid w:val="7DB2A8DF"/>
    <w:rsid w:val="7DB4FCD5"/>
    <w:rsid w:val="7DBDF321"/>
    <w:rsid w:val="7DCAB1D2"/>
    <w:rsid w:val="7DDB8940"/>
    <w:rsid w:val="7DEA4F7F"/>
    <w:rsid w:val="7DEFCC50"/>
    <w:rsid w:val="7DEFDF22"/>
    <w:rsid w:val="7DF3C581"/>
    <w:rsid w:val="7DF7382B"/>
    <w:rsid w:val="7DFA60AE"/>
    <w:rsid w:val="7DFB753D"/>
    <w:rsid w:val="7DFBFCA4"/>
    <w:rsid w:val="7DFF40F5"/>
    <w:rsid w:val="7DFFAE57"/>
    <w:rsid w:val="7DFFBC4B"/>
    <w:rsid w:val="7E3F9917"/>
    <w:rsid w:val="7E6F9D9F"/>
    <w:rsid w:val="7E7F1DC4"/>
    <w:rsid w:val="7EA58438"/>
    <w:rsid w:val="7EBA2A83"/>
    <w:rsid w:val="7EBB1DF8"/>
    <w:rsid w:val="7EBE88C8"/>
    <w:rsid w:val="7ECFDD68"/>
    <w:rsid w:val="7EDBEA9D"/>
    <w:rsid w:val="7EDF06C0"/>
    <w:rsid w:val="7EDF8F0F"/>
    <w:rsid w:val="7EDF97B6"/>
    <w:rsid w:val="7EEBE18E"/>
    <w:rsid w:val="7EEF7951"/>
    <w:rsid w:val="7EF77F6C"/>
    <w:rsid w:val="7EFD81B7"/>
    <w:rsid w:val="7EFF6C53"/>
    <w:rsid w:val="7EFF8FAF"/>
    <w:rsid w:val="7EFF9AF3"/>
    <w:rsid w:val="7F129023"/>
    <w:rsid w:val="7F1B5843"/>
    <w:rsid w:val="7F3B76F5"/>
    <w:rsid w:val="7F3FE080"/>
    <w:rsid w:val="7F3FF8F9"/>
    <w:rsid w:val="7F4AC9B7"/>
    <w:rsid w:val="7F4F1A3F"/>
    <w:rsid w:val="7F57CC2A"/>
    <w:rsid w:val="7F591023"/>
    <w:rsid w:val="7F5DCF7D"/>
    <w:rsid w:val="7F5E9661"/>
    <w:rsid w:val="7F6721C5"/>
    <w:rsid w:val="7F6C4C4A"/>
    <w:rsid w:val="7F6DEB1F"/>
    <w:rsid w:val="7F6F6AEC"/>
    <w:rsid w:val="7F75BD5B"/>
    <w:rsid w:val="7F7647B4"/>
    <w:rsid w:val="7F7F1CE8"/>
    <w:rsid w:val="7F9B712B"/>
    <w:rsid w:val="7FB3C703"/>
    <w:rsid w:val="7FB67A89"/>
    <w:rsid w:val="7FB77633"/>
    <w:rsid w:val="7FB7B21F"/>
    <w:rsid w:val="7FBB422B"/>
    <w:rsid w:val="7FBB94D7"/>
    <w:rsid w:val="7FBD9CDD"/>
    <w:rsid w:val="7FBF0953"/>
    <w:rsid w:val="7FBF7F64"/>
    <w:rsid w:val="7FBF88E6"/>
    <w:rsid w:val="7FBF9EC5"/>
    <w:rsid w:val="7FBFF924"/>
    <w:rsid w:val="7FC1FA80"/>
    <w:rsid w:val="7FC9B71F"/>
    <w:rsid w:val="7FCF1C3E"/>
    <w:rsid w:val="7FCF336C"/>
    <w:rsid w:val="7FD3429E"/>
    <w:rsid w:val="7FD34997"/>
    <w:rsid w:val="7FD39016"/>
    <w:rsid w:val="7FD55B45"/>
    <w:rsid w:val="7FD98D0E"/>
    <w:rsid w:val="7FDF2870"/>
    <w:rsid w:val="7FDF6962"/>
    <w:rsid w:val="7FDF8E0B"/>
    <w:rsid w:val="7FDFD3DB"/>
    <w:rsid w:val="7FDFD846"/>
    <w:rsid w:val="7FE3E570"/>
    <w:rsid w:val="7FE7CED9"/>
    <w:rsid w:val="7FEB6553"/>
    <w:rsid w:val="7FED62E7"/>
    <w:rsid w:val="7FEDBC03"/>
    <w:rsid w:val="7FEE2115"/>
    <w:rsid w:val="7FEF5B8C"/>
    <w:rsid w:val="7FEF5C11"/>
    <w:rsid w:val="7FEFF63A"/>
    <w:rsid w:val="7FF4A942"/>
    <w:rsid w:val="7FF5258D"/>
    <w:rsid w:val="7FF553A3"/>
    <w:rsid w:val="7FF5C184"/>
    <w:rsid w:val="7FF65DC3"/>
    <w:rsid w:val="7FF755F6"/>
    <w:rsid w:val="7FF75892"/>
    <w:rsid w:val="7FF76D3F"/>
    <w:rsid w:val="7FF79645"/>
    <w:rsid w:val="7FF90B71"/>
    <w:rsid w:val="7FFA8476"/>
    <w:rsid w:val="7FFB0537"/>
    <w:rsid w:val="7FFB2B83"/>
    <w:rsid w:val="7FFBB03B"/>
    <w:rsid w:val="7FFC0689"/>
    <w:rsid w:val="7FFD375B"/>
    <w:rsid w:val="7FFDAA79"/>
    <w:rsid w:val="7FFE1BBA"/>
    <w:rsid w:val="7FFE2FC8"/>
    <w:rsid w:val="7FFE9CF9"/>
    <w:rsid w:val="7FFF23E8"/>
    <w:rsid w:val="7FFF319D"/>
    <w:rsid w:val="7FFF3E45"/>
    <w:rsid w:val="7FFF53B7"/>
    <w:rsid w:val="7FFF5C4F"/>
    <w:rsid w:val="7FFF797F"/>
    <w:rsid w:val="7FFFB06D"/>
    <w:rsid w:val="7FFFB2F3"/>
    <w:rsid w:val="7FFFE04D"/>
    <w:rsid w:val="87B5571D"/>
    <w:rsid w:val="8AFF3F47"/>
    <w:rsid w:val="8D7B0ECC"/>
    <w:rsid w:val="8E7CAEEC"/>
    <w:rsid w:val="8EBB6EB2"/>
    <w:rsid w:val="8F6D53E1"/>
    <w:rsid w:val="92EF9830"/>
    <w:rsid w:val="94B98426"/>
    <w:rsid w:val="95FFBD39"/>
    <w:rsid w:val="96FDEDCF"/>
    <w:rsid w:val="975EF438"/>
    <w:rsid w:val="97B77015"/>
    <w:rsid w:val="97CB56D5"/>
    <w:rsid w:val="97D77645"/>
    <w:rsid w:val="97ED6CC7"/>
    <w:rsid w:val="97FB9023"/>
    <w:rsid w:val="97FD162C"/>
    <w:rsid w:val="97FFAB42"/>
    <w:rsid w:val="98F94D35"/>
    <w:rsid w:val="9AFF842D"/>
    <w:rsid w:val="9BEE6746"/>
    <w:rsid w:val="9C75A6E6"/>
    <w:rsid w:val="9D570F0B"/>
    <w:rsid w:val="9D6F1630"/>
    <w:rsid w:val="9D7F1369"/>
    <w:rsid w:val="9D8729F6"/>
    <w:rsid w:val="9DA67E61"/>
    <w:rsid w:val="9DDA1B6B"/>
    <w:rsid w:val="9DDF4129"/>
    <w:rsid w:val="9DEFDB09"/>
    <w:rsid w:val="9DF3A609"/>
    <w:rsid w:val="9E7F2735"/>
    <w:rsid w:val="9EBD1640"/>
    <w:rsid w:val="9F36A902"/>
    <w:rsid w:val="9F6E1D2D"/>
    <w:rsid w:val="9F7F8DD9"/>
    <w:rsid w:val="9FBF600D"/>
    <w:rsid w:val="9FCE4477"/>
    <w:rsid w:val="9FCF5062"/>
    <w:rsid w:val="9FDF8D79"/>
    <w:rsid w:val="9FEE614D"/>
    <w:rsid w:val="9FF7E3AD"/>
    <w:rsid w:val="9FFE6219"/>
    <w:rsid w:val="9FFECBC6"/>
    <w:rsid w:val="A1E11C6D"/>
    <w:rsid w:val="A51F41D2"/>
    <w:rsid w:val="A6EF450C"/>
    <w:rsid w:val="A6FBA972"/>
    <w:rsid w:val="AADB847E"/>
    <w:rsid w:val="AB3B46EB"/>
    <w:rsid w:val="ABB31040"/>
    <w:rsid w:val="ABD1FCE5"/>
    <w:rsid w:val="ABF3FF6D"/>
    <w:rsid w:val="ACFDBB5E"/>
    <w:rsid w:val="ADAF4E57"/>
    <w:rsid w:val="ADCFADF7"/>
    <w:rsid w:val="ADF10C2A"/>
    <w:rsid w:val="ADFA725C"/>
    <w:rsid w:val="ADFF2CFF"/>
    <w:rsid w:val="ADFF38C1"/>
    <w:rsid w:val="AFBB5CC1"/>
    <w:rsid w:val="AFBE581C"/>
    <w:rsid w:val="AFDE9048"/>
    <w:rsid w:val="AFF0AC01"/>
    <w:rsid w:val="AFFF0486"/>
    <w:rsid w:val="AFFF0EE3"/>
    <w:rsid w:val="AFFFB5A6"/>
    <w:rsid w:val="B37D1C19"/>
    <w:rsid w:val="B3BDD738"/>
    <w:rsid w:val="B5E92A4F"/>
    <w:rsid w:val="B64748BC"/>
    <w:rsid w:val="B7577412"/>
    <w:rsid w:val="B77D7AA5"/>
    <w:rsid w:val="B7DD6E62"/>
    <w:rsid w:val="B7DF78BB"/>
    <w:rsid w:val="B7FB5A8D"/>
    <w:rsid w:val="B7FD9AC9"/>
    <w:rsid w:val="B7FFBBD8"/>
    <w:rsid w:val="B9BF6070"/>
    <w:rsid w:val="B9E381D6"/>
    <w:rsid w:val="B9E5619E"/>
    <w:rsid w:val="B9FFF501"/>
    <w:rsid w:val="BA73A786"/>
    <w:rsid w:val="BA7B23C6"/>
    <w:rsid w:val="BB2908CD"/>
    <w:rsid w:val="BB339ED6"/>
    <w:rsid w:val="BB3F55FA"/>
    <w:rsid w:val="BB5F0AE9"/>
    <w:rsid w:val="BB732F18"/>
    <w:rsid w:val="BBBD7D91"/>
    <w:rsid w:val="BBDE203D"/>
    <w:rsid w:val="BC664228"/>
    <w:rsid w:val="BCFBD636"/>
    <w:rsid w:val="BCFD35CF"/>
    <w:rsid w:val="BCFF140F"/>
    <w:rsid w:val="BD3F8142"/>
    <w:rsid w:val="BD5D1D94"/>
    <w:rsid w:val="BD6F9885"/>
    <w:rsid w:val="BD7FB083"/>
    <w:rsid w:val="BD9FD4BC"/>
    <w:rsid w:val="BDB72106"/>
    <w:rsid w:val="BDF238DA"/>
    <w:rsid w:val="BDFA376F"/>
    <w:rsid w:val="BDFDD987"/>
    <w:rsid w:val="BDFF7A92"/>
    <w:rsid w:val="BE2B7F6E"/>
    <w:rsid w:val="BEBF1B0F"/>
    <w:rsid w:val="BEBF8CF0"/>
    <w:rsid w:val="BED322B7"/>
    <w:rsid w:val="BEDF43E8"/>
    <w:rsid w:val="BEEC00A0"/>
    <w:rsid w:val="BEF4D1BC"/>
    <w:rsid w:val="BEFF16E3"/>
    <w:rsid w:val="BF2F6E08"/>
    <w:rsid w:val="BF3D28F4"/>
    <w:rsid w:val="BF3FF7DB"/>
    <w:rsid w:val="BF47CE67"/>
    <w:rsid w:val="BF5A6260"/>
    <w:rsid w:val="BF74815D"/>
    <w:rsid w:val="BF9F1518"/>
    <w:rsid w:val="BFA73514"/>
    <w:rsid w:val="BFAE30C7"/>
    <w:rsid w:val="BFAF3D73"/>
    <w:rsid w:val="BFBD3347"/>
    <w:rsid w:val="BFDD1B11"/>
    <w:rsid w:val="BFDE3236"/>
    <w:rsid w:val="BFDE71DC"/>
    <w:rsid w:val="BFDF08FD"/>
    <w:rsid w:val="BFDF53AB"/>
    <w:rsid w:val="BFEB6CB0"/>
    <w:rsid w:val="BFEF2C6A"/>
    <w:rsid w:val="BFF68087"/>
    <w:rsid w:val="BFF7DA63"/>
    <w:rsid w:val="BFF7E98E"/>
    <w:rsid w:val="BFFBDD65"/>
    <w:rsid w:val="BFFDF95F"/>
    <w:rsid w:val="BFFE5F76"/>
    <w:rsid w:val="BFFF34C4"/>
    <w:rsid w:val="C1FF39AF"/>
    <w:rsid w:val="C776C194"/>
    <w:rsid w:val="CADB7D90"/>
    <w:rsid w:val="CB4FC5BA"/>
    <w:rsid w:val="CBCBF3AF"/>
    <w:rsid w:val="CC73B5D3"/>
    <w:rsid w:val="CDA32B27"/>
    <w:rsid w:val="CE5F230A"/>
    <w:rsid w:val="CE9BC1D4"/>
    <w:rsid w:val="CEAD072C"/>
    <w:rsid w:val="CEE7D577"/>
    <w:rsid w:val="CEF1F497"/>
    <w:rsid w:val="CF3768CD"/>
    <w:rsid w:val="CF47A3FF"/>
    <w:rsid w:val="CF5F1AAF"/>
    <w:rsid w:val="CF6FBF82"/>
    <w:rsid w:val="CF7F26BA"/>
    <w:rsid w:val="CF9FC045"/>
    <w:rsid w:val="CFA76F42"/>
    <w:rsid w:val="CFBDA810"/>
    <w:rsid w:val="CFF79638"/>
    <w:rsid w:val="CFFDE2C8"/>
    <w:rsid w:val="D1B55A05"/>
    <w:rsid w:val="D2B37C0B"/>
    <w:rsid w:val="D39E5F15"/>
    <w:rsid w:val="D5EBD3F4"/>
    <w:rsid w:val="D5FF6FA7"/>
    <w:rsid w:val="D66B1A86"/>
    <w:rsid w:val="D69FEA0E"/>
    <w:rsid w:val="D6BF535D"/>
    <w:rsid w:val="D6EDD140"/>
    <w:rsid w:val="D6F7F893"/>
    <w:rsid w:val="D6FD0198"/>
    <w:rsid w:val="D727FAB1"/>
    <w:rsid w:val="D73F466E"/>
    <w:rsid w:val="D76804CD"/>
    <w:rsid w:val="D77EDEAB"/>
    <w:rsid w:val="D7BCDB93"/>
    <w:rsid w:val="D7E53306"/>
    <w:rsid w:val="D7EFD1EE"/>
    <w:rsid w:val="D7FB69CA"/>
    <w:rsid w:val="D7FF01CE"/>
    <w:rsid w:val="D8F78EE2"/>
    <w:rsid w:val="D9FADF0A"/>
    <w:rsid w:val="D9FF769B"/>
    <w:rsid w:val="DAA3E8E1"/>
    <w:rsid w:val="DACF278D"/>
    <w:rsid w:val="DAF7FD9E"/>
    <w:rsid w:val="DAFBF8E8"/>
    <w:rsid w:val="DAFDE6D3"/>
    <w:rsid w:val="DAFE0495"/>
    <w:rsid w:val="DB7603D5"/>
    <w:rsid w:val="DB7E0E3A"/>
    <w:rsid w:val="DB7FD74A"/>
    <w:rsid w:val="DB7FE3C2"/>
    <w:rsid w:val="DB99D627"/>
    <w:rsid w:val="DBB7F8FB"/>
    <w:rsid w:val="DBBF184E"/>
    <w:rsid w:val="DBBF3277"/>
    <w:rsid w:val="DBE616E4"/>
    <w:rsid w:val="DBFC1460"/>
    <w:rsid w:val="DBFD00F0"/>
    <w:rsid w:val="DBFE6EAF"/>
    <w:rsid w:val="DBFF4B74"/>
    <w:rsid w:val="DC1FBD21"/>
    <w:rsid w:val="DCCC2DAC"/>
    <w:rsid w:val="DCD7B6D5"/>
    <w:rsid w:val="DCE51355"/>
    <w:rsid w:val="DD1F1E38"/>
    <w:rsid w:val="DD6F2C99"/>
    <w:rsid w:val="DD93DAE7"/>
    <w:rsid w:val="DDD88A7E"/>
    <w:rsid w:val="DDED9107"/>
    <w:rsid w:val="DDF232CF"/>
    <w:rsid w:val="DDFBEEF8"/>
    <w:rsid w:val="DE7F025A"/>
    <w:rsid w:val="DE7FDF38"/>
    <w:rsid w:val="DE7FECE5"/>
    <w:rsid w:val="DEAECF0A"/>
    <w:rsid w:val="DEAF4910"/>
    <w:rsid w:val="DECDA8F9"/>
    <w:rsid w:val="DEDD976D"/>
    <w:rsid w:val="DEF920A2"/>
    <w:rsid w:val="DEFFAA53"/>
    <w:rsid w:val="DF37D351"/>
    <w:rsid w:val="DF7624B1"/>
    <w:rsid w:val="DF7FBD68"/>
    <w:rsid w:val="DF9367A0"/>
    <w:rsid w:val="DF9F9601"/>
    <w:rsid w:val="DF9FE137"/>
    <w:rsid w:val="DFAFC528"/>
    <w:rsid w:val="DFB7A642"/>
    <w:rsid w:val="DFCF2669"/>
    <w:rsid w:val="DFD780A6"/>
    <w:rsid w:val="DFE01010"/>
    <w:rsid w:val="DFE7937A"/>
    <w:rsid w:val="DFE7E505"/>
    <w:rsid w:val="DFE84CE1"/>
    <w:rsid w:val="DFF53236"/>
    <w:rsid w:val="DFF57A2A"/>
    <w:rsid w:val="DFF9B43F"/>
    <w:rsid w:val="DFFBAE7E"/>
    <w:rsid w:val="DFFBB91F"/>
    <w:rsid w:val="DFFF214D"/>
    <w:rsid w:val="DFFF7499"/>
    <w:rsid w:val="E27EBEAC"/>
    <w:rsid w:val="E2DF13A0"/>
    <w:rsid w:val="E3790A49"/>
    <w:rsid w:val="E39F6205"/>
    <w:rsid w:val="E3C7FD9B"/>
    <w:rsid w:val="E3CEB027"/>
    <w:rsid w:val="E479E284"/>
    <w:rsid w:val="E57D105C"/>
    <w:rsid w:val="E5BD55E4"/>
    <w:rsid w:val="E5BF98CF"/>
    <w:rsid w:val="E5EDC011"/>
    <w:rsid w:val="E699E225"/>
    <w:rsid w:val="E6D4C515"/>
    <w:rsid w:val="E6EEAE43"/>
    <w:rsid w:val="E77521E9"/>
    <w:rsid w:val="E79F5A50"/>
    <w:rsid w:val="E7BC33DD"/>
    <w:rsid w:val="E7EF0E0E"/>
    <w:rsid w:val="E7F73AE1"/>
    <w:rsid w:val="E7F8A4C6"/>
    <w:rsid w:val="E7FF70D6"/>
    <w:rsid w:val="E7FFBA64"/>
    <w:rsid w:val="E7FFCB95"/>
    <w:rsid w:val="E8CFB452"/>
    <w:rsid w:val="E9264346"/>
    <w:rsid w:val="E92BCFFE"/>
    <w:rsid w:val="E96E9CB9"/>
    <w:rsid w:val="E9FFAA87"/>
    <w:rsid w:val="EAB36F0D"/>
    <w:rsid w:val="EAB6FFED"/>
    <w:rsid w:val="EAFFC16C"/>
    <w:rsid w:val="EB6BB0DA"/>
    <w:rsid w:val="EB7B6A09"/>
    <w:rsid w:val="EBD460F4"/>
    <w:rsid w:val="EBEA44E4"/>
    <w:rsid w:val="EBFD1D12"/>
    <w:rsid w:val="EBFF64CC"/>
    <w:rsid w:val="EC45189F"/>
    <w:rsid w:val="ECD687F2"/>
    <w:rsid w:val="ECD6BFDA"/>
    <w:rsid w:val="ED161B80"/>
    <w:rsid w:val="ED9FBA89"/>
    <w:rsid w:val="EDAC6B77"/>
    <w:rsid w:val="EDBF586F"/>
    <w:rsid w:val="EDD76BEA"/>
    <w:rsid w:val="EDFF41C1"/>
    <w:rsid w:val="EE58F090"/>
    <w:rsid w:val="EE5E8D3F"/>
    <w:rsid w:val="EE7F9532"/>
    <w:rsid w:val="EE9FA4E7"/>
    <w:rsid w:val="EED7E6C2"/>
    <w:rsid w:val="EEE29B94"/>
    <w:rsid w:val="EEEF49BE"/>
    <w:rsid w:val="EEFDDC70"/>
    <w:rsid w:val="EF3716DA"/>
    <w:rsid w:val="EF3D97FB"/>
    <w:rsid w:val="EF3E3C07"/>
    <w:rsid w:val="EF593C07"/>
    <w:rsid w:val="EF5F9C5F"/>
    <w:rsid w:val="EF7B1F5D"/>
    <w:rsid w:val="EF7D3F49"/>
    <w:rsid w:val="EF83C884"/>
    <w:rsid w:val="EF8D7E48"/>
    <w:rsid w:val="EF9A1D0B"/>
    <w:rsid w:val="EF9FABAC"/>
    <w:rsid w:val="EFA90D05"/>
    <w:rsid w:val="EFBD9DC0"/>
    <w:rsid w:val="EFBF0382"/>
    <w:rsid w:val="EFBF31B2"/>
    <w:rsid w:val="EFD73F09"/>
    <w:rsid w:val="EFDED1BA"/>
    <w:rsid w:val="EFED415E"/>
    <w:rsid w:val="EFEE2EAB"/>
    <w:rsid w:val="EFEF2866"/>
    <w:rsid w:val="EFEF3A10"/>
    <w:rsid w:val="EFF514FE"/>
    <w:rsid w:val="EFF65D19"/>
    <w:rsid w:val="EFF89960"/>
    <w:rsid w:val="EFFBC907"/>
    <w:rsid w:val="EFFE2FF1"/>
    <w:rsid w:val="EFFED18C"/>
    <w:rsid w:val="EFFF3329"/>
    <w:rsid w:val="EFFF3B51"/>
    <w:rsid w:val="EFFFB35E"/>
    <w:rsid w:val="EFFFC94B"/>
    <w:rsid w:val="F0FF4350"/>
    <w:rsid w:val="F1FB0D4B"/>
    <w:rsid w:val="F25F9143"/>
    <w:rsid w:val="F2BED05A"/>
    <w:rsid w:val="F2BF0D65"/>
    <w:rsid w:val="F2DB6C39"/>
    <w:rsid w:val="F2FB6D6E"/>
    <w:rsid w:val="F3BB1B67"/>
    <w:rsid w:val="F3BEFA7F"/>
    <w:rsid w:val="F3DF4DDF"/>
    <w:rsid w:val="F3F501A6"/>
    <w:rsid w:val="F3F74708"/>
    <w:rsid w:val="F3F7C8FF"/>
    <w:rsid w:val="F3FEB164"/>
    <w:rsid w:val="F3FF1E06"/>
    <w:rsid w:val="F3FF6126"/>
    <w:rsid w:val="F49D392B"/>
    <w:rsid w:val="F4BBF94B"/>
    <w:rsid w:val="F4E62C23"/>
    <w:rsid w:val="F4F79B99"/>
    <w:rsid w:val="F55FAC83"/>
    <w:rsid w:val="F5AF9397"/>
    <w:rsid w:val="F5BB183C"/>
    <w:rsid w:val="F5BE47DF"/>
    <w:rsid w:val="F5CB8013"/>
    <w:rsid w:val="F5D2F55A"/>
    <w:rsid w:val="F5FFA0DE"/>
    <w:rsid w:val="F6422A6A"/>
    <w:rsid w:val="F67A4D38"/>
    <w:rsid w:val="F684AB47"/>
    <w:rsid w:val="F68C9737"/>
    <w:rsid w:val="F6A72E17"/>
    <w:rsid w:val="F6BEA460"/>
    <w:rsid w:val="F6E5DE23"/>
    <w:rsid w:val="F6F46141"/>
    <w:rsid w:val="F6FE728B"/>
    <w:rsid w:val="F72D8385"/>
    <w:rsid w:val="F737B568"/>
    <w:rsid w:val="F756ED58"/>
    <w:rsid w:val="F75B7E13"/>
    <w:rsid w:val="F77991D0"/>
    <w:rsid w:val="F77F304B"/>
    <w:rsid w:val="F78F1D19"/>
    <w:rsid w:val="F79F0894"/>
    <w:rsid w:val="F79F28E0"/>
    <w:rsid w:val="F79FDC94"/>
    <w:rsid w:val="F79FF91A"/>
    <w:rsid w:val="F79FFD43"/>
    <w:rsid w:val="F7AE808D"/>
    <w:rsid w:val="F7B19839"/>
    <w:rsid w:val="F7B69594"/>
    <w:rsid w:val="F7BDC018"/>
    <w:rsid w:val="F7BFDE8B"/>
    <w:rsid w:val="F7DB5813"/>
    <w:rsid w:val="F7DD52E3"/>
    <w:rsid w:val="F7DEDE57"/>
    <w:rsid w:val="F7DF72B0"/>
    <w:rsid w:val="F7E36A78"/>
    <w:rsid w:val="F7ED7165"/>
    <w:rsid w:val="F7EF05FA"/>
    <w:rsid w:val="F7EF9348"/>
    <w:rsid w:val="F7F22A4B"/>
    <w:rsid w:val="F7F6CBC7"/>
    <w:rsid w:val="F7F9F952"/>
    <w:rsid w:val="F7FBA950"/>
    <w:rsid w:val="F7FBCF4D"/>
    <w:rsid w:val="F7FF00B2"/>
    <w:rsid w:val="F7FF8A10"/>
    <w:rsid w:val="F8DB8A8E"/>
    <w:rsid w:val="F8E3F046"/>
    <w:rsid w:val="F8FDD8BD"/>
    <w:rsid w:val="F9791571"/>
    <w:rsid w:val="F9DBDCEF"/>
    <w:rsid w:val="F9EFFFBF"/>
    <w:rsid w:val="FA5F1BF2"/>
    <w:rsid w:val="FA7E7F9B"/>
    <w:rsid w:val="FA8DCCEE"/>
    <w:rsid w:val="FAB97C36"/>
    <w:rsid w:val="FABE38B3"/>
    <w:rsid w:val="FACE2AFC"/>
    <w:rsid w:val="FAFBBF31"/>
    <w:rsid w:val="FAFCEE7F"/>
    <w:rsid w:val="FAFE9D4C"/>
    <w:rsid w:val="FAFF008A"/>
    <w:rsid w:val="FAFFF385"/>
    <w:rsid w:val="FB61E385"/>
    <w:rsid w:val="FB6B88EB"/>
    <w:rsid w:val="FB77FD8C"/>
    <w:rsid w:val="FB7B0E7C"/>
    <w:rsid w:val="FB7D56DD"/>
    <w:rsid w:val="FB7D7A1B"/>
    <w:rsid w:val="FB861CA4"/>
    <w:rsid w:val="FBAF9B0D"/>
    <w:rsid w:val="FBBF1751"/>
    <w:rsid w:val="FBBF3186"/>
    <w:rsid w:val="FBBFF959"/>
    <w:rsid w:val="FBC7886B"/>
    <w:rsid w:val="FBD63DA0"/>
    <w:rsid w:val="FBE4435E"/>
    <w:rsid w:val="FBEDA01C"/>
    <w:rsid w:val="FBEF33C9"/>
    <w:rsid w:val="FBF97514"/>
    <w:rsid w:val="FBF9856F"/>
    <w:rsid w:val="FBFB6DDF"/>
    <w:rsid w:val="FBFD6202"/>
    <w:rsid w:val="FBFD7325"/>
    <w:rsid w:val="FBFF1E61"/>
    <w:rsid w:val="FBFF8EA5"/>
    <w:rsid w:val="FBFFA812"/>
    <w:rsid w:val="FBFFF6C2"/>
    <w:rsid w:val="FC4E7925"/>
    <w:rsid w:val="FC5CEEDB"/>
    <w:rsid w:val="FC7E5250"/>
    <w:rsid w:val="FCB7EF68"/>
    <w:rsid w:val="FCBD3D96"/>
    <w:rsid w:val="FCE50952"/>
    <w:rsid w:val="FCEF2D70"/>
    <w:rsid w:val="FCF748BA"/>
    <w:rsid w:val="FCF97B01"/>
    <w:rsid w:val="FCF9D9F8"/>
    <w:rsid w:val="FD4F7DDE"/>
    <w:rsid w:val="FD6C8D93"/>
    <w:rsid w:val="FD6F51E6"/>
    <w:rsid w:val="FD6F9D40"/>
    <w:rsid w:val="FD73301E"/>
    <w:rsid w:val="FD735318"/>
    <w:rsid w:val="FD73550A"/>
    <w:rsid w:val="FD7D3602"/>
    <w:rsid w:val="FD7E02AA"/>
    <w:rsid w:val="FD7E0749"/>
    <w:rsid w:val="FD7F0594"/>
    <w:rsid w:val="FD85F795"/>
    <w:rsid w:val="FDCE5C33"/>
    <w:rsid w:val="FDDB5F94"/>
    <w:rsid w:val="FDDFC3AD"/>
    <w:rsid w:val="FDDFDEB1"/>
    <w:rsid w:val="FDE3361C"/>
    <w:rsid w:val="FDE5AE56"/>
    <w:rsid w:val="FDEBC45C"/>
    <w:rsid w:val="FDEE2229"/>
    <w:rsid w:val="FDEEE7B9"/>
    <w:rsid w:val="FDF32572"/>
    <w:rsid w:val="FDF54E49"/>
    <w:rsid w:val="FDF6B22E"/>
    <w:rsid w:val="FDF7564C"/>
    <w:rsid w:val="FDFA7B3D"/>
    <w:rsid w:val="FDFD048B"/>
    <w:rsid w:val="FDFD24F6"/>
    <w:rsid w:val="FDFD2D54"/>
    <w:rsid w:val="FDFDDB62"/>
    <w:rsid w:val="FDFE795F"/>
    <w:rsid w:val="FDFE89A1"/>
    <w:rsid w:val="FDFF014B"/>
    <w:rsid w:val="FDFF1049"/>
    <w:rsid w:val="FE1FE5EE"/>
    <w:rsid w:val="FE5EE20D"/>
    <w:rsid w:val="FE7C9A7F"/>
    <w:rsid w:val="FE7E32CB"/>
    <w:rsid w:val="FE9F75B6"/>
    <w:rsid w:val="FEB4FEF2"/>
    <w:rsid w:val="FEBB2358"/>
    <w:rsid w:val="FEC925BB"/>
    <w:rsid w:val="FED12757"/>
    <w:rsid w:val="FEEE9D5F"/>
    <w:rsid w:val="FEF3D65A"/>
    <w:rsid w:val="FEF69B41"/>
    <w:rsid w:val="FEFD31E4"/>
    <w:rsid w:val="FEFDEA54"/>
    <w:rsid w:val="FF2F1197"/>
    <w:rsid w:val="FF2F61DC"/>
    <w:rsid w:val="FF3FA3CD"/>
    <w:rsid w:val="FF47A22C"/>
    <w:rsid w:val="FF4F9C04"/>
    <w:rsid w:val="FF553E0F"/>
    <w:rsid w:val="FF5FE5D4"/>
    <w:rsid w:val="FF6509CF"/>
    <w:rsid w:val="FF67EE24"/>
    <w:rsid w:val="FF6B45AC"/>
    <w:rsid w:val="FF7935A7"/>
    <w:rsid w:val="FF7A28E3"/>
    <w:rsid w:val="FF7B5E4C"/>
    <w:rsid w:val="FF7BEFBB"/>
    <w:rsid w:val="FF7D6EB8"/>
    <w:rsid w:val="FF7DA751"/>
    <w:rsid w:val="FF7F3CB5"/>
    <w:rsid w:val="FF7F605F"/>
    <w:rsid w:val="FF8B48FF"/>
    <w:rsid w:val="FF8BA1FF"/>
    <w:rsid w:val="FFA74874"/>
    <w:rsid w:val="FFAF0957"/>
    <w:rsid w:val="FFAFD32E"/>
    <w:rsid w:val="FFB168C6"/>
    <w:rsid w:val="FFB7A60F"/>
    <w:rsid w:val="FFB9049C"/>
    <w:rsid w:val="FFBB019D"/>
    <w:rsid w:val="FFBB9E05"/>
    <w:rsid w:val="FFBBE039"/>
    <w:rsid w:val="FFBE7E90"/>
    <w:rsid w:val="FFBF27AF"/>
    <w:rsid w:val="FFBF65CD"/>
    <w:rsid w:val="FFC79B21"/>
    <w:rsid w:val="FFCC2682"/>
    <w:rsid w:val="FFD3D222"/>
    <w:rsid w:val="FFD7356F"/>
    <w:rsid w:val="FFDA9629"/>
    <w:rsid w:val="FFDB3A55"/>
    <w:rsid w:val="FFDF76AA"/>
    <w:rsid w:val="FFE54E90"/>
    <w:rsid w:val="FFE76C24"/>
    <w:rsid w:val="FFEA888E"/>
    <w:rsid w:val="FFEA9C70"/>
    <w:rsid w:val="FFEDA046"/>
    <w:rsid w:val="FFEDC03A"/>
    <w:rsid w:val="FFF45D1F"/>
    <w:rsid w:val="FFF5C82A"/>
    <w:rsid w:val="FFF79CF4"/>
    <w:rsid w:val="FFF79F23"/>
    <w:rsid w:val="FFF7AC7D"/>
    <w:rsid w:val="FFFA2B09"/>
    <w:rsid w:val="FFFBE2BD"/>
    <w:rsid w:val="FFFD9DBC"/>
    <w:rsid w:val="FFFE0E90"/>
    <w:rsid w:val="FFFE2E76"/>
    <w:rsid w:val="FFFEF627"/>
    <w:rsid w:val="FFFF03CD"/>
    <w:rsid w:val="FFFF14A3"/>
    <w:rsid w:val="FFFF24C1"/>
    <w:rsid w:val="FFFF45ED"/>
    <w:rsid w:val="FFFF74E5"/>
    <w:rsid w:val="FFFF9945"/>
    <w:rsid w:val="FFFFB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4">
    <w:name w:val="annotation text"/>
    <w:basedOn w:val="1"/>
    <w:qFormat/>
    <w:uiPriority w:val="0"/>
    <w:pPr>
      <w:jc w:val="left"/>
    </w:pPr>
  </w:style>
  <w:style w:type="paragraph" w:styleId="5">
    <w:name w:val="Body Text Indent"/>
    <w:basedOn w:val="1"/>
    <w:qFormat/>
    <w:uiPriority w:val="99"/>
    <w:pPr>
      <w:ind w:left="420"/>
    </w:pPr>
  </w:style>
  <w:style w:type="paragraph" w:styleId="6">
    <w:name w:val="Plain Text"/>
    <w:basedOn w:val="1"/>
    <w:next w:val="1"/>
    <w:qFormat/>
    <w:uiPriority w:val="0"/>
    <w:pPr>
      <w:widowControl w:val="0"/>
      <w:jc w:val="both"/>
    </w:pPr>
    <w:rPr>
      <w:rFonts w:ascii="宋体" w:hAnsi="Courier New" w:eastAsia="宋体"/>
      <w:kern w:val="2"/>
      <w:sz w:val="21"/>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99"/>
    <w:pPr>
      <w:spacing w:after="120"/>
      <w:ind w:left="200" w:leftChars="200"/>
    </w:pPr>
  </w:style>
  <w:style w:type="paragraph" w:styleId="12">
    <w:name w:val="Quote"/>
    <w:basedOn w:val="1"/>
    <w:next w:val="1"/>
    <w:qFormat/>
    <w:uiPriority w:val="29"/>
    <w:pPr>
      <w:tabs>
        <w:tab w:val="left" w:pos="426"/>
      </w:tabs>
      <w:jc w:val="center"/>
    </w:pPr>
    <w:rPr>
      <w:rFonts w:ascii="Times New Roman" w:hAnsi="Times New Roman" w:cs="Times New Roman"/>
      <w:iCs/>
      <w:color w:val="000000"/>
      <w:kern w:val="2"/>
      <w:sz w:val="24"/>
    </w:rPr>
  </w:style>
  <w:style w:type="table" w:customStyle="1" w:styleId="13">
    <w:name w:val="网格型1"/>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11"/>
    <w:basedOn w:val="11"/>
    <w:qFormat/>
    <w:uiPriority w:val="0"/>
    <w:rPr>
      <w:rFonts w:hint="eastAsia" w:ascii="宋体" w:hAnsi="宋体" w:eastAsia="宋体" w:cs="宋体"/>
      <w:color w:val="000000"/>
      <w:sz w:val="18"/>
      <w:szCs w:val="18"/>
      <w:u w:val="none"/>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9769</Words>
  <Characters>10106</Characters>
  <Lines>77</Lines>
  <Paragraphs>21</Paragraphs>
  <TotalTime>34</TotalTime>
  <ScaleCrop>false</ScaleCrop>
  <LinksUpToDate>false</LinksUpToDate>
  <CharactersWithSpaces>10778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2022-03-13T16:49:00Z</dcterms:created>
  <dc:creator>sakura</dc:creator>
  <cp:lastModifiedBy>陆伟</cp:lastModifiedBy>
  <cp:lastPrinted>2026-02-07T23:06:00Z</cp:lastPrinted>
  <dcterms:modified xsi:type="dcterms:W3CDTF">2026-02-13T10:42:27Z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eyJoZGlkIjoiY2RkNDYxNWRlMWJjMjE5ZTdhN2Y3OTE3NTc2MjlkYWEiLCJ1c2VySWQiOiIxMDA5Njg2MDE2In0=</vt:lpwstr>
  </property>
  <property fmtid="{D5CDD505-2E9C-101B-9397-08002B2CF9AE}" pid="4" name="ICV">
    <vt:lpwstr>472D21DA55FCA599EAEA826916E6073B_43</vt:lpwstr>
  </property>
</Properties>
</file>