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bookmarkStart w:id="0" w:name="_Toc40444452"/>
      <w:bookmarkStart w:id="1" w:name="_Toc40429419"/>
      <w:bookmarkStart w:id="2" w:name="_Toc505779621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龙岗区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环境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信息公开报告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3" w:name="_Toc51233199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4" w:name="_Toc40444453"/>
      <w:bookmarkStart w:id="5" w:name="_Toc4042942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龙岗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区生态环境质量稳中向好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大气环境质量六项指标连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续10年优于国家标准，年度空气质量优良率94.8%；臭氧评价浓度145微克/立方米。优良河长占比为92.8%，同比提升1.7个百分点。饮用水源水质达标率100%。2个噪声考核点位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bidi="ar"/>
        </w:rPr>
        <w:t>昼间噪声达标率98.8%，夜间噪声达标率为86.2%。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一、环境空气质量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bookmarkStart w:id="6" w:name="_Toc355603593"/>
      <w:bookmarkStart w:id="7" w:name="_Toc505779622"/>
      <w:bookmarkStart w:id="8" w:name="_Toc347002317"/>
      <w:bookmarkStart w:id="9" w:name="_Toc345321930"/>
      <w:bookmarkStart w:id="10" w:name="_Toc40444454"/>
      <w:bookmarkStart w:id="11" w:name="_Toc40429421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（一）空气环境</w:t>
      </w:r>
      <w:bookmarkEnd w:id="6"/>
      <w:bookmarkEnd w:id="7"/>
      <w:bookmarkEnd w:id="8"/>
      <w:bookmarkEnd w:id="9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质量现状</w:t>
      </w:r>
      <w:bookmarkEnd w:id="10"/>
      <w:bookmarkEnd w:id="11"/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年，龙岗区环境空气有效监测天数为36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天，环境空气质量达到Ⅰ级（优）的天数为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天，达到Ⅱ级（良）的天数为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天，龙岗区空气质量优良率为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SO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、NO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、CO平均浓度和臭氧评价浓度分别为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微克/立方米、0.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毫克/立方米和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bookmarkStart w:id="12" w:name="_Toc40444455"/>
      <w:bookmarkStart w:id="13" w:name="_Toc40429422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（二）</w:t>
      </w:r>
      <w:bookmarkEnd w:id="12"/>
      <w:bookmarkEnd w:id="13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措施与行动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4" w:name="_Toc40444457"/>
      <w:bookmarkStart w:id="15" w:name="_Toc40429424"/>
      <w:bookmarkStart w:id="16" w:name="_Toc512332003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一是加强移动源污染治理。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完成机动车人工路检487辆次，完成用车大户企业入户检查54家次，完成非道路移动机械的检测211台次，完成油品快检42台次，完成辖区机动车排放检验机构全覆盖检查，对辖区内376台非道路移动机械编码登记。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二是促进工业污染减排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。完成720家次重点企业信息申报审核任务，组织24家涉VOCs排放企业完成深度治理，推进11家企业完成2025年源头替代，组织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56家企业申报2025年度分级或调级工作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ascii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家企业活性炭碘值抽测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三是扬尘污染管控。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统筹道路扬尘治理，本年度累计走航监测11642.91公里。统筹工地主管部门督促通报工地及道路整改，开展裸土地复绿抽查督办工作。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四是不利天气应对。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强化大气污染防治专项督查，全年组织实施20次大气污染强化减排工作，严格落实各项减排措施。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二、河流水环境质量</w:t>
      </w:r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bookmarkStart w:id="17" w:name="_Toc40444458"/>
      <w:bookmarkStart w:id="18" w:name="_Toc40429425"/>
      <w:bookmarkStart w:id="19" w:name="_Toc512332009"/>
      <w:bookmarkStart w:id="20" w:name="_Toc40444464"/>
      <w:bookmarkStart w:id="21" w:name="_Toc40429429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（一）河流水环境质量现状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年，龙岗区有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条河流（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个监测断面）纳入监测，其中，Ⅱ类水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个，Ⅲ类水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个，Ⅳ类水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个，Ⅴ类水1个。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（二）措施与行动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22" w:name="_Toc40429428"/>
      <w:bookmarkStart w:id="23" w:name="_Toc4044446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开展水污染防治下沉督办工作。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落实三大流域内水质监测、预警、通报、日常巡查问题督促整改工作，202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年龙岗区下沉督办组累计出动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5707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做好河流水质考核通报、督办工作。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对一周一测、一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一测等监测数据进行收集、分析，及时将水环境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异常情况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相关单位整改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开展入河排口排查整治工作。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统筹推进入河排口排查整治及排口信息录入完善工作，督促推进整治任务落实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三、饮用水源</w:t>
      </w:r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bookmarkStart w:id="24" w:name="_Toc40444462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（一）饮用水源环境质量现状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铜锣径水库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清林径水库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符合地表水Ⅰ类标准；深圳水库、松子坑水库符合地表水Ⅱ类标准；雁田水库、龙口水库符合地表水Ⅲ类标准。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（二）措施与行动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推进龙岗区饮用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水源保护区长效管理工作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。认真落实龙岗区饮用水水源保护区二、三级协调联动机制，全年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共出动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674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车次，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1706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二是开展“雨季行动”专项工作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。印发2025年龙岗区雨季行动方案，保障龙岗区饮用水水源保护区雨季水质达标。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开展饮用水水源保护区日常巡查工作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。及时发现、处理饮用水水</w:t>
      </w:r>
      <w:bookmarkStart w:id="27" w:name="_GoBack"/>
      <w:bookmarkEnd w:id="27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源保护区内环境风险隐患问题。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四、声环境质量</w:t>
      </w:r>
      <w:bookmarkEnd w:id="19"/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bookmarkStart w:id="25" w:name="_Toc40444465"/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（一）声环境质量现状</w:t>
      </w:r>
      <w:bookmarkEnd w:id="2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26" w:name="_Toc512332010"/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龙岗区202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年声环境质量总体较为稳定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2类功能区昼间达标率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97.7%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，夜间达标率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83.5%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；4类功能区昼间达标率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99.7%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，夜间达标率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</w:rPr>
        <w:t>89.5%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44"/>
          <w:sz w:val="32"/>
          <w:szCs w:val="32"/>
          <w:highlight w:val="none"/>
          <w:lang w:val="zh-CN"/>
        </w:rPr>
        <w:t>（二）措施与行动</w:t>
      </w:r>
    </w:p>
    <w:bookmarkEnd w:id="26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一是强化源头排查与联动响应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。全面排查声环境监测点位周边噪声源并形成问题清单，根据噪声来源实施分类管控。密切跟踪监测数据，针对超标情况，结合成因分类处置，必要时函告相关噪声监管单位及街道，协同落实防控措施；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二是运用科技手段防控施工噪声。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依托无人机巡查、视频监控等技术，提升噪声问题处置效率，防止施工活动引发点位超标，2025年通过无人机巡查工地4012家次，发现异常情况425次，均已立行立改；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三是严格执法提升整治效能。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会同区各职能部门开展联合执法，整治建筑施工噪声、经营性社会生活噪声。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对建筑施工环境违法行为行政立案1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宗，作出处罚决定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宗，处罚金额共计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276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万元，约谈项目工地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批次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。对营业性噪声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违法行为行政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立案6宗，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作出处罚决定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处罚金额共计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 w:eastAsia="zh-CN"/>
        </w:rPr>
        <w:t>四是严格执法提升整治效能。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" w:eastAsia="zh-CN" w:bidi="ar-SA"/>
        </w:rPr>
        <w:t>通过目标分解、强化监管、严格审批、执法联动、优化机制、高位协调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等方式，全力推进噪声信访投诉的控、压、降。2025年，全区环境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噪声投诉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10.5%。</w:t>
      </w:r>
    </w:p>
    <w:p>
      <w:pPr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false"/>
  <w:bordersDoNotSurroundFooter w:val="false"/>
  <w:trackRevisions w:val="true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Tk0OTJmNDgzYzA3NTJhNjAxZWE0OWU5NWViYmQifQ=="/>
    <w:docVar w:name="KGWebUrl" w:val="http://csfile.szoa.sz.gov.cn//file/download?md5Path=fc5844125b7e43fa3cd7372d42870994@22525&amp;webOffice=1&amp;identityId=C7C4207A99648A9629776852E8AC8EE3&amp;token=fe19efc41c6c434e91747469cee962ce&amp;identityId=C7C4207A99648A9629776852E8AC8EE3&amp;wjbh=B202102834&amp;hddyid=LCA010005_HD_01&amp;fileSrcName=2021_03_30_9_45_42_2A6D0881CCFB6E9292C37F2BB0A28623.docx"/>
    <w:docVar w:name="KSO_WPS_MARK_KEY" w:val="5a8f97bd-d293-4ac9-95d0-e21c383885f7"/>
  </w:docVars>
  <w:rsids>
    <w:rsidRoot w:val="00D836F3"/>
    <w:rsid w:val="000C7BB5"/>
    <w:rsid w:val="00200275"/>
    <w:rsid w:val="007D106E"/>
    <w:rsid w:val="008C4C26"/>
    <w:rsid w:val="008D0B56"/>
    <w:rsid w:val="009B123B"/>
    <w:rsid w:val="00BF3050"/>
    <w:rsid w:val="00D71FF4"/>
    <w:rsid w:val="00D836F3"/>
    <w:rsid w:val="01343DEA"/>
    <w:rsid w:val="015D4116"/>
    <w:rsid w:val="01F12916"/>
    <w:rsid w:val="023F5C00"/>
    <w:rsid w:val="024A7E5B"/>
    <w:rsid w:val="04F245EC"/>
    <w:rsid w:val="05DB0B64"/>
    <w:rsid w:val="060C1FBF"/>
    <w:rsid w:val="067E2EB5"/>
    <w:rsid w:val="06E611EC"/>
    <w:rsid w:val="078471CA"/>
    <w:rsid w:val="07D97D0D"/>
    <w:rsid w:val="07FB67A8"/>
    <w:rsid w:val="0808754A"/>
    <w:rsid w:val="085634A4"/>
    <w:rsid w:val="085B3322"/>
    <w:rsid w:val="090745D0"/>
    <w:rsid w:val="09116319"/>
    <w:rsid w:val="09211592"/>
    <w:rsid w:val="0A4C5E14"/>
    <w:rsid w:val="0A604AA7"/>
    <w:rsid w:val="0A815FF4"/>
    <w:rsid w:val="0A99417D"/>
    <w:rsid w:val="0B230A48"/>
    <w:rsid w:val="0B243C08"/>
    <w:rsid w:val="0B3464D5"/>
    <w:rsid w:val="0B4F319F"/>
    <w:rsid w:val="0D0A78C0"/>
    <w:rsid w:val="0D466810"/>
    <w:rsid w:val="0DBE185C"/>
    <w:rsid w:val="0DBF4B4E"/>
    <w:rsid w:val="0DC47D23"/>
    <w:rsid w:val="0ED50680"/>
    <w:rsid w:val="0EEF04F2"/>
    <w:rsid w:val="0F9E7EA2"/>
    <w:rsid w:val="0FDB5F2B"/>
    <w:rsid w:val="1036147D"/>
    <w:rsid w:val="10CA7390"/>
    <w:rsid w:val="131A1C77"/>
    <w:rsid w:val="134C0770"/>
    <w:rsid w:val="13D46A7B"/>
    <w:rsid w:val="155F5AD6"/>
    <w:rsid w:val="1582414B"/>
    <w:rsid w:val="15C462F5"/>
    <w:rsid w:val="15F15DB3"/>
    <w:rsid w:val="1639006A"/>
    <w:rsid w:val="163C09A6"/>
    <w:rsid w:val="17311809"/>
    <w:rsid w:val="17F03EF4"/>
    <w:rsid w:val="183430C2"/>
    <w:rsid w:val="18894686"/>
    <w:rsid w:val="18CF4A88"/>
    <w:rsid w:val="18FC0A05"/>
    <w:rsid w:val="190F7D94"/>
    <w:rsid w:val="192A1933"/>
    <w:rsid w:val="19721D8B"/>
    <w:rsid w:val="19726D3E"/>
    <w:rsid w:val="19A1790E"/>
    <w:rsid w:val="19C11B8D"/>
    <w:rsid w:val="1A114361"/>
    <w:rsid w:val="1AC71B21"/>
    <w:rsid w:val="1B1B6984"/>
    <w:rsid w:val="1B2B3354"/>
    <w:rsid w:val="1BE240FC"/>
    <w:rsid w:val="1BE36774"/>
    <w:rsid w:val="1BEC655B"/>
    <w:rsid w:val="1BF400B9"/>
    <w:rsid w:val="1D0B4694"/>
    <w:rsid w:val="1D4E49AC"/>
    <w:rsid w:val="1DBA1E62"/>
    <w:rsid w:val="1DE70212"/>
    <w:rsid w:val="1E1D6464"/>
    <w:rsid w:val="1E5840CD"/>
    <w:rsid w:val="1EB4180B"/>
    <w:rsid w:val="1EB85831"/>
    <w:rsid w:val="1FE20F10"/>
    <w:rsid w:val="20353DB7"/>
    <w:rsid w:val="205425B7"/>
    <w:rsid w:val="20687178"/>
    <w:rsid w:val="20A63142"/>
    <w:rsid w:val="20C0247C"/>
    <w:rsid w:val="20C66734"/>
    <w:rsid w:val="20D72758"/>
    <w:rsid w:val="210117A0"/>
    <w:rsid w:val="21350AE8"/>
    <w:rsid w:val="21855444"/>
    <w:rsid w:val="2188311C"/>
    <w:rsid w:val="21961175"/>
    <w:rsid w:val="21A3517B"/>
    <w:rsid w:val="22555D5D"/>
    <w:rsid w:val="22800210"/>
    <w:rsid w:val="22FA4729"/>
    <w:rsid w:val="23A071C9"/>
    <w:rsid w:val="23D526AB"/>
    <w:rsid w:val="2465270E"/>
    <w:rsid w:val="24E77D80"/>
    <w:rsid w:val="252C2DE1"/>
    <w:rsid w:val="25375C55"/>
    <w:rsid w:val="25936F08"/>
    <w:rsid w:val="25947BE6"/>
    <w:rsid w:val="266168D6"/>
    <w:rsid w:val="267002DA"/>
    <w:rsid w:val="26712264"/>
    <w:rsid w:val="26F12B61"/>
    <w:rsid w:val="273174EA"/>
    <w:rsid w:val="27951978"/>
    <w:rsid w:val="27F86BC3"/>
    <w:rsid w:val="281C4C20"/>
    <w:rsid w:val="28503584"/>
    <w:rsid w:val="286D7410"/>
    <w:rsid w:val="28A403E1"/>
    <w:rsid w:val="28EC1780"/>
    <w:rsid w:val="295F1849"/>
    <w:rsid w:val="29D360D9"/>
    <w:rsid w:val="2A703ACE"/>
    <w:rsid w:val="2A8B1AE9"/>
    <w:rsid w:val="2AC33130"/>
    <w:rsid w:val="2B562067"/>
    <w:rsid w:val="2B743C91"/>
    <w:rsid w:val="2B7803BF"/>
    <w:rsid w:val="2BC10263"/>
    <w:rsid w:val="2C251642"/>
    <w:rsid w:val="2C534209"/>
    <w:rsid w:val="2C5963E3"/>
    <w:rsid w:val="2D71035E"/>
    <w:rsid w:val="2D8F77D2"/>
    <w:rsid w:val="2D933F37"/>
    <w:rsid w:val="2DB00CEF"/>
    <w:rsid w:val="2E1077AF"/>
    <w:rsid w:val="2E5642BC"/>
    <w:rsid w:val="2EC127C2"/>
    <w:rsid w:val="2EFA58A1"/>
    <w:rsid w:val="2F312664"/>
    <w:rsid w:val="2F61560E"/>
    <w:rsid w:val="2F9A0A77"/>
    <w:rsid w:val="30156CF6"/>
    <w:rsid w:val="30D0365C"/>
    <w:rsid w:val="312946FC"/>
    <w:rsid w:val="317D31CA"/>
    <w:rsid w:val="319E14BC"/>
    <w:rsid w:val="31E317CE"/>
    <w:rsid w:val="31FE0A84"/>
    <w:rsid w:val="328F55CE"/>
    <w:rsid w:val="329D378B"/>
    <w:rsid w:val="32A406AA"/>
    <w:rsid w:val="32C71CA0"/>
    <w:rsid w:val="32E20814"/>
    <w:rsid w:val="33FD1D1C"/>
    <w:rsid w:val="34DE50E2"/>
    <w:rsid w:val="34EB6FA8"/>
    <w:rsid w:val="3536293F"/>
    <w:rsid w:val="35583D88"/>
    <w:rsid w:val="35BA19DA"/>
    <w:rsid w:val="36F64158"/>
    <w:rsid w:val="388127D0"/>
    <w:rsid w:val="39605A63"/>
    <w:rsid w:val="3990276F"/>
    <w:rsid w:val="3991114D"/>
    <w:rsid w:val="39F05B40"/>
    <w:rsid w:val="3B110674"/>
    <w:rsid w:val="3BA74AF7"/>
    <w:rsid w:val="3C544637"/>
    <w:rsid w:val="3E56695B"/>
    <w:rsid w:val="3E8E6FB9"/>
    <w:rsid w:val="3F8D4733"/>
    <w:rsid w:val="3F981BC5"/>
    <w:rsid w:val="3FBE300C"/>
    <w:rsid w:val="40A67DF3"/>
    <w:rsid w:val="40F11CD0"/>
    <w:rsid w:val="41427DA3"/>
    <w:rsid w:val="417404D2"/>
    <w:rsid w:val="41766936"/>
    <w:rsid w:val="419B7B8A"/>
    <w:rsid w:val="41AC1146"/>
    <w:rsid w:val="41C3089C"/>
    <w:rsid w:val="426F1035"/>
    <w:rsid w:val="43451C3F"/>
    <w:rsid w:val="437A1F4F"/>
    <w:rsid w:val="43817176"/>
    <w:rsid w:val="43CE23A6"/>
    <w:rsid w:val="44233AA4"/>
    <w:rsid w:val="4446736C"/>
    <w:rsid w:val="44581C5C"/>
    <w:rsid w:val="454121A0"/>
    <w:rsid w:val="45431CB1"/>
    <w:rsid w:val="456E6DA3"/>
    <w:rsid w:val="45D21BB2"/>
    <w:rsid w:val="45D764FA"/>
    <w:rsid w:val="45EE77A4"/>
    <w:rsid w:val="460701BD"/>
    <w:rsid w:val="46AB7DDC"/>
    <w:rsid w:val="46BC589A"/>
    <w:rsid w:val="472F5FCC"/>
    <w:rsid w:val="47733C2D"/>
    <w:rsid w:val="486D0EE6"/>
    <w:rsid w:val="49F50D9F"/>
    <w:rsid w:val="4A0737B3"/>
    <w:rsid w:val="4A2E0579"/>
    <w:rsid w:val="4A8636E7"/>
    <w:rsid w:val="4B237456"/>
    <w:rsid w:val="4B247195"/>
    <w:rsid w:val="4B4614E8"/>
    <w:rsid w:val="4B5053C2"/>
    <w:rsid w:val="4B9A1A1B"/>
    <w:rsid w:val="4BCD0790"/>
    <w:rsid w:val="4BDB6C94"/>
    <w:rsid w:val="4C7B25D3"/>
    <w:rsid w:val="4CA564F7"/>
    <w:rsid w:val="4CDA5AFC"/>
    <w:rsid w:val="4CF13F3C"/>
    <w:rsid w:val="4D542563"/>
    <w:rsid w:val="4E156EA9"/>
    <w:rsid w:val="4E521B37"/>
    <w:rsid w:val="507115CD"/>
    <w:rsid w:val="51286F35"/>
    <w:rsid w:val="51D30E00"/>
    <w:rsid w:val="51D765B0"/>
    <w:rsid w:val="51F25038"/>
    <w:rsid w:val="522B3DD5"/>
    <w:rsid w:val="53525DB3"/>
    <w:rsid w:val="53C934EA"/>
    <w:rsid w:val="549D72CA"/>
    <w:rsid w:val="54AD0293"/>
    <w:rsid w:val="54B86F1D"/>
    <w:rsid w:val="552C5BF2"/>
    <w:rsid w:val="559B5605"/>
    <w:rsid w:val="55DC70F8"/>
    <w:rsid w:val="55FD758F"/>
    <w:rsid w:val="56327FEF"/>
    <w:rsid w:val="567F205D"/>
    <w:rsid w:val="568E005C"/>
    <w:rsid w:val="56A34967"/>
    <w:rsid w:val="56A962A1"/>
    <w:rsid w:val="57A26B5A"/>
    <w:rsid w:val="58541874"/>
    <w:rsid w:val="58584F50"/>
    <w:rsid w:val="58A33132"/>
    <w:rsid w:val="58F2659C"/>
    <w:rsid w:val="5925362F"/>
    <w:rsid w:val="593E1399"/>
    <w:rsid w:val="59BE6F4E"/>
    <w:rsid w:val="59CB2704"/>
    <w:rsid w:val="59D14008"/>
    <w:rsid w:val="5A4D3949"/>
    <w:rsid w:val="5A7F35D2"/>
    <w:rsid w:val="5B0C58A8"/>
    <w:rsid w:val="5B6D321F"/>
    <w:rsid w:val="5C4A5A0A"/>
    <w:rsid w:val="5CE247C2"/>
    <w:rsid w:val="5DDE671B"/>
    <w:rsid w:val="5ED62530"/>
    <w:rsid w:val="5EEE4B0C"/>
    <w:rsid w:val="5F5A2D3B"/>
    <w:rsid w:val="5F8252BD"/>
    <w:rsid w:val="5FEE04B2"/>
    <w:rsid w:val="60056C23"/>
    <w:rsid w:val="603218B8"/>
    <w:rsid w:val="609E3299"/>
    <w:rsid w:val="61571A5E"/>
    <w:rsid w:val="619863BE"/>
    <w:rsid w:val="62410C41"/>
    <w:rsid w:val="62EC3DD3"/>
    <w:rsid w:val="630A5A68"/>
    <w:rsid w:val="638A4AFD"/>
    <w:rsid w:val="63DE51A3"/>
    <w:rsid w:val="64107E5C"/>
    <w:rsid w:val="6427143E"/>
    <w:rsid w:val="64383811"/>
    <w:rsid w:val="64EB7C89"/>
    <w:rsid w:val="65092AFE"/>
    <w:rsid w:val="650F19EA"/>
    <w:rsid w:val="652933B9"/>
    <w:rsid w:val="6572300E"/>
    <w:rsid w:val="65D84476"/>
    <w:rsid w:val="660775DD"/>
    <w:rsid w:val="661C5EC0"/>
    <w:rsid w:val="6629218E"/>
    <w:rsid w:val="678B7778"/>
    <w:rsid w:val="67D3564B"/>
    <w:rsid w:val="680943B9"/>
    <w:rsid w:val="682D3D04"/>
    <w:rsid w:val="68B8478D"/>
    <w:rsid w:val="68FE47B8"/>
    <w:rsid w:val="69AC1DD6"/>
    <w:rsid w:val="69B25A09"/>
    <w:rsid w:val="69D34137"/>
    <w:rsid w:val="6AA33DE2"/>
    <w:rsid w:val="6AF4565F"/>
    <w:rsid w:val="6AFB7734"/>
    <w:rsid w:val="6AFD12DE"/>
    <w:rsid w:val="6B7D31F6"/>
    <w:rsid w:val="6BA85B72"/>
    <w:rsid w:val="6CB52308"/>
    <w:rsid w:val="6CC71EC1"/>
    <w:rsid w:val="6CE330D6"/>
    <w:rsid w:val="6D2251F6"/>
    <w:rsid w:val="6D4C738E"/>
    <w:rsid w:val="6D6C2BD8"/>
    <w:rsid w:val="6D6F2AE2"/>
    <w:rsid w:val="6DBB3B60"/>
    <w:rsid w:val="6E2A7625"/>
    <w:rsid w:val="6E3E0F1A"/>
    <w:rsid w:val="6EB6428E"/>
    <w:rsid w:val="6F4A4A79"/>
    <w:rsid w:val="6FA415BA"/>
    <w:rsid w:val="6FDFE70F"/>
    <w:rsid w:val="70741B08"/>
    <w:rsid w:val="70BD199D"/>
    <w:rsid w:val="719A0BBA"/>
    <w:rsid w:val="72374BC8"/>
    <w:rsid w:val="73341FC8"/>
    <w:rsid w:val="73866131"/>
    <w:rsid w:val="744C3CEA"/>
    <w:rsid w:val="74812AEF"/>
    <w:rsid w:val="74D743D1"/>
    <w:rsid w:val="753417B5"/>
    <w:rsid w:val="757C12D6"/>
    <w:rsid w:val="75B85932"/>
    <w:rsid w:val="76DF08BF"/>
    <w:rsid w:val="775720BE"/>
    <w:rsid w:val="77C20DFD"/>
    <w:rsid w:val="77DFA637"/>
    <w:rsid w:val="77EC77CA"/>
    <w:rsid w:val="78991025"/>
    <w:rsid w:val="78C42786"/>
    <w:rsid w:val="78DE0016"/>
    <w:rsid w:val="7A691400"/>
    <w:rsid w:val="7AA93683"/>
    <w:rsid w:val="7AB3684E"/>
    <w:rsid w:val="7AB85DCE"/>
    <w:rsid w:val="7B1179AC"/>
    <w:rsid w:val="7B160F5A"/>
    <w:rsid w:val="7B8B72D6"/>
    <w:rsid w:val="7BA72646"/>
    <w:rsid w:val="7BBA60F3"/>
    <w:rsid w:val="7BE448BC"/>
    <w:rsid w:val="7CAB1113"/>
    <w:rsid w:val="7CD252B6"/>
    <w:rsid w:val="7CDD1788"/>
    <w:rsid w:val="7D49725D"/>
    <w:rsid w:val="7DEF489D"/>
    <w:rsid w:val="7E4B4B07"/>
    <w:rsid w:val="7E584CBF"/>
    <w:rsid w:val="7EB67B7A"/>
    <w:rsid w:val="7EBE2A2D"/>
    <w:rsid w:val="7F300FBC"/>
    <w:rsid w:val="7FBD0161"/>
    <w:rsid w:val="BCEF79E1"/>
    <w:rsid w:val="DF5CF6BF"/>
    <w:rsid w:val="DFD7A342"/>
    <w:rsid w:val="FBBF45CB"/>
    <w:rsid w:val="FEF2E66F"/>
    <w:rsid w:val="FFE84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next w:val="4"/>
    <w:qFormat/>
    <w:uiPriority w:val="0"/>
    <w:rPr>
      <w:rFonts w:hint="eastAsia" w:ascii="宋体" w:hAnsi="Courier New" w:eastAsia="宋体" w:cs="Courier New"/>
      <w:szCs w:val="21"/>
    </w:rPr>
  </w:style>
  <w:style w:type="paragraph" w:styleId="6">
    <w:name w:val="Body Text Indent 2"/>
    <w:basedOn w:val="1"/>
    <w:unhideWhenUsed/>
    <w:qFormat/>
    <w:uiPriority w:val="99"/>
    <w:rPr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basedOn w:val="12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1983</Words>
  <Characters>2232</Characters>
  <Lines>2</Lines>
  <Paragraphs>1</Paragraphs>
  <TotalTime>1</TotalTime>
  <ScaleCrop>false</ScaleCrop>
  <LinksUpToDate>false</LinksUpToDate>
  <CharactersWithSpaces>2232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2019-07-07T02:47:00Z</dcterms:created>
  <dc:creator>20180604a</dc:creator>
  <cp:lastModifiedBy>stlgg</cp:lastModifiedBy>
  <cp:lastPrinted>2021-04-01T03:26:00Z</cp:lastPrinted>
  <dcterms:modified xsi:type="dcterms:W3CDTF">2026-02-12T16:17:10Z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620490971_embed</vt:lpwstr>
  </property>
  <property fmtid="{D5CDD505-2E9C-101B-9397-08002B2CF9AE}" pid="4" name="ICV">
    <vt:lpwstr>15CFEB80E5DC48178D3C1F8B0372815A_13</vt:lpwstr>
  </property>
  <property fmtid="{D5CDD505-2E9C-101B-9397-08002B2CF9AE}" pid="5" name="KSOTemplateDocerSaveRecord">
    <vt:lpwstr>eyJoZGlkIjoiYmFhZGIwNmM4MjQ0Y2ZiODhlN2FlOWJiZGZmNTBjOWQiLCJ1c2VySWQiOiIxNjUxNDA2NTI0In0=</vt:lpwstr>
  </property>
</Properties>
</file>