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3"/>
        <w:spacing w:before="454" w:after="454"/>
        <w:ind w:right="454"/>
        <w:jc w:val="both"/>
        <w:outlineLvl w:val="0"/>
        <w:rPr>
          <w:b/>
          <w:bCs/>
          <w:sz w:val="40"/>
          <w:szCs w:val="40"/>
        </w:rPr>
      </w:pPr>
      <w:bookmarkStart w:id="0" w:name="_Hlk71456902"/>
      <w:r>
        <w:rPr>
          <w:rFonts w:hint="eastAsia"/>
          <w:b/>
          <w:bCs/>
          <w:sz w:val="40"/>
          <w:szCs w:val="40"/>
        </w:rPr>
        <w:t xml:space="preserve"> </w:t>
      </w:r>
    </w:p>
    <w:p w14:paraId="441B05AE">
      <w:pPr>
        <w:pStyle w:val="23"/>
        <w:ind w:right="454"/>
        <w:jc w:val="center"/>
        <w:outlineLvl w:val="0"/>
        <w:rPr>
          <w:rFonts w:hint="eastAsia"/>
          <w:b/>
          <w:bCs/>
          <w:sz w:val="40"/>
          <w:szCs w:val="40"/>
          <w:u w:val="single"/>
          <w:lang w:val="en-US" w:eastAsia="zh-CN"/>
        </w:rPr>
      </w:pPr>
      <w:r>
        <w:rPr>
          <w:rFonts w:hint="eastAsia"/>
          <w:b/>
          <w:bCs/>
          <w:sz w:val="40"/>
          <w:szCs w:val="40"/>
        </w:rPr>
        <w:t>深圳市龙岗区耳鼻咽喉医院</w:t>
      </w:r>
      <w:r>
        <w:rPr>
          <w:rFonts w:hint="eastAsia"/>
          <w:b/>
          <w:bCs/>
          <w:sz w:val="40"/>
          <w:szCs w:val="40"/>
          <w:u w:val="single"/>
          <w:lang w:val="en-US" w:eastAsia="zh-CN"/>
        </w:rPr>
        <w:t>社会采购代理机构</w:t>
      </w:r>
    </w:p>
    <w:p w14:paraId="1AC5BADA">
      <w:pPr>
        <w:pStyle w:val="23"/>
        <w:ind w:right="454"/>
        <w:jc w:val="center"/>
        <w:outlineLvl w:val="0"/>
        <w:rPr>
          <w:b/>
          <w:bCs/>
          <w:sz w:val="40"/>
          <w:szCs w:val="40"/>
          <w:u w:val="single"/>
        </w:rPr>
      </w:pPr>
      <w:r>
        <w:rPr>
          <w:rFonts w:hint="eastAsia"/>
          <w:b/>
          <w:bCs/>
          <w:sz w:val="40"/>
          <w:szCs w:val="40"/>
          <w:u w:val="single"/>
          <w:lang w:val="en-US" w:eastAsia="zh-CN"/>
        </w:rPr>
        <w:t>遴选</w:t>
      </w:r>
      <w:r>
        <w:rPr>
          <w:rFonts w:hint="eastAsia"/>
          <w:b/>
          <w:bCs/>
          <w:sz w:val="40"/>
          <w:szCs w:val="40"/>
        </w:rPr>
        <w:t>项目</w:t>
      </w:r>
    </w:p>
    <w:p w14:paraId="00DA3CFD">
      <w:pPr>
        <w:pStyle w:val="23"/>
        <w:ind w:right="454"/>
        <w:jc w:val="center"/>
        <w:outlineLvl w:val="0"/>
        <w:rPr>
          <w:b/>
          <w:bCs/>
          <w:sz w:val="40"/>
          <w:szCs w:val="40"/>
          <w:u w:val="single"/>
        </w:rPr>
      </w:pPr>
    </w:p>
    <w:p w14:paraId="79904049">
      <w:pPr>
        <w:pStyle w:val="23"/>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7"/>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default" w:eastAsiaTheme="minorEastAsia"/>
                <w:sz w:val="30"/>
                <w:szCs w:val="30"/>
                <w:lang w:val="en-US" w:eastAsia="zh-CN"/>
              </w:rPr>
              <w:t>ENT202601-006</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default" w:eastAsia="宋体"/>
                <w:sz w:val="30"/>
                <w:szCs w:val="30"/>
                <w:u w:val="single"/>
                <w:lang w:val="en-US" w:eastAsia="zh-CN"/>
              </w:rPr>
              <w:t>社会采购代理机构遴选</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2"/>
        <w:ind w:firstLine="422"/>
        <w:rPr>
          <w:rFonts w:hint="eastAsia" w:ascii="宋体" w:hAnsi="宋体" w:eastAsia="宋体" w:cs="宋体"/>
          <w:b/>
          <w:sz w:val="21"/>
          <w:szCs w:val="21"/>
        </w:rPr>
      </w:pPr>
    </w:p>
    <w:p w14:paraId="4DDEB75B">
      <w:pPr>
        <w:pStyle w:val="3"/>
        <w:rPr>
          <w:rFonts w:hint="eastAsia" w:ascii="宋体" w:hAnsi="宋体" w:eastAsia="宋体" w:cs="宋体"/>
          <w:b/>
          <w:sz w:val="21"/>
          <w:szCs w:val="21"/>
        </w:rPr>
      </w:pPr>
    </w:p>
    <w:p w14:paraId="728D3549">
      <w:pPr>
        <w:pStyle w:val="24"/>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4"/>
        <w:rPr>
          <w:rFonts w:hint="eastAsia" w:ascii="宋体" w:hAnsi="宋体" w:eastAsia="宋体" w:cs="宋体"/>
          <w:sz w:val="21"/>
          <w:szCs w:val="21"/>
        </w:rPr>
      </w:pPr>
    </w:p>
    <w:p w14:paraId="0A5AB0FE">
      <w:pPr>
        <w:rPr>
          <w:rFonts w:hint="eastAsia" w:ascii="宋体" w:hAnsi="宋体" w:eastAsia="宋体" w:cs="宋体"/>
          <w:b/>
          <w:sz w:val="21"/>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3"/>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82"/>
        <w:gridCol w:w="8164"/>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6"/>
        <w:rPr>
          <w:rFonts w:ascii="Calibri" w:hAnsi="Calibri" w:eastAsia="宋体"/>
          <w:b/>
          <w:bCs/>
          <w:kern w:val="2"/>
          <w:sz w:val="32"/>
          <w:szCs w:val="40"/>
        </w:rPr>
      </w:pPr>
    </w:p>
    <w:p w14:paraId="6664EAB2">
      <w:pPr>
        <w:pStyle w:val="23"/>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7"/>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79"/>
        <w:gridCol w:w="8160"/>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7"/>
        <w:tblW w:w="9072" w:type="dxa"/>
        <w:jc w:val="center"/>
        <w:tblCellSpacing w:w="0" w:type="dxa"/>
        <w:tblLayout w:type="autofit"/>
        <w:tblCellMar>
          <w:top w:w="45" w:type="dxa"/>
          <w:left w:w="45" w:type="dxa"/>
          <w:bottom w:w="45" w:type="dxa"/>
          <w:right w:w="45" w:type="dxa"/>
        </w:tblCellMar>
      </w:tblPr>
      <w:tblGrid>
        <w:gridCol w:w="9072"/>
      </w:tblGrid>
      <w:tr w14:paraId="30A1610B">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7"/>
        <w:tblW w:w="9714" w:type="dxa"/>
        <w:jc w:val="center"/>
        <w:tblCellSpacing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20" w:type="dxa"/>
          <w:left w:w="108" w:type="dxa"/>
          <w:bottom w:w="20" w:type="dxa"/>
          <w:right w:w="108" w:type="dxa"/>
        </w:tblCellMar>
      </w:tblPr>
      <w:tblGrid>
        <w:gridCol w:w="748"/>
        <w:gridCol w:w="757"/>
        <w:gridCol w:w="2072"/>
        <w:gridCol w:w="770"/>
        <w:gridCol w:w="5367"/>
      </w:tblGrid>
      <w:tr w14:paraId="4BA39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tcBorders>
              <w:tl2br w:val="nil"/>
              <w:tr2bl w:val="nil"/>
            </w:tcBorders>
            <w:shd w:val="clear" w:color="auto" w:fill="auto"/>
            <w:noWrap w:val="0"/>
            <w:vAlign w:val="center"/>
          </w:tcPr>
          <w:p w14:paraId="3AC335D0">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bookmarkStart w:id="1" w:name="bt投标人情况介绍"/>
            <w:bookmarkEnd w:id="1"/>
            <w:bookmarkStart w:id="2" w:name="bt本工程承诺书"/>
            <w:bookmarkEnd w:id="2"/>
            <w:bookmarkStart w:id="3" w:name="bt说明"/>
            <w:bookmarkEnd w:id="3"/>
            <w:bookmarkStart w:id="4" w:name="bt合同格式"/>
            <w:bookmarkEnd w:id="4"/>
            <w:bookmarkStart w:id="5" w:name="bt投标人须知"/>
            <w:bookmarkEnd w:id="5"/>
            <w:bookmarkStart w:id="6" w:name="bt技术标投标文件格式"/>
            <w:bookmarkEnd w:id="6"/>
            <w:bookmarkStart w:id="7" w:name="bt其他资料由投标人自定"/>
            <w:bookmarkEnd w:id="7"/>
            <w:bookmarkStart w:id="8" w:name="bt其他资料2"/>
            <w:bookmarkEnd w:id="8"/>
            <w:bookmarkStart w:id="9" w:name="bt投标函"/>
            <w:bookmarkEnd w:id="9"/>
            <w:bookmarkStart w:id="10" w:name="bt开标一览表"/>
            <w:bookmarkEnd w:id="10"/>
            <w:bookmarkStart w:id="11" w:name="bt合同条款"/>
            <w:bookmarkEnd w:id="11"/>
            <w:bookmarkStart w:id="12" w:name="bt投标报价汇总表"/>
            <w:bookmarkEnd w:id="12"/>
            <w:bookmarkStart w:id="13" w:name="bt合同条款及格式"/>
            <w:bookmarkEnd w:id="13"/>
            <w:bookmarkStart w:id="14" w:name="bt商务标投标文件格式"/>
            <w:bookmarkEnd w:id="14"/>
            <w:bookmarkStart w:id="15" w:name="合同格式"/>
            <w:bookmarkEnd w:id="15"/>
            <w:bookmarkStart w:id="16" w:name="bt投标文件签署授权委托书"/>
            <w:bookmarkEnd w:id="16"/>
            <w:bookmarkStart w:id="17" w:name="bt项目管理班子配备情况"/>
            <w:bookmarkEnd w:id="17"/>
            <w:bookmarkStart w:id="18" w:name="_Toc265483798"/>
            <w:bookmarkStart w:id="19" w:name="_Toc432592813"/>
            <w:bookmarkStart w:id="20" w:name="_Toc76544499"/>
            <w:r>
              <w:rPr>
                <w:rFonts w:hint="eastAsia" w:asciiTheme="minorEastAsia" w:hAnsiTheme="minorEastAsia" w:eastAsiaTheme="minorEastAsia" w:cstheme="minorEastAsia"/>
                <w:b/>
                <w:bCs/>
                <w:color w:val="auto"/>
                <w:sz w:val="24"/>
                <w:szCs w:val="24"/>
                <w:highlight w:val="none"/>
              </w:rPr>
              <w:t>序号</w:t>
            </w:r>
          </w:p>
        </w:tc>
        <w:tc>
          <w:tcPr>
            <w:tcW w:w="3599" w:type="dxa"/>
            <w:gridSpan w:val="3"/>
            <w:tcBorders>
              <w:tl2br w:val="nil"/>
              <w:tr2bl w:val="nil"/>
            </w:tcBorders>
            <w:shd w:val="clear" w:color="auto" w:fill="auto"/>
            <w:noWrap w:val="0"/>
            <w:vAlign w:val="center"/>
          </w:tcPr>
          <w:p w14:paraId="7DF2591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评分项</w:t>
            </w:r>
          </w:p>
        </w:tc>
        <w:tc>
          <w:tcPr>
            <w:tcW w:w="5367" w:type="dxa"/>
            <w:tcBorders>
              <w:tl2br w:val="nil"/>
              <w:tr2bl w:val="nil"/>
            </w:tcBorders>
            <w:shd w:val="clear" w:color="auto" w:fill="auto"/>
            <w:noWrap w:val="0"/>
            <w:vAlign w:val="center"/>
          </w:tcPr>
          <w:p w14:paraId="1C007A0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权重</w:t>
            </w:r>
          </w:p>
        </w:tc>
      </w:tr>
      <w:tr w14:paraId="24A64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restart"/>
            <w:tcBorders>
              <w:tl2br w:val="nil"/>
              <w:tr2bl w:val="nil"/>
            </w:tcBorders>
            <w:shd w:val="clear" w:color="auto" w:fill="auto"/>
            <w:noWrap w:val="0"/>
            <w:vAlign w:val="center"/>
          </w:tcPr>
          <w:p w14:paraId="08BDCA8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p>
        </w:tc>
        <w:tc>
          <w:tcPr>
            <w:tcW w:w="3599" w:type="dxa"/>
            <w:gridSpan w:val="3"/>
            <w:tcBorders>
              <w:tl2br w:val="nil"/>
              <w:tr2bl w:val="nil"/>
            </w:tcBorders>
            <w:shd w:val="clear" w:color="auto" w:fill="auto"/>
            <w:noWrap w:val="0"/>
            <w:vAlign w:val="center"/>
          </w:tcPr>
          <w:p w14:paraId="3FB3B09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价格</w:t>
            </w:r>
          </w:p>
        </w:tc>
        <w:tc>
          <w:tcPr>
            <w:tcW w:w="5367" w:type="dxa"/>
            <w:tcBorders>
              <w:tl2br w:val="nil"/>
              <w:tr2bl w:val="nil"/>
            </w:tcBorders>
            <w:shd w:val="clear" w:color="auto" w:fill="auto"/>
            <w:noWrap w:val="0"/>
            <w:vAlign w:val="center"/>
          </w:tcPr>
          <w:p w14:paraId="6B19E04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p>
        </w:tc>
      </w:tr>
      <w:tr w14:paraId="2251F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25073C5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1E1BC88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2" w:type="dxa"/>
            <w:tcBorders>
              <w:tl2br w:val="nil"/>
              <w:tr2bl w:val="nil"/>
            </w:tcBorders>
            <w:shd w:val="clear" w:color="auto" w:fill="auto"/>
            <w:noWrap w:val="0"/>
            <w:vAlign w:val="center"/>
          </w:tcPr>
          <w:p w14:paraId="41C819C4">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评分要素</w:t>
            </w:r>
          </w:p>
        </w:tc>
        <w:tc>
          <w:tcPr>
            <w:tcW w:w="770" w:type="dxa"/>
            <w:tcBorders>
              <w:tl2br w:val="nil"/>
              <w:tr2bl w:val="nil"/>
            </w:tcBorders>
            <w:shd w:val="clear" w:color="auto" w:fill="auto"/>
            <w:noWrap w:val="0"/>
            <w:vAlign w:val="center"/>
          </w:tcPr>
          <w:p w14:paraId="4330B630">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权重</w:t>
            </w:r>
          </w:p>
        </w:tc>
        <w:tc>
          <w:tcPr>
            <w:tcW w:w="5367" w:type="dxa"/>
            <w:tcBorders>
              <w:tl2br w:val="nil"/>
              <w:tr2bl w:val="nil"/>
            </w:tcBorders>
            <w:shd w:val="clear" w:color="auto" w:fill="auto"/>
            <w:noWrap w:val="0"/>
            <w:vAlign w:val="center"/>
          </w:tcPr>
          <w:p w14:paraId="58A6436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评分准则</w:t>
            </w:r>
          </w:p>
        </w:tc>
      </w:tr>
      <w:tr w14:paraId="63F81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10E2D368">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5135E03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2" w:type="dxa"/>
            <w:tcBorders>
              <w:tl2br w:val="nil"/>
              <w:tr2bl w:val="nil"/>
            </w:tcBorders>
            <w:shd w:val="clear" w:color="auto" w:fill="auto"/>
            <w:noWrap w:val="0"/>
            <w:vAlign w:val="center"/>
          </w:tcPr>
          <w:p w14:paraId="68F59673">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rPr>
              <w:t>招标代理服务收费情况</w:t>
            </w:r>
          </w:p>
        </w:tc>
        <w:tc>
          <w:tcPr>
            <w:tcW w:w="770" w:type="dxa"/>
            <w:tcBorders>
              <w:tl2br w:val="nil"/>
              <w:tr2bl w:val="nil"/>
            </w:tcBorders>
            <w:shd w:val="clear" w:color="auto" w:fill="auto"/>
            <w:noWrap w:val="0"/>
            <w:vAlign w:val="center"/>
          </w:tcPr>
          <w:p w14:paraId="22FD780F">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5367" w:type="dxa"/>
            <w:tcBorders>
              <w:tl2br w:val="nil"/>
              <w:tr2bl w:val="nil"/>
            </w:tcBorders>
            <w:shd w:val="clear" w:color="auto" w:fill="auto"/>
            <w:noWrap w:val="0"/>
            <w:vAlign w:val="center"/>
          </w:tcPr>
          <w:p w14:paraId="3D50041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right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遴选文件</w:t>
            </w:r>
            <w:r>
              <w:rPr>
                <w:rFonts w:hint="eastAsia" w:asciiTheme="minorEastAsia" w:hAnsiTheme="minorEastAsia" w:eastAsiaTheme="minorEastAsia" w:cstheme="minorEastAsia"/>
                <w:color w:val="auto"/>
                <w:sz w:val="21"/>
                <w:szCs w:val="21"/>
                <w:highlight w:val="none"/>
              </w:rPr>
              <w:t>中《招标代理服务收费标准》要求为标准，进行优惠百分比报价，以</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八</w:t>
            </w:r>
            <w:r>
              <w:rPr>
                <w:rFonts w:hint="eastAsia" w:asciiTheme="minorEastAsia" w:hAnsiTheme="minorEastAsia" w:eastAsiaTheme="minorEastAsia" w:cstheme="minorEastAsia"/>
                <w:color w:val="auto"/>
                <w:sz w:val="21"/>
                <w:szCs w:val="21"/>
                <w:highlight w:val="none"/>
              </w:rPr>
              <w:t>折）为基准报价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超过基准报价的本项不得分，在此基础上</w:t>
            </w:r>
            <w:r>
              <w:rPr>
                <w:rFonts w:hint="eastAsia" w:asciiTheme="minorEastAsia" w:hAnsiTheme="minorEastAsia" w:eastAsiaTheme="minorEastAsia" w:cstheme="minorEastAsia"/>
                <w:color w:val="auto"/>
                <w:sz w:val="21"/>
                <w:szCs w:val="21"/>
                <w:highlight w:val="none"/>
                <w:lang w:eastAsia="zh-CN"/>
              </w:rPr>
              <w:t>：</w:t>
            </w:r>
          </w:p>
          <w:p w14:paraId="0C261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价格分应当采用低价优先法计算，即满足</w:t>
            </w:r>
            <w:r>
              <w:rPr>
                <w:rFonts w:hint="eastAsia" w:asciiTheme="minorEastAsia" w:hAnsiTheme="minorEastAsia" w:eastAsiaTheme="minorEastAsia" w:cstheme="minorEastAsia"/>
                <w:color w:val="auto"/>
                <w:kern w:val="0"/>
                <w:sz w:val="21"/>
                <w:szCs w:val="21"/>
                <w:highlight w:val="none"/>
                <w:lang w:eastAsia="zh-CN"/>
              </w:rPr>
              <w:t>遴选文件</w:t>
            </w:r>
            <w:r>
              <w:rPr>
                <w:rFonts w:hint="eastAsia" w:asciiTheme="minorEastAsia" w:hAnsiTheme="minorEastAsia" w:eastAsiaTheme="minorEastAsia" w:cstheme="minorEastAsia"/>
                <w:color w:val="auto"/>
                <w:kern w:val="0"/>
                <w:sz w:val="21"/>
                <w:szCs w:val="21"/>
                <w:highlight w:val="none"/>
              </w:rPr>
              <w:t>要求且投标价格最低的投标报价为评标基准价，其价格分为满分。其他投标人的价格分统一按照下列公式计算：</w:t>
            </w:r>
          </w:p>
          <w:p w14:paraId="6BCD461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投标报价得分=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评标基准价／投标报价</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×权重</w:t>
            </w:r>
          </w:p>
          <w:p w14:paraId="07A9763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p w14:paraId="55BA7863">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投标报价得分四舍五入后，</w:t>
            </w:r>
            <w:r>
              <w:rPr>
                <w:rFonts w:hint="eastAsia" w:asciiTheme="minorEastAsia" w:hAnsiTheme="minorEastAsia" w:eastAsiaTheme="minorEastAsia" w:cstheme="minorEastAsia"/>
                <w:color w:val="auto"/>
                <w:sz w:val="21"/>
                <w:szCs w:val="21"/>
                <w:highlight w:val="none"/>
              </w:rPr>
              <w:t>小数点后保留两位有效数</w:t>
            </w:r>
            <w:r>
              <w:rPr>
                <w:rFonts w:hint="eastAsia" w:asciiTheme="minorEastAsia" w:hAnsiTheme="minorEastAsia" w:eastAsiaTheme="minorEastAsia" w:cstheme="minorEastAsia"/>
                <w:bCs/>
                <w:color w:val="auto"/>
                <w:sz w:val="21"/>
                <w:szCs w:val="21"/>
                <w:highlight w:val="none"/>
              </w:rPr>
              <w:t>。</w:t>
            </w:r>
          </w:p>
        </w:tc>
      </w:tr>
      <w:tr w14:paraId="4A4CA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restart"/>
            <w:tcBorders>
              <w:tl2br w:val="nil"/>
              <w:tr2bl w:val="nil"/>
            </w:tcBorders>
            <w:shd w:val="clear" w:color="auto" w:fill="auto"/>
            <w:noWrap w:val="0"/>
            <w:vAlign w:val="center"/>
          </w:tcPr>
          <w:p w14:paraId="01F1BFF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p>
        </w:tc>
        <w:tc>
          <w:tcPr>
            <w:tcW w:w="3599" w:type="dxa"/>
            <w:gridSpan w:val="3"/>
            <w:tcBorders>
              <w:tl2br w:val="nil"/>
              <w:tr2bl w:val="nil"/>
            </w:tcBorders>
            <w:shd w:val="clear" w:color="auto" w:fill="auto"/>
            <w:noWrap w:val="0"/>
            <w:vAlign w:val="top"/>
          </w:tcPr>
          <w:p w14:paraId="5F7C1C2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技术部分</w:t>
            </w:r>
          </w:p>
        </w:tc>
        <w:tc>
          <w:tcPr>
            <w:tcW w:w="5367" w:type="dxa"/>
            <w:tcBorders>
              <w:tl2br w:val="nil"/>
              <w:tr2bl w:val="nil"/>
            </w:tcBorders>
            <w:shd w:val="clear" w:color="auto" w:fill="auto"/>
            <w:noWrap w:val="0"/>
            <w:vAlign w:val="top"/>
          </w:tcPr>
          <w:p w14:paraId="1B563050">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73</w:t>
            </w:r>
          </w:p>
        </w:tc>
      </w:tr>
      <w:tr w14:paraId="68025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512FA22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318D1C3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2" w:type="dxa"/>
            <w:tcBorders>
              <w:tl2br w:val="nil"/>
              <w:tr2bl w:val="nil"/>
            </w:tcBorders>
            <w:shd w:val="clear" w:color="auto" w:fill="auto"/>
            <w:noWrap w:val="0"/>
            <w:vAlign w:val="center"/>
          </w:tcPr>
          <w:p w14:paraId="569B5319">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评分要素</w:t>
            </w:r>
          </w:p>
        </w:tc>
        <w:tc>
          <w:tcPr>
            <w:tcW w:w="770" w:type="dxa"/>
            <w:tcBorders>
              <w:tl2br w:val="nil"/>
              <w:tr2bl w:val="nil"/>
            </w:tcBorders>
            <w:shd w:val="clear" w:color="auto" w:fill="auto"/>
            <w:noWrap w:val="0"/>
            <w:vAlign w:val="center"/>
          </w:tcPr>
          <w:p w14:paraId="191B0144">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权重</w:t>
            </w:r>
          </w:p>
        </w:tc>
        <w:tc>
          <w:tcPr>
            <w:tcW w:w="5367" w:type="dxa"/>
            <w:tcBorders>
              <w:tl2br w:val="nil"/>
              <w:tr2bl w:val="nil"/>
            </w:tcBorders>
            <w:shd w:val="clear" w:color="auto" w:fill="auto"/>
            <w:noWrap w:val="0"/>
            <w:vAlign w:val="center"/>
          </w:tcPr>
          <w:p w14:paraId="0944936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评分准则</w:t>
            </w:r>
          </w:p>
        </w:tc>
      </w:tr>
      <w:tr w14:paraId="5283D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486" w:hRule="atLeast"/>
          <w:tblCellSpacing w:w="0" w:type="dxa"/>
          <w:jc w:val="center"/>
        </w:trPr>
        <w:tc>
          <w:tcPr>
            <w:tcW w:w="748" w:type="dxa"/>
            <w:vMerge w:val="continue"/>
            <w:tcBorders>
              <w:tl2br w:val="nil"/>
              <w:tr2bl w:val="nil"/>
            </w:tcBorders>
            <w:shd w:val="clear" w:color="auto" w:fill="auto"/>
            <w:noWrap w:val="0"/>
            <w:vAlign w:val="center"/>
          </w:tcPr>
          <w:p w14:paraId="2D17FD4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p>
        </w:tc>
        <w:tc>
          <w:tcPr>
            <w:tcW w:w="757" w:type="dxa"/>
            <w:tcBorders>
              <w:tl2br w:val="nil"/>
              <w:tr2bl w:val="nil"/>
            </w:tcBorders>
            <w:shd w:val="clear" w:color="auto" w:fill="auto"/>
            <w:noWrap w:val="0"/>
            <w:vAlign w:val="center"/>
          </w:tcPr>
          <w:p w14:paraId="0A93387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072" w:type="dxa"/>
            <w:tcBorders>
              <w:tl2br w:val="nil"/>
              <w:tr2bl w:val="nil"/>
            </w:tcBorders>
            <w:shd w:val="clear" w:color="auto" w:fill="auto"/>
            <w:noWrap w:val="0"/>
            <w:vAlign w:val="center"/>
          </w:tcPr>
          <w:p w14:paraId="4218B8B3">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项目服务方案</w:t>
            </w:r>
          </w:p>
        </w:tc>
        <w:tc>
          <w:tcPr>
            <w:tcW w:w="770" w:type="dxa"/>
            <w:tcBorders>
              <w:tl2br w:val="nil"/>
              <w:tr2bl w:val="nil"/>
            </w:tcBorders>
            <w:shd w:val="clear" w:color="auto" w:fill="auto"/>
            <w:noWrap w:val="0"/>
            <w:vAlign w:val="center"/>
          </w:tcPr>
          <w:p w14:paraId="7B5DCDEF">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5367" w:type="dxa"/>
            <w:tcBorders>
              <w:tl2br w:val="nil"/>
              <w:tr2bl w:val="nil"/>
            </w:tcBorders>
            <w:shd w:val="clear" w:color="auto" w:fill="auto"/>
            <w:noWrap w:val="0"/>
            <w:vAlign w:val="center"/>
          </w:tcPr>
          <w:p w14:paraId="0C2A3A39">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（一）评分内容：</w:t>
            </w:r>
          </w:p>
          <w:p w14:paraId="3F079681">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val="en-US" w:eastAsia="zh-CN"/>
              </w:rPr>
              <w:t>投标人提供的项目</w:t>
            </w:r>
            <w:r>
              <w:rPr>
                <w:rFonts w:hint="eastAsia" w:asciiTheme="minorEastAsia" w:hAnsiTheme="minorEastAsia" w:eastAsiaTheme="minorEastAsia" w:cstheme="minorEastAsia"/>
                <w:color w:val="auto"/>
                <w:sz w:val="21"/>
                <w:szCs w:val="21"/>
                <w:highlight w:val="none"/>
                <w:lang w:eastAsia="zh-CN"/>
              </w:rPr>
              <w:t>服务方案</w:t>
            </w:r>
            <w:r>
              <w:rPr>
                <w:rFonts w:hint="eastAsia" w:asciiTheme="minorEastAsia" w:hAnsiTheme="minorEastAsia" w:eastAsiaTheme="minorEastAsia" w:cstheme="minorEastAsia"/>
                <w:color w:val="auto"/>
                <w:sz w:val="21"/>
                <w:szCs w:val="21"/>
                <w:highlight w:val="none"/>
                <w:lang w:val="en-US" w:eastAsia="zh-CN"/>
              </w:rPr>
              <w:t>进行打分，方案内容包括但不限于以下内容：</w:t>
            </w:r>
          </w:p>
          <w:p w14:paraId="783C962B">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服务质量保证措施</w:t>
            </w:r>
          </w:p>
          <w:p w14:paraId="5616D580">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工作流程及工作要点</w:t>
            </w:r>
          </w:p>
          <w:p w14:paraId="44CDED7F">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保密措施</w:t>
            </w:r>
          </w:p>
          <w:p w14:paraId="28B45AC5">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档案管理措施</w:t>
            </w:r>
          </w:p>
          <w:p w14:paraId="35933D8C">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评分依据：</w:t>
            </w:r>
          </w:p>
          <w:p w14:paraId="0682B19A">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1.提供上述一项内容的得1.5分，最高6分，其他不得分。</w:t>
            </w:r>
          </w:p>
          <w:p w14:paraId="1EB589AD">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2.在此基础上，按照下列要求进行加分：</w:t>
            </w:r>
          </w:p>
          <w:p w14:paraId="5D53120B">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（1）方案整体科学合理、针对性强、可操作性强，评审为优得6分；</w:t>
            </w:r>
          </w:p>
          <w:p w14:paraId="38A1EEE0">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（2）方案较合理、有一定针对性、一定可操作性，评审为良得3分；</w:t>
            </w:r>
          </w:p>
          <w:p w14:paraId="05D0E38E">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（3）方案较一般、针对性一般、可操作性一般，评审为中得1分；</w:t>
            </w:r>
          </w:p>
          <w:p w14:paraId="6FCE3B70">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（4）方案较差、无针对性、无可操作性，评审为差得0分。</w:t>
            </w:r>
          </w:p>
        </w:tc>
      </w:tr>
      <w:tr w14:paraId="1F7D7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79B3E8B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p>
        </w:tc>
        <w:tc>
          <w:tcPr>
            <w:tcW w:w="757" w:type="dxa"/>
            <w:tcBorders>
              <w:tl2br w:val="nil"/>
              <w:tr2bl w:val="nil"/>
            </w:tcBorders>
            <w:shd w:val="clear" w:color="auto" w:fill="auto"/>
            <w:noWrap w:val="0"/>
            <w:vAlign w:val="center"/>
          </w:tcPr>
          <w:p w14:paraId="52615EB2">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072" w:type="dxa"/>
            <w:tcBorders>
              <w:tl2br w:val="nil"/>
              <w:tr2bl w:val="nil"/>
            </w:tcBorders>
            <w:shd w:val="clear" w:color="auto" w:fill="auto"/>
            <w:noWrap w:val="0"/>
            <w:vAlign w:val="center"/>
          </w:tcPr>
          <w:p w14:paraId="13E8C41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培训方案</w:t>
            </w:r>
          </w:p>
        </w:tc>
        <w:tc>
          <w:tcPr>
            <w:tcW w:w="770" w:type="dxa"/>
            <w:tcBorders>
              <w:tl2br w:val="nil"/>
              <w:tr2bl w:val="nil"/>
            </w:tcBorders>
            <w:shd w:val="clear" w:color="auto" w:fill="auto"/>
            <w:noWrap w:val="0"/>
            <w:vAlign w:val="center"/>
          </w:tcPr>
          <w:p w14:paraId="71535BBD">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5367" w:type="dxa"/>
            <w:tcBorders>
              <w:tl2br w:val="nil"/>
              <w:tr2bl w:val="nil"/>
            </w:tcBorders>
            <w:shd w:val="clear" w:color="auto" w:fill="auto"/>
            <w:noWrap w:val="0"/>
            <w:vAlign w:val="center"/>
          </w:tcPr>
          <w:p w14:paraId="268AE01D">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（一）</w:t>
            </w:r>
            <w:r>
              <w:rPr>
                <w:rFonts w:hint="eastAsia" w:asciiTheme="minorEastAsia" w:hAnsiTheme="minorEastAsia" w:eastAsiaTheme="minorEastAsia" w:cstheme="minorEastAsia"/>
                <w:b/>
                <w:bCs/>
                <w:color w:val="auto"/>
                <w:sz w:val="21"/>
                <w:szCs w:val="21"/>
                <w:highlight w:val="none"/>
                <w:lang w:val="en-US" w:eastAsia="zh-CN"/>
              </w:rPr>
              <w:t>评分内容：</w:t>
            </w:r>
          </w:p>
          <w:p w14:paraId="223674A7">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val="en-US" w:eastAsia="zh-CN"/>
              </w:rPr>
              <w:t>投标人提供的培训</w:t>
            </w:r>
            <w:r>
              <w:rPr>
                <w:rFonts w:hint="eastAsia" w:asciiTheme="minorEastAsia" w:hAnsiTheme="minorEastAsia" w:eastAsiaTheme="minorEastAsia" w:cstheme="minorEastAsia"/>
                <w:color w:val="auto"/>
                <w:sz w:val="21"/>
                <w:szCs w:val="21"/>
                <w:highlight w:val="none"/>
                <w:lang w:eastAsia="zh-CN"/>
              </w:rPr>
              <w:t>方案</w:t>
            </w:r>
            <w:r>
              <w:rPr>
                <w:rFonts w:hint="eastAsia" w:asciiTheme="minorEastAsia" w:hAnsiTheme="minorEastAsia" w:eastAsiaTheme="minorEastAsia" w:cstheme="minorEastAsia"/>
                <w:color w:val="auto"/>
                <w:sz w:val="21"/>
                <w:szCs w:val="21"/>
                <w:highlight w:val="none"/>
                <w:lang w:val="en-US" w:eastAsia="zh-CN"/>
              </w:rPr>
              <w:t>进行打分，方案内容包括但不限于以下内容：</w:t>
            </w:r>
          </w:p>
          <w:p w14:paraId="31E06C55">
            <w:pPr>
              <w:keepNext w:val="0"/>
              <w:keepLines w:val="0"/>
              <w:pageBreakBefore w:val="0"/>
              <w:widowControl w:val="0"/>
              <w:numPr>
                <w:ilvl w:val="0"/>
                <w:numId w:val="0"/>
              </w:numPr>
              <w:kinsoku/>
              <w:wordWrap/>
              <w:overflowPunct/>
              <w:topLinePunct w:val="0"/>
              <w:bidi w:val="0"/>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内容：</w:t>
            </w:r>
          </w:p>
          <w:p w14:paraId="738259B9">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1.培训计划</w:t>
            </w:r>
          </w:p>
          <w:p w14:paraId="1725F829">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培训方式</w:t>
            </w:r>
          </w:p>
          <w:p w14:paraId="73B70A1A">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3.承诺可按采购人需求进行调整，必要时提供考核。</w:t>
            </w:r>
          </w:p>
          <w:p w14:paraId="3F6189DF">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（二）评分依据：</w:t>
            </w:r>
          </w:p>
          <w:p w14:paraId="11A2C06A">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1.提供上述一项内容的得2分，最高6分，其他不得分。</w:t>
            </w:r>
          </w:p>
          <w:p w14:paraId="1D9079B2">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2.在此基础上，按照下列要求进行加分：</w:t>
            </w:r>
          </w:p>
          <w:p w14:paraId="0F24AFF4">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（1）方案整体科学合理、针对性强、可操作性强，评审为优得6分；</w:t>
            </w:r>
          </w:p>
          <w:p w14:paraId="32C3986D">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（2）方案较合理、有一定针对性、一定可操作性，评审为良得3分；</w:t>
            </w:r>
          </w:p>
          <w:p w14:paraId="5D79BCBA">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（3）方案较一般、针对性一般、可操作性一般，评审为中得1分；</w:t>
            </w:r>
          </w:p>
          <w:p w14:paraId="07783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（4）方案较差、无针对性、无可操作性，评审为差得0分。</w:t>
            </w:r>
          </w:p>
        </w:tc>
      </w:tr>
      <w:tr w14:paraId="65FC9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5482" w:hRule="atLeast"/>
          <w:tblCellSpacing w:w="0" w:type="dxa"/>
          <w:jc w:val="center"/>
        </w:trPr>
        <w:tc>
          <w:tcPr>
            <w:tcW w:w="748" w:type="dxa"/>
            <w:vMerge w:val="continue"/>
            <w:tcBorders>
              <w:tl2br w:val="nil"/>
              <w:tr2bl w:val="nil"/>
            </w:tcBorders>
            <w:shd w:val="clear" w:color="auto" w:fill="auto"/>
            <w:noWrap w:val="0"/>
            <w:vAlign w:val="center"/>
          </w:tcPr>
          <w:p w14:paraId="7BBB3874">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p>
        </w:tc>
        <w:tc>
          <w:tcPr>
            <w:tcW w:w="757" w:type="dxa"/>
            <w:tcBorders>
              <w:tl2br w:val="nil"/>
              <w:tr2bl w:val="nil"/>
            </w:tcBorders>
            <w:shd w:val="clear" w:color="auto" w:fill="auto"/>
            <w:noWrap w:val="0"/>
            <w:vAlign w:val="center"/>
          </w:tcPr>
          <w:p w14:paraId="6DFD690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072" w:type="dxa"/>
            <w:tcBorders>
              <w:tl2br w:val="nil"/>
              <w:tr2bl w:val="nil"/>
            </w:tcBorders>
            <w:shd w:val="clear" w:color="auto" w:fill="auto"/>
            <w:noWrap w:val="0"/>
            <w:vAlign w:val="center"/>
          </w:tcPr>
          <w:p w14:paraId="7B14ED5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质疑、投诉处理能力</w:t>
            </w:r>
          </w:p>
        </w:tc>
        <w:tc>
          <w:tcPr>
            <w:tcW w:w="770" w:type="dxa"/>
            <w:tcBorders>
              <w:tl2br w:val="nil"/>
              <w:tr2bl w:val="nil"/>
            </w:tcBorders>
            <w:shd w:val="clear" w:color="auto" w:fill="auto"/>
            <w:noWrap w:val="0"/>
            <w:vAlign w:val="center"/>
          </w:tcPr>
          <w:p w14:paraId="72026D0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5367" w:type="dxa"/>
            <w:tcBorders>
              <w:tl2br w:val="nil"/>
              <w:tr2bl w:val="nil"/>
            </w:tcBorders>
            <w:shd w:val="clear" w:color="auto" w:fill="auto"/>
            <w:noWrap w:val="0"/>
            <w:vAlign w:val="center"/>
          </w:tcPr>
          <w:p w14:paraId="13A227E6">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（一）</w:t>
            </w:r>
            <w:r>
              <w:rPr>
                <w:rFonts w:hint="eastAsia" w:asciiTheme="minorEastAsia" w:hAnsiTheme="minorEastAsia" w:eastAsiaTheme="minorEastAsia" w:cstheme="minorEastAsia"/>
                <w:b/>
                <w:bCs/>
                <w:color w:val="auto"/>
                <w:sz w:val="21"/>
                <w:szCs w:val="21"/>
                <w:highlight w:val="none"/>
                <w:lang w:val="en-US" w:eastAsia="zh-CN"/>
              </w:rPr>
              <w:t>评分内容：</w:t>
            </w:r>
          </w:p>
          <w:p w14:paraId="53C3437F">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val="en-US" w:eastAsia="zh-CN"/>
              </w:rPr>
              <w:t>投标人提供的</w:t>
            </w:r>
            <w:r>
              <w:rPr>
                <w:rFonts w:hint="eastAsia" w:asciiTheme="minorEastAsia" w:hAnsiTheme="minorEastAsia" w:eastAsiaTheme="minorEastAsia" w:cstheme="minorEastAsia"/>
                <w:color w:val="auto"/>
                <w:sz w:val="21"/>
                <w:szCs w:val="21"/>
                <w:highlight w:val="none"/>
                <w:lang w:eastAsia="zh-CN"/>
              </w:rPr>
              <w:t>质疑、投诉、信访、举报</w:t>
            </w:r>
            <w:r>
              <w:rPr>
                <w:rFonts w:hint="eastAsia" w:asciiTheme="minorEastAsia" w:hAnsiTheme="minorEastAsia" w:eastAsiaTheme="minorEastAsia" w:cstheme="minorEastAsia"/>
                <w:color w:val="auto"/>
                <w:sz w:val="21"/>
                <w:szCs w:val="21"/>
                <w:highlight w:val="none"/>
                <w:lang w:val="en-US" w:eastAsia="zh-CN"/>
              </w:rPr>
              <w:t>等处理方案进行打分，方案内容包括但不限于以下内容：</w:t>
            </w:r>
          </w:p>
          <w:p w14:paraId="2B739E4F">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1.建立处理机制：包含</w:t>
            </w:r>
            <w:r>
              <w:rPr>
                <w:rFonts w:hint="eastAsia" w:asciiTheme="minorEastAsia" w:hAnsiTheme="minorEastAsia" w:eastAsiaTheme="minorEastAsia" w:cstheme="minorEastAsia"/>
                <w:color w:val="auto"/>
                <w:sz w:val="21"/>
                <w:szCs w:val="21"/>
                <w:highlight w:val="none"/>
                <w:lang w:eastAsia="zh-CN"/>
              </w:rPr>
              <w:t>质疑、投诉、信访、举报</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lang w:bidi="ar"/>
              </w:rPr>
              <w:t>处理</w:t>
            </w:r>
            <w:r>
              <w:rPr>
                <w:rFonts w:hint="eastAsia" w:asciiTheme="minorEastAsia" w:hAnsiTheme="minorEastAsia" w:eastAsiaTheme="minorEastAsia" w:cstheme="minorEastAsia"/>
                <w:color w:val="auto"/>
                <w:sz w:val="21"/>
                <w:szCs w:val="21"/>
                <w:highlight w:val="none"/>
                <w:lang w:val="en-US" w:eastAsia="zh-CN" w:bidi="ar"/>
              </w:rPr>
              <w:t>措施，</w:t>
            </w:r>
            <w:r>
              <w:rPr>
                <w:rFonts w:hint="eastAsia" w:asciiTheme="minorEastAsia" w:hAnsiTheme="minorEastAsia" w:eastAsiaTheme="minorEastAsia" w:cstheme="minorEastAsia"/>
                <w:color w:val="auto"/>
                <w:sz w:val="21"/>
                <w:szCs w:val="21"/>
                <w:highlight w:val="none"/>
                <w:lang w:val="en-US" w:eastAsia="zh-CN"/>
              </w:rPr>
              <w:t>预防机制等。</w:t>
            </w:r>
          </w:p>
          <w:p w14:paraId="5A30E200">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建立情况档案。</w:t>
            </w:r>
          </w:p>
          <w:p w14:paraId="7B4B2B7F">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（二）评分依据：</w:t>
            </w:r>
          </w:p>
          <w:p w14:paraId="33B840F1">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1.提供上述一项内容的得3分，最高6分，其他不得分。</w:t>
            </w:r>
          </w:p>
          <w:p w14:paraId="1FCD1C5E">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2.在此基础上，按照下列要求进行加分：</w:t>
            </w:r>
          </w:p>
          <w:p w14:paraId="264224BF">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（1）方案整体科学合理、针对性强、可操作性强，评审为优得6分；</w:t>
            </w:r>
          </w:p>
          <w:p w14:paraId="12980651">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（2）方案较合理、有一定针对性、一定可操作性，评审为良得3分；</w:t>
            </w:r>
          </w:p>
          <w:p w14:paraId="1F392CD5">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（3）方案较一般、针对性一般、可操作性一般，评审为中得1分；</w:t>
            </w:r>
          </w:p>
          <w:p w14:paraId="0D474F70">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lang w:val="en-US" w:eastAsia="zh-CN"/>
              </w:rPr>
              <w:t>（4）方案较差、无针对性、无可操作性，评审为差得0分。</w:t>
            </w:r>
          </w:p>
        </w:tc>
      </w:tr>
      <w:tr w14:paraId="25219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8279" w:hRule="atLeast"/>
          <w:tblCellSpacing w:w="0" w:type="dxa"/>
          <w:jc w:val="center"/>
        </w:trPr>
        <w:tc>
          <w:tcPr>
            <w:tcW w:w="748" w:type="dxa"/>
            <w:vMerge w:val="continue"/>
            <w:tcBorders>
              <w:tl2br w:val="nil"/>
              <w:tr2bl w:val="nil"/>
            </w:tcBorders>
            <w:shd w:val="clear" w:color="auto" w:fill="auto"/>
            <w:noWrap w:val="0"/>
            <w:vAlign w:val="center"/>
          </w:tcPr>
          <w:p w14:paraId="11B13203">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eastAsia="zh-CN"/>
              </w:rPr>
            </w:pPr>
          </w:p>
        </w:tc>
        <w:tc>
          <w:tcPr>
            <w:tcW w:w="757" w:type="dxa"/>
            <w:tcBorders>
              <w:tl2br w:val="nil"/>
              <w:tr2bl w:val="nil"/>
            </w:tcBorders>
            <w:shd w:val="clear" w:color="auto" w:fill="auto"/>
            <w:noWrap w:val="0"/>
            <w:vAlign w:val="center"/>
          </w:tcPr>
          <w:p w14:paraId="6C1E3DC5">
            <w:pPr>
              <w:pStyle w:val="5"/>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4</w:t>
            </w:r>
          </w:p>
        </w:tc>
        <w:tc>
          <w:tcPr>
            <w:tcW w:w="2072" w:type="dxa"/>
            <w:tcBorders>
              <w:tl2br w:val="nil"/>
              <w:tr2bl w:val="nil"/>
            </w:tcBorders>
            <w:shd w:val="clear" w:color="auto" w:fill="auto"/>
            <w:noWrap w:val="0"/>
            <w:vAlign w:val="center"/>
          </w:tcPr>
          <w:p w14:paraId="691EA7E9">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拟安排的项目负责人（仅限一人）</w:t>
            </w:r>
          </w:p>
          <w:p w14:paraId="6DD2C8BE">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70" w:type="dxa"/>
            <w:tcBorders>
              <w:tl2br w:val="nil"/>
              <w:tr2bl w:val="nil"/>
            </w:tcBorders>
            <w:shd w:val="clear" w:color="auto" w:fill="auto"/>
            <w:noWrap w:val="0"/>
            <w:vAlign w:val="center"/>
          </w:tcPr>
          <w:p w14:paraId="22BB312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5367" w:type="dxa"/>
            <w:tcBorders>
              <w:tl2br w:val="nil"/>
              <w:tr2bl w:val="nil"/>
            </w:tcBorders>
            <w:shd w:val="clear" w:color="auto" w:fill="auto"/>
            <w:noWrap w:val="0"/>
            <w:vAlign w:val="top"/>
          </w:tcPr>
          <w:p w14:paraId="4E44E89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648C055A">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投标人为本项目配备的项目负责人</w:t>
            </w:r>
            <w:r>
              <w:rPr>
                <w:rFonts w:hint="eastAsia" w:asciiTheme="minorEastAsia" w:hAnsiTheme="minorEastAsia" w:eastAsiaTheme="minorEastAsia" w:cstheme="minorEastAsia"/>
                <w:color w:val="auto"/>
                <w:sz w:val="21"/>
                <w:szCs w:val="21"/>
                <w:highlight w:val="none"/>
                <w:lang w:val="zh-CN"/>
              </w:rPr>
              <w:t>（仅1人），</w:t>
            </w:r>
            <w:r>
              <w:rPr>
                <w:rFonts w:hint="eastAsia" w:asciiTheme="minorEastAsia" w:hAnsiTheme="minorEastAsia" w:eastAsiaTheme="minorEastAsia" w:cstheme="minorEastAsia"/>
                <w:b w:val="0"/>
                <w:bCs w:val="0"/>
                <w:color w:val="auto"/>
                <w:kern w:val="0"/>
                <w:sz w:val="21"/>
                <w:szCs w:val="21"/>
                <w:highlight w:val="none"/>
              </w:rPr>
              <w:t>须为投标人自有员工：</w:t>
            </w:r>
          </w:p>
          <w:p w14:paraId="13C5B47F">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w:t>
            </w:r>
            <w:r>
              <w:rPr>
                <w:rFonts w:hint="eastAsia" w:asciiTheme="minorEastAsia" w:hAnsiTheme="minorEastAsia" w:eastAsiaTheme="minorEastAsia" w:cstheme="minorEastAsia"/>
                <w:b w:val="0"/>
                <w:bCs w:val="0"/>
                <w:color w:val="auto"/>
                <w:kern w:val="0"/>
                <w:sz w:val="21"/>
                <w:szCs w:val="21"/>
                <w:highlight w:val="none"/>
                <w:lang w:val="en-US" w:eastAsia="zh-CN"/>
              </w:rPr>
              <w:t>具有本科学历或以上的，得2分</w:t>
            </w:r>
            <w:r>
              <w:rPr>
                <w:rFonts w:hint="eastAsia" w:asciiTheme="minorEastAsia" w:hAnsiTheme="minorEastAsia" w:eastAsiaTheme="minorEastAsia" w:cstheme="minorEastAsia"/>
                <w:b w:val="0"/>
                <w:bCs w:val="0"/>
                <w:color w:val="auto"/>
                <w:kern w:val="0"/>
                <w:sz w:val="21"/>
                <w:szCs w:val="21"/>
                <w:highlight w:val="none"/>
                <w:lang w:eastAsia="zh-CN"/>
              </w:rPr>
              <w:t>。</w:t>
            </w:r>
          </w:p>
          <w:p w14:paraId="08116CDD">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具有招标师证书或中级及以上《招标采购从业人员专业技术能力评价证书》或中级及以上经济师技术职称或《采购师职业能力等级证书》的</w:t>
            </w:r>
            <w:r>
              <w:rPr>
                <w:rFonts w:hint="eastAsia" w:asciiTheme="minorEastAsia" w:hAnsiTheme="minorEastAsia" w:eastAsiaTheme="minorEastAsia" w:cstheme="minorEastAsia"/>
                <w:b w:val="0"/>
                <w:bCs w:val="0"/>
                <w:color w:val="auto"/>
                <w:kern w:val="0"/>
                <w:sz w:val="21"/>
                <w:szCs w:val="21"/>
                <w:highlight w:val="none"/>
                <w:lang w:val="en-US" w:eastAsia="zh-CN"/>
              </w:rPr>
              <w:t>，得4分。</w:t>
            </w:r>
          </w:p>
          <w:p w14:paraId="065B37AE">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3.具有5年或以上</w:t>
            </w:r>
            <w:r>
              <w:rPr>
                <w:rFonts w:hint="eastAsia" w:asciiTheme="minorEastAsia" w:hAnsiTheme="minorEastAsia" w:eastAsiaTheme="minorEastAsia" w:cstheme="minorEastAsia"/>
                <w:b w:val="0"/>
                <w:bCs w:val="0"/>
                <w:color w:val="auto"/>
                <w:kern w:val="0"/>
                <w:sz w:val="21"/>
                <w:szCs w:val="21"/>
                <w:highlight w:val="none"/>
              </w:rPr>
              <w:t>招标采购代理工作经验</w:t>
            </w:r>
            <w:r>
              <w:rPr>
                <w:rFonts w:hint="eastAsia" w:asciiTheme="minorEastAsia" w:hAnsiTheme="minorEastAsia" w:eastAsiaTheme="minorEastAsia" w:cstheme="minorEastAsia"/>
                <w:color w:val="auto"/>
                <w:sz w:val="21"/>
                <w:szCs w:val="21"/>
                <w:highlight w:val="none"/>
                <w:lang w:val="en-US" w:eastAsia="zh-CN"/>
              </w:rPr>
              <w:t>的，得1分，每增加1年得2分，本小项最高得4分。</w:t>
            </w:r>
          </w:p>
          <w:p w14:paraId="3C700357">
            <w:pPr>
              <w:pStyle w:val="49"/>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（二）评</w:t>
            </w:r>
            <w:r>
              <w:rPr>
                <w:rFonts w:hint="eastAsia" w:asciiTheme="minorEastAsia" w:hAnsiTheme="minorEastAsia" w:eastAsiaTheme="minorEastAsia" w:cstheme="minorEastAsia"/>
                <w:b/>
                <w:bCs/>
                <w:color w:val="auto"/>
                <w:sz w:val="21"/>
                <w:szCs w:val="21"/>
                <w:highlight w:val="none"/>
                <w:lang w:val="en-US" w:eastAsia="zh-CN"/>
              </w:rPr>
              <w:t>分依据</w:t>
            </w:r>
            <w:r>
              <w:rPr>
                <w:rFonts w:hint="eastAsia" w:asciiTheme="minorEastAsia" w:hAnsiTheme="minorEastAsia" w:eastAsiaTheme="minorEastAsia" w:cstheme="minorEastAsia"/>
                <w:b/>
                <w:bCs/>
                <w:color w:val="auto"/>
                <w:sz w:val="21"/>
                <w:szCs w:val="21"/>
                <w:highlight w:val="none"/>
              </w:rPr>
              <w:t>：</w:t>
            </w:r>
          </w:p>
          <w:p w14:paraId="05BBB97A">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证书【或教育部留学服务中心网站（http://zwfw.cscse.edu.cn/）在线查询截图】也予以认可）。</w:t>
            </w:r>
          </w:p>
          <w:p w14:paraId="3B5615BB">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2.提供人员的资质证书复印件或扫描件。同一成员具有多种证书，不可重复得分。</w:t>
            </w:r>
          </w:p>
          <w:p w14:paraId="2708C3F3">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eastAsia="zh-CN"/>
              </w:rPr>
              <w:t>3</w:t>
            </w:r>
            <w:r>
              <w:rPr>
                <w:rFonts w:hint="eastAsia" w:asciiTheme="minorEastAsia" w:hAnsiTheme="minorEastAsia" w:eastAsiaTheme="minorEastAsia" w:cstheme="minorEastAsia"/>
                <w:b w:val="0"/>
                <w:bCs w:val="0"/>
                <w:color w:val="auto"/>
                <w:kern w:val="0"/>
                <w:sz w:val="21"/>
                <w:szCs w:val="21"/>
                <w:highlight w:val="none"/>
                <w:lang w:val="en-US" w:eastAsia="zh-CN"/>
              </w:rPr>
              <w:t>.如涉及考察人员工作经验，要求提供劳动合同作为得分依据。</w:t>
            </w:r>
          </w:p>
          <w:p w14:paraId="59B983B9">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eastAsia="zh-CN"/>
              </w:rPr>
              <w:t>4</w:t>
            </w:r>
            <w:r>
              <w:rPr>
                <w:rFonts w:hint="eastAsia" w:asciiTheme="minorEastAsia" w:hAnsiTheme="minorEastAsia" w:eastAsiaTheme="minorEastAsia" w:cstheme="minorEastAsia"/>
                <w:b w:val="0"/>
                <w:bCs w:val="0"/>
                <w:color w:val="auto"/>
                <w:kern w:val="0"/>
                <w:sz w:val="21"/>
                <w:szCs w:val="21"/>
                <w:highlight w:val="none"/>
                <w:lang w:val="en-US" w:eastAsia="zh-CN"/>
              </w:rPr>
              <w:t>.提供上述人员近一个月投标人为其购买的社保证明；如开标日上一个月的社保材料因社保部门或税务部门原因暂时无法取得，则可以往前顺延一个月；如投标人注册成立时间不足1个月的，可提供承诺函（格式自拟）。退休返聘人员提供相关人员退休证及劳动合同。</w:t>
            </w:r>
          </w:p>
          <w:p w14:paraId="244E9A1C">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eastAsia="zh-CN"/>
              </w:rPr>
              <w:t>5</w:t>
            </w:r>
            <w:r>
              <w:rPr>
                <w:rFonts w:hint="eastAsia" w:asciiTheme="minorEastAsia" w:hAnsiTheme="minorEastAsia" w:eastAsiaTheme="minorEastAsia" w:cstheme="minorEastAsia"/>
                <w:b w:val="0"/>
                <w:bCs w:val="0"/>
                <w:color w:val="auto"/>
                <w:kern w:val="0"/>
                <w:sz w:val="21"/>
                <w:szCs w:val="21"/>
                <w:highlight w:val="none"/>
                <w:lang w:val="en-US" w:eastAsia="zh-CN"/>
              </w:rPr>
              <w:t>.以上证明文件原件备查，未按要求提供或提供不清晰导致专家无法判断不得分。</w:t>
            </w:r>
          </w:p>
        </w:tc>
      </w:tr>
      <w:tr w14:paraId="01BA9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2CBF6ED9">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eastAsia="zh-CN"/>
              </w:rPr>
            </w:pPr>
          </w:p>
        </w:tc>
        <w:tc>
          <w:tcPr>
            <w:tcW w:w="757" w:type="dxa"/>
            <w:tcBorders>
              <w:tl2br w:val="nil"/>
              <w:tr2bl w:val="nil"/>
            </w:tcBorders>
            <w:shd w:val="clear" w:color="auto" w:fill="auto"/>
            <w:noWrap w:val="0"/>
            <w:vAlign w:val="center"/>
          </w:tcPr>
          <w:p w14:paraId="0F69BB28">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p>
        </w:tc>
        <w:tc>
          <w:tcPr>
            <w:tcW w:w="2072" w:type="dxa"/>
            <w:tcBorders>
              <w:tl2br w:val="nil"/>
              <w:tr2bl w:val="nil"/>
            </w:tcBorders>
            <w:shd w:val="clear" w:color="auto" w:fill="auto"/>
            <w:noWrap w:val="0"/>
            <w:vAlign w:val="center"/>
          </w:tcPr>
          <w:p w14:paraId="17232ADF">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拟安排的团队</w:t>
            </w:r>
            <w:r>
              <w:rPr>
                <w:rFonts w:hint="eastAsia" w:asciiTheme="minorEastAsia" w:hAnsiTheme="minorEastAsia" w:eastAsiaTheme="minorEastAsia" w:cstheme="minorEastAsia"/>
                <w:color w:val="auto"/>
                <w:sz w:val="21"/>
                <w:szCs w:val="21"/>
                <w:highlight w:val="none"/>
                <w:lang w:val="en-US" w:eastAsia="zh-CN"/>
              </w:rPr>
              <w:t>成员（项目</w:t>
            </w:r>
            <w:r>
              <w:rPr>
                <w:rFonts w:hint="eastAsia" w:asciiTheme="minorEastAsia" w:hAnsiTheme="minorEastAsia" w:eastAsiaTheme="minorEastAsia" w:cstheme="minorEastAsia"/>
                <w:color w:val="auto"/>
                <w:sz w:val="21"/>
                <w:szCs w:val="21"/>
                <w:highlight w:val="none"/>
              </w:rPr>
              <w:t>负责人</w:t>
            </w:r>
            <w:r>
              <w:rPr>
                <w:rFonts w:hint="eastAsia" w:asciiTheme="minorEastAsia" w:hAnsiTheme="minorEastAsia" w:eastAsiaTheme="minorEastAsia" w:cstheme="minorEastAsia"/>
                <w:color w:val="auto"/>
                <w:sz w:val="21"/>
                <w:szCs w:val="21"/>
                <w:highlight w:val="none"/>
                <w:lang w:val="en-US" w:eastAsia="zh-CN"/>
              </w:rPr>
              <w:t>除外）</w:t>
            </w:r>
          </w:p>
        </w:tc>
        <w:tc>
          <w:tcPr>
            <w:tcW w:w="770" w:type="dxa"/>
            <w:tcBorders>
              <w:tl2br w:val="nil"/>
              <w:tr2bl w:val="nil"/>
            </w:tcBorders>
            <w:shd w:val="clear" w:color="auto" w:fill="auto"/>
            <w:noWrap w:val="0"/>
            <w:vAlign w:val="center"/>
          </w:tcPr>
          <w:p w14:paraId="0C1A0A6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5367" w:type="dxa"/>
            <w:tcBorders>
              <w:tl2br w:val="nil"/>
              <w:tr2bl w:val="nil"/>
            </w:tcBorders>
            <w:shd w:val="clear" w:color="auto" w:fill="auto"/>
            <w:noWrap w:val="0"/>
            <w:vAlign w:val="top"/>
          </w:tcPr>
          <w:p w14:paraId="7894DA2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685DDB2D">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拟安排的项目主要团队成员至少4名（项目</w:t>
            </w:r>
            <w:r>
              <w:rPr>
                <w:rFonts w:hint="eastAsia" w:asciiTheme="minorEastAsia" w:hAnsiTheme="minorEastAsia" w:eastAsiaTheme="minorEastAsia" w:cstheme="minorEastAsia"/>
                <w:color w:val="auto"/>
                <w:sz w:val="21"/>
                <w:szCs w:val="21"/>
                <w:highlight w:val="none"/>
              </w:rPr>
              <w:t>负责人</w:t>
            </w:r>
            <w:r>
              <w:rPr>
                <w:rFonts w:hint="eastAsia" w:asciiTheme="minorEastAsia" w:hAnsiTheme="minorEastAsia" w:eastAsiaTheme="minorEastAsia" w:cstheme="minorEastAsia"/>
                <w:b w:val="0"/>
                <w:bCs w:val="0"/>
                <w:color w:val="auto"/>
                <w:kern w:val="0"/>
                <w:sz w:val="21"/>
                <w:szCs w:val="21"/>
                <w:highlight w:val="none"/>
              </w:rPr>
              <w:t>除外）须为投标人自有员工：</w:t>
            </w:r>
          </w:p>
          <w:p w14:paraId="791CDFD7">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SA"/>
              </w:rPr>
              <w:t>1.</w:t>
            </w:r>
            <w:r>
              <w:rPr>
                <w:rFonts w:hint="eastAsia" w:asciiTheme="minorEastAsia" w:hAnsiTheme="minorEastAsia" w:eastAsiaTheme="minorEastAsia" w:cstheme="minorEastAsia"/>
                <w:b w:val="0"/>
                <w:bCs w:val="0"/>
                <w:color w:val="auto"/>
                <w:kern w:val="0"/>
                <w:sz w:val="21"/>
                <w:szCs w:val="21"/>
                <w:highlight w:val="none"/>
              </w:rPr>
              <w:t>具有本科或以上学历，每人得</w:t>
            </w:r>
            <w:r>
              <w:rPr>
                <w:rFonts w:hint="eastAsia" w:asciiTheme="minorEastAsia" w:hAnsiTheme="minorEastAsia" w:eastAsiaTheme="minorEastAsia" w:cstheme="minorEastAsia"/>
                <w:b w:val="0"/>
                <w:bCs w:val="0"/>
                <w:color w:val="auto"/>
                <w:kern w:val="0"/>
                <w:sz w:val="21"/>
                <w:szCs w:val="21"/>
                <w:highlight w:val="none"/>
                <w:lang w:val="en-US" w:eastAsia="zh-CN"/>
              </w:rPr>
              <w:t>1</w:t>
            </w:r>
            <w:r>
              <w:rPr>
                <w:rFonts w:hint="eastAsia" w:asciiTheme="minorEastAsia" w:hAnsiTheme="minorEastAsia" w:eastAsiaTheme="minorEastAsia" w:cstheme="minorEastAsia"/>
                <w:b w:val="0"/>
                <w:bCs w:val="0"/>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本小项最高4</w:t>
            </w:r>
            <w:r>
              <w:rPr>
                <w:rFonts w:hint="eastAsia" w:asciiTheme="minorEastAsia" w:hAnsiTheme="minorEastAsia" w:cstheme="minorEastAsia"/>
                <w:color w:val="auto"/>
                <w:sz w:val="21"/>
                <w:szCs w:val="21"/>
                <w:highlight w:val="none"/>
                <w:lang w:val="en-US" w:eastAsia="zh-CN"/>
              </w:rPr>
              <w:t>分</w:t>
            </w:r>
            <w:r>
              <w:rPr>
                <w:rFonts w:hint="eastAsia" w:asciiTheme="minorEastAsia" w:hAnsiTheme="minorEastAsia" w:eastAsiaTheme="minorEastAsia" w:cstheme="minorEastAsia"/>
                <w:b w:val="0"/>
                <w:bCs w:val="0"/>
                <w:color w:val="auto"/>
                <w:kern w:val="0"/>
                <w:sz w:val="21"/>
                <w:szCs w:val="21"/>
                <w:highlight w:val="none"/>
                <w:lang w:eastAsia="zh-CN"/>
              </w:rPr>
              <w:t>。</w:t>
            </w:r>
          </w:p>
          <w:p w14:paraId="59C9B44C">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具有招标师或中级及以上《招标采购从业人员专业技术能力评价证书》或</w:t>
            </w:r>
            <w:r>
              <w:rPr>
                <w:rFonts w:hint="eastAsia" w:asciiTheme="minorEastAsia" w:hAnsiTheme="minorEastAsia" w:eastAsiaTheme="minorEastAsia" w:cstheme="minorEastAsia"/>
                <w:color w:val="auto"/>
                <w:sz w:val="21"/>
                <w:szCs w:val="21"/>
                <w:highlight w:val="none"/>
              </w:rPr>
              <w:t>中级及以上经济师技术职称</w:t>
            </w:r>
            <w:r>
              <w:rPr>
                <w:rFonts w:hint="eastAsia" w:asciiTheme="minorEastAsia" w:hAnsiTheme="minorEastAsia" w:eastAsiaTheme="minorEastAsia" w:cstheme="minorEastAsia"/>
                <w:color w:val="auto"/>
                <w:sz w:val="21"/>
                <w:szCs w:val="21"/>
                <w:highlight w:val="none"/>
                <w:lang w:val="en-US" w:eastAsia="zh-CN"/>
              </w:rPr>
              <w:t>或《采购师职业能力等级证书》的</w:t>
            </w:r>
            <w:r>
              <w:rPr>
                <w:rFonts w:hint="eastAsia" w:asciiTheme="minorEastAsia" w:hAnsiTheme="minorEastAsia" w:eastAsiaTheme="minorEastAsia" w:cstheme="minorEastAsia"/>
                <w:b w:val="0"/>
                <w:bCs w:val="0"/>
                <w:color w:val="auto"/>
                <w:kern w:val="0"/>
                <w:sz w:val="21"/>
                <w:szCs w:val="21"/>
                <w:highlight w:val="none"/>
              </w:rPr>
              <w:t>，每人得</w:t>
            </w:r>
            <w:r>
              <w:rPr>
                <w:rFonts w:hint="eastAsia" w:asciiTheme="minorEastAsia" w:hAnsiTheme="minorEastAsia" w:eastAsiaTheme="minorEastAsia" w:cstheme="minorEastAsia"/>
                <w:b w:val="0"/>
                <w:bCs w:val="0"/>
                <w:color w:val="auto"/>
                <w:kern w:val="0"/>
                <w:sz w:val="21"/>
                <w:szCs w:val="21"/>
                <w:highlight w:val="none"/>
                <w:lang w:val="en-US" w:eastAsia="zh-CN"/>
              </w:rPr>
              <w:t>1</w:t>
            </w:r>
            <w:r>
              <w:rPr>
                <w:rFonts w:hint="eastAsia" w:asciiTheme="minorEastAsia" w:hAnsiTheme="minorEastAsia" w:eastAsiaTheme="minorEastAsia" w:cstheme="minorEastAsia"/>
                <w:b w:val="0"/>
                <w:bCs w:val="0"/>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本小项</w:t>
            </w:r>
            <w:r>
              <w:rPr>
                <w:rFonts w:hint="eastAsia" w:asciiTheme="minorEastAsia" w:hAnsiTheme="minorEastAsia" w:eastAsiaTheme="minorEastAsia" w:cstheme="minorEastAsia"/>
                <w:b w:val="0"/>
                <w:bCs w:val="0"/>
                <w:color w:val="auto"/>
                <w:kern w:val="0"/>
                <w:sz w:val="21"/>
                <w:szCs w:val="21"/>
                <w:highlight w:val="none"/>
              </w:rPr>
              <w:t>最高</w:t>
            </w:r>
            <w:r>
              <w:rPr>
                <w:rFonts w:hint="eastAsia" w:asciiTheme="minorEastAsia" w:hAnsiTheme="minorEastAsia" w:eastAsiaTheme="minorEastAsia" w:cstheme="minorEastAsia"/>
                <w:b w:val="0"/>
                <w:bCs w:val="0"/>
                <w:color w:val="auto"/>
                <w:kern w:val="0"/>
                <w:sz w:val="21"/>
                <w:szCs w:val="21"/>
                <w:highlight w:val="none"/>
                <w:lang w:val="en-US" w:eastAsia="zh-CN"/>
              </w:rPr>
              <w:t>4</w:t>
            </w:r>
            <w:r>
              <w:rPr>
                <w:rFonts w:hint="eastAsia" w:asciiTheme="minorEastAsia" w:hAnsiTheme="minorEastAsia" w:eastAsiaTheme="minorEastAsia" w:cstheme="minorEastAsia"/>
                <w:b w:val="0"/>
                <w:bCs w:val="0"/>
                <w:color w:val="auto"/>
                <w:kern w:val="0"/>
                <w:sz w:val="21"/>
                <w:szCs w:val="21"/>
                <w:highlight w:val="none"/>
              </w:rPr>
              <w:t>分。</w:t>
            </w:r>
          </w:p>
          <w:p w14:paraId="2DF6770B">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3.</w:t>
            </w:r>
            <w:r>
              <w:rPr>
                <w:rFonts w:hint="eastAsia" w:asciiTheme="minorEastAsia" w:hAnsiTheme="minorEastAsia" w:eastAsiaTheme="minorEastAsia" w:cstheme="minorEastAsia"/>
                <w:b w:val="0"/>
                <w:bCs w:val="0"/>
                <w:color w:val="auto"/>
                <w:kern w:val="0"/>
                <w:sz w:val="21"/>
                <w:szCs w:val="21"/>
                <w:highlight w:val="none"/>
              </w:rPr>
              <w:t>具有5年或以上招标采购代理工作经验</w:t>
            </w:r>
            <w:r>
              <w:rPr>
                <w:rFonts w:hint="eastAsia" w:asciiTheme="minorEastAsia" w:hAnsiTheme="minorEastAsia" w:eastAsiaTheme="minorEastAsia" w:cstheme="minorEastAsia"/>
                <w:b w:val="0"/>
                <w:bCs w:val="0"/>
                <w:color w:val="auto"/>
                <w:kern w:val="0"/>
                <w:sz w:val="21"/>
                <w:szCs w:val="21"/>
                <w:highlight w:val="none"/>
                <w:lang w:val="en-US" w:eastAsia="zh-CN"/>
              </w:rPr>
              <w:t>的</w:t>
            </w:r>
            <w:r>
              <w:rPr>
                <w:rFonts w:hint="eastAsia" w:asciiTheme="minorEastAsia" w:hAnsiTheme="minorEastAsia" w:eastAsiaTheme="minorEastAsia" w:cstheme="minorEastAsia"/>
                <w:b w:val="0"/>
                <w:bCs w:val="0"/>
                <w:color w:val="auto"/>
                <w:kern w:val="0"/>
                <w:sz w:val="21"/>
                <w:szCs w:val="21"/>
                <w:highlight w:val="none"/>
              </w:rPr>
              <w:t>，每人得</w:t>
            </w:r>
            <w:r>
              <w:rPr>
                <w:rFonts w:hint="eastAsia" w:asciiTheme="minorEastAsia" w:hAnsiTheme="minorEastAsia" w:eastAsiaTheme="minorEastAsia" w:cstheme="minorEastAsia"/>
                <w:b w:val="0"/>
                <w:bCs w:val="0"/>
                <w:color w:val="auto"/>
                <w:kern w:val="0"/>
                <w:sz w:val="21"/>
                <w:szCs w:val="21"/>
                <w:highlight w:val="none"/>
                <w:lang w:val="en-US" w:eastAsia="zh-CN"/>
              </w:rPr>
              <w:t>1</w:t>
            </w:r>
            <w:r>
              <w:rPr>
                <w:rFonts w:hint="eastAsia" w:asciiTheme="minorEastAsia" w:hAnsiTheme="minorEastAsia" w:eastAsiaTheme="minorEastAsia" w:cstheme="minorEastAsia"/>
                <w:b w:val="0"/>
                <w:bCs w:val="0"/>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本小项</w:t>
            </w:r>
            <w:r>
              <w:rPr>
                <w:rFonts w:hint="eastAsia" w:asciiTheme="minorEastAsia" w:hAnsiTheme="minorEastAsia" w:eastAsiaTheme="minorEastAsia" w:cstheme="minorEastAsia"/>
                <w:b w:val="0"/>
                <w:bCs w:val="0"/>
                <w:color w:val="auto"/>
                <w:kern w:val="0"/>
                <w:sz w:val="21"/>
                <w:szCs w:val="21"/>
                <w:highlight w:val="none"/>
              </w:rPr>
              <w:t>最高</w:t>
            </w:r>
            <w:r>
              <w:rPr>
                <w:rFonts w:hint="eastAsia" w:asciiTheme="minorEastAsia" w:hAnsiTheme="minorEastAsia" w:eastAsiaTheme="minorEastAsia" w:cstheme="minorEastAsia"/>
                <w:b w:val="0"/>
                <w:bCs w:val="0"/>
                <w:color w:val="auto"/>
                <w:kern w:val="0"/>
                <w:sz w:val="21"/>
                <w:szCs w:val="21"/>
                <w:highlight w:val="none"/>
                <w:lang w:val="en-US" w:eastAsia="zh-CN"/>
              </w:rPr>
              <w:t>4</w:t>
            </w:r>
            <w:r>
              <w:rPr>
                <w:rFonts w:hint="eastAsia" w:asciiTheme="minorEastAsia" w:hAnsiTheme="minorEastAsia" w:eastAsiaTheme="minorEastAsia" w:cstheme="minorEastAsia"/>
                <w:b w:val="0"/>
                <w:bCs w:val="0"/>
                <w:color w:val="auto"/>
                <w:kern w:val="0"/>
                <w:sz w:val="21"/>
                <w:szCs w:val="21"/>
                <w:highlight w:val="none"/>
              </w:rPr>
              <w:t>分。</w:t>
            </w:r>
          </w:p>
          <w:p w14:paraId="06D61F4A">
            <w:pPr>
              <w:pStyle w:val="49"/>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（二）评</w:t>
            </w:r>
            <w:r>
              <w:rPr>
                <w:rFonts w:hint="eastAsia" w:asciiTheme="minorEastAsia" w:hAnsiTheme="minorEastAsia" w:eastAsiaTheme="minorEastAsia" w:cstheme="minorEastAsia"/>
                <w:b/>
                <w:bCs/>
                <w:color w:val="auto"/>
                <w:sz w:val="21"/>
                <w:szCs w:val="21"/>
                <w:highlight w:val="none"/>
                <w:lang w:val="en-US" w:eastAsia="zh-CN"/>
              </w:rPr>
              <w:t>分依据</w:t>
            </w:r>
            <w:r>
              <w:rPr>
                <w:rFonts w:hint="eastAsia" w:asciiTheme="minorEastAsia" w:hAnsiTheme="minorEastAsia" w:eastAsiaTheme="minorEastAsia" w:cstheme="minorEastAsia"/>
                <w:b/>
                <w:bCs/>
                <w:color w:val="auto"/>
                <w:sz w:val="21"/>
                <w:szCs w:val="21"/>
                <w:highlight w:val="none"/>
              </w:rPr>
              <w:t>：</w:t>
            </w:r>
          </w:p>
          <w:p w14:paraId="1EDC5EE2">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1.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证书【或教育部留学服务中心网站（http://zwfw.cscse.edu.cn/）在线查询截图】也予以认可）。</w:t>
            </w:r>
          </w:p>
          <w:p w14:paraId="63A95627">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2.提供人员的资质证书复印件或扫描件。同一成员具有多种证书，不可重复得分。</w:t>
            </w:r>
          </w:p>
          <w:p w14:paraId="7A9A20A7">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3.涉及考察人员工作经验，要求提供劳动合同作为得分依据。</w:t>
            </w:r>
          </w:p>
          <w:p w14:paraId="13B05E14">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4.提供上述人员近一个月投标人为其购买的社保证明；如开标日上一个月的社保材料因社保部门或税务部门原因暂时无法取得，则可以往前顺延一个月；如投标人注册成立时间不足1个月的，可提供承诺函（格式自拟）。退休返聘人员提供相关人员退休证及劳动合同。</w:t>
            </w:r>
          </w:p>
          <w:p w14:paraId="7F38D21D">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5.以上证明文件原件备查，未按要求提供或提供不清晰</w:t>
            </w:r>
          </w:p>
          <w:p w14:paraId="53C99D7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导致专家无法判断的不得分。</w:t>
            </w:r>
          </w:p>
        </w:tc>
      </w:tr>
      <w:tr w14:paraId="5A43D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7D6A3DF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eastAsia="zh-CN"/>
              </w:rPr>
            </w:pPr>
          </w:p>
        </w:tc>
        <w:tc>
          <w:tcPr>
            <w:tcW w:w="757" w:type="dxa"/>
            <w:tcBorders>
              <w:tl2br w:val="nil"/>
              <w:tr2bl w:val="nil"/>
            </w:tcBorders>
            <w:shd w:val="clear" w:color="auto" w:fill="auto"/>
            <w:noWrap w:val="0"/>
            <w:vAlign w:val="center"/>
          </w:tcPr>
          <w:p w14:paraId="578B13A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2072" w:type="dxa"/>
            <w:tcBorders>
              <w:tl2br w:val="nil"/>
              <w:tr2bl w:val="nil"/>
            </w:tcBorders>
            <w:shd w:val="clear" w:color="auto" w:fill="auto"/>
            <w:noWrap w:val="0"/>
            <w:vAlign w:val="center"/>
          </w:tcPr>
          <w:p w14:paraId="341606A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自有</w:t>
            </w:r>
            <w:r>
              <w:rPr>
                <w:rFonts w:hint="eastAsia" w:asciiTheme="minorEastAsia" w:hAnsiTheme="minorEastAsia" w:eastAsiaTheme="minorEastAsia" w:cstheme="minorEastAsia"/>
                <w:color w:val="auto"/>
                <w:sz w:val="21"/>
                <w:szCs w:val="21"/>
                <w:highlight w:val="none"/>
              </w:rPr>
              <w:t>电子</w:t>
            </w:r>
            <w:r>
              <w:rPr>
                <w:rFonts w:hint="eastAsia" w:asciiTheme="minorEastAsia" w:hAnsiTheme="minorEastAsia" w:eastAsiaTheme="minorEastAsia" w:cstheme="minorEastAsia"/>
                <w:color w:val="auto"/>
                <w:sz w:val="21"/>
                <w:szCs w:val="21"/>
                <w:highlight w:val="none"/>
                <w:lang w:val="en-US" w:eastAsia="zh-CN"/>
              </w:rPr>
              <w:t>评标</w:t>
            </w:r>
            <w:r>
              <w:rPr>
                <w:rFonts w:hint="eastAsia" w:asciiTheme="minorEastAsia" w:hAnsiTheme="minorEastAsia" w:eastAsiaTheme="minorEastAsia" w:cstheme="minorEastAsia"/>
                <w:color w:val="auto"/>
                <w:sz w:val="21"/>
                <w:szCs w:val="21"/>
                <w:highlight w:val="none"/>
              </w:rPr>
              <w:t>系统</w:t>
            </w:r>
          </w:p>
        </w:tc>
        <w:tc>
          <w:tcPr>
            <w:tcW w:w="770" w:type="dxa"/>
            <w:tcBorders>
              <w:tl2br w:val="nil"/>
              <w:tr2bl w:val="nil"/>
            </w:tcBorders>
            <w:shd w:val="clear" w:color="auto" w:fill="auto"/>
            <w:noWrap w:val="0"/>
            <w:vAlign w:val="center"/>
          </w:tcPr>
          <w:p w14:paraId="18BA677A">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5367" w:type="dxa"/>
            <w:tcBorders>
              <w:tl2br w:val="nil"/>
              <w:tr2bl w:val="nil"/>
            </w:tcBorders>
            <w:shd w:val="clear" w:color="auto" w:fill="auto"/>
            <w:noWrap w:val="0"/>
            <w:vAlign w:val="top"/>
          </w:tcPr>
          <w:p w14:paraId="588672A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3DA50B02">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有自有</w:t>
            </w:r>
            <w:r>
              <w:rPr>
                <w:rFonts w:hint="eastAsia" w:asciiTheme="minorEastAsia" w:hAnsiTheme="minorEastAsia" w:eastAsiaTheme="minorEastAsia" w:cstheme="minorEastAsia"/>
                <w:color w:val="auto"/>
                <w:sz w:val="21"/>
                <w:szCs w:val="21"/>
                <w:highlight w:val="none"/>
              </w:rPr>
              <w:t>电子</w:t>
            </w:r>
            <w:r>
              <w:rPr>
                <w:rFonts w:hint="eastAsia" w:asciiTheme="minorEastAsia" w:hAnsiTheme="minorEastAsia" w:eastAsiaTheme="minorEastAsia" w:cstheme="minorEastAsia"/>
                <w:color w:val="auto"/>
                <w:sz w:val="21"/>
                <w:szCs w:val="21"/>
                <w:highlight w:val="none"/>
                <w:lang w:val="en-US" w:eastAsia="zh-CN"/>
              </w:rPr>
              <w:t>评标</w:t>
            </w:r>
            <w:r>
              <w:rPr>
                <w:rFonts w:hint="eastAsia" w:asciiTheme="minorEastAsia" w:hAnsiTheme="minorEastAsia" w:eastAsiaTheme="minorEastAsia" w:cstheme="minorEastAsia"/>
                <w:color w:val="auto"/>
                <w:sz w:val="21"/>
                <w:szCs w:val="21"/>
                <w:highlight w:val="none"/>
              </w:rPr>
              <w:t>系统</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没有不得分</w:t>
            </w:r>
            <w:r>
              <w:rPr>
                <w:rFonts w:hint="eastAsia" w:asciiTheme="minorEastAsia" w:hAnsiTheme="minorEastAsia" w:eastAsiaTheme="minorEastAsia" w:cstheme="minorEastAsia"/>
                <w:color w:val="auto"/>
                <w:sz w:val="21"/>
                <w:szCs w:val="21"/>
                <w:highlight w:val="none"/>
                <w:lang w:eastAsia="zh-CN"/>
              </w:rPr>
              <w:t>。</w:t>
            </w:r>
          </w:p>
          <w:p w14:paraId="07D6FEAD">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（二）评分依据：</w:t>
            </w:r>
          </w:p>
          <w:p w14:paraId="334CD92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提供相关证明文件。</w:t>
            </w:r>
            <w:r>
              <w:rPr>
                <w:rFonts w:hint="eastAsia" w:asciiTheme="minorEastAsia" w:hAnsiTheme="minorEastAsia" w:eastAsiaTheme="minorEastAsia" w:cstheme="minorEastAsia"/>
                <w:b w:val="0"/>
                <w:bCs w:val="0"/>
                <w:color w:val="auto"/>
                <w:kern w:val="0"/>
                <w:sz w:val="21"/>
                <w:szCs w:val="21"/>
                <w:highlight w:val="none"/>
                <w:lang w:val="en-US" w:eastAsia="zh-CN"/>
              </w:rPr>
              <w:t>以上证明文件原件备查，未按要求。提供或提供不清晰导致专家无法判断的不得分。</w:t>
            </w:r>
          </w:p>
        </w:tc>
      </w:tr>
      <w:tr w14:paraId="4C602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1EC4649F">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eastAsia="zh-CN"/>
              </w:rPr>
            </w:pPr>
          </w:p>
        </w:tc>
        <w:tc>
          <w:tcPr>
            <w:tcW w:w="757" w:type="dxa"/>
            <w:tcBorders>
              <w:tl2br w:val="nil"/>
              <w:tr2bl w:val="nil"/>
            </w:tcBorders>
            <w:shd w:val="clear" w:color="auto" w:fill="auto"/>
            <w:noWrap w:val="0"/>
            <w:vAlign w:val="center"/>
          </w:tcPr>
          <w:p w14:paraId="2489EA2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2072" w:type="dxa"/>
            <w:tcBorders>
              <w:tl2br w:val="nil"/>
              <w:tr2bl w:val="nil"/>
            </w:tcBorders>
            <w:shd w:val="clear" w:color="auto" w:fill="auto"/>
            <w:noWrap w:val="0"/>
            <w:vAlign w:val="center"/>
          </w:tcPr>
          <w:p w14:paraId="5EFF7FE2">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市场</w:t>
            </w:r>
            <w:r>
              <w:rPr>
                <w:rFonts w:hint="eastAsia" w:asciiTheme="minorEastAsia" w:hAnsiTheme="minorEastAsia" w:eastAsiaTheme="minorEastAsia" w:cstheme="minorEastAsia"/>
                <w:color w:val="auto"/>
                <w:sz w:val="21"/>
                <w:szCs w:val="21"/>
                <w:highlight w:val="none"/>
              </w:rPr>
              <w:t>信息化</w:t>
            </w:r>
            <w:r>
              <w:rPr>
                <w:rFonts w:hint="eastAsia" w:asciiTheme="minorEastAsia" w:hAnsiTheme="minorEastAsia" w:eastAsiaTheme="minorEastAsia" w:cstheme="minorEastAsia"/>
                <w:color w:val="auto"/>
                <w:sz w:val="21"/>
                <w:szCs w:val="21"/>
                <w:highlight w:val="none"/>
                <w:lang w:eastAsia="zh-CN"/>
              </w:rPr>
              <w:t>调研</w:t>
            </w:r>
            <w:r>
              <w:rPr>
                <w:rFonts w:hint="eastAsia" w:asciiTheme="minorEastAsia" w:hAnsiTheme="minorEastAsia" w:eastAsiaTheme="minorEastAsia" w:cstheme="minorEastAsia"/>
                <w:color w:val="auto"/>
                <w:sz w:val="21"/>
                <w:szCs w:val="21"/>
                <w:highlight w:val="none"/>
              </w:rPr>
              <w:t>平台</w:t>
            </w:r>
          </w:p>
        </w:tc>
        <w:tc>
          <w:tcPr>
            <w:tcW w:w="770" w:type="dxa"/>
            <w:tcBorders>
              <w:tl2br w:val="nil"/>
              <w:tr2bl w:val="nil"/>
            </w:tcBorders>
            <w:shd w:val="clear" w:color="auto" w:fill="auto"/>
            <w:noWrap w:val="0"/>
            <w:vAlign w:val="center"/>
          </w:tcPr>
          <w:p w14:paraId="5BB629A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5367" w:type="dxa"/>
            <w:tcBorders>
              <w:tl2br w:val="nil"/>
              <w:tr2bl w:val="nil"/>
            </w:tcBorders>
            <w:shd w:val="clear" w:color="auto" w:fill="auto"/>
            <w:noWrap w:val="0"/>
            <w:vAlign w:val="top"/>
          </w:tcPr>
          <w:p w14:paraId="79456904">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（一）</w:t>
            </w:r>
            <w:r>
              <w:rPr>
                <w:rFonts w:hint="eastAsia" w:asciiTheme="minorEastAsia" w:hAnsiTheme="minorEastAsia" w:eastAsiaTheme="minorEastAsia" w:cstheme="minorEastAsia"/>
                <w:b/>
                <w:bCs/>
                <w:color w:val="auto"/>
                <w:sz w:val="21"/>
                <w:szCs w:val="21"/>
                <w:highlight w:val="none"/>
                <w:lang w:val="en-US" w:eastAsia="zh-CN"/>
              </w:rPr>
              <w:t>评分内容：</w:t>
            </w:r>
          </w:p>
          <w:p w14:paraId="4432AF4B">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市场</w:t>
            </w:r>
            <w:r>
              <w:rPr>
                <w:rFonts w:hint="eastAsia" w:asciiTheme="minorEastAsia" w:hAnsiTheme="minorEastAsia" w:eastAsiaTheme="minorEastAsia" w:cstheme="minorEastAsia"/>
                <w:color w:val="auto"/>
                <w:sz w:val="21"/>
                <w:szCs w:val="21"/>
                <w:highlight w:val="none"/>
              </w:rPr>
              <w:t>信息化</w:t>
            </w:r>
            <w:r>
              <w:rPr>
                <w:rFonts w:hint="eastAsia" w:asciiTheme="minorEastAsia" w:hAnsiTheme="minorEastAsia" w:eastAsiaTheme="minorEastAsia" w:cstheme="minorEastAsia"/>
                <w:color w:val="auto"/>
                <w:sz w:val="21"/>
                <w:szCs w:val="21"/>
                <w:highlight w:val="none"/>
                <w:lang w:eastAsia="zh-CN"/>
              </w:rPr>
              <w:t>调研</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，能提供全网医疗行业采购信息的系统供采购人使用（查询信息不局限于本公司项目信息）。</w:t>
            </w:r>
          </w:p>
          <w:p w14:paraId="520C8D2A">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（二）评分依据：</w:t>
            </w:r>
          </w:p>
          <w:p w14:paraId="5038A732">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w:t>
            </w:r>
            <w:r>
              <w:rPr>
                <w:rFonts w:hint="eastAsia" w:asciiTheme="minorEastAsia" w:hAnsiTheme="minorEastAsia" w:eastAsiaTheme="minorEastAsia" w:cstheme="minorEastAsia"/>
                <w:color w:val="auto"/>
                <w:sz w:val="21"/>
                <w:szCs w:val="21"/>
                <w:highlight w:val="none"/>
                <w:lang w:eastAsia="zh-CN"/>
              </w:rPr>
              <w:t>市场</w:t>
            </w:r>
            <w:r>
              <w:rPr>
                <w:rFonts w:hint="eastAsia" w:asciiTheme="minorEastAsia" w:hAnsiTheme="minorEastAsia" w:eastAsiaTheme="minorEastAsia" w:cstheme="minorEastAsia"/>
                <w:color w:val="auto"/>
                <w:sz w:val="21"/>
                <w:szCs w:val="21"/>
                <w:highlight w:val="none"/>
              </w:rPr>
              <w:t>信息化</w:t>
            </w:r>
            <w:r>
              <w:rPr>
                <w:rFonts w:hint="eastAsia" w:asciiTheme="minorEastAsia" w:hAnsiTheme="minorEastAsia" w:eastAsiaTheme="minorEastAsia" w:cstheme="minorEastAsia"/>
                <w:color w:val="auto"/>
                <w:sz w:val="21"/>
                <w:szCs w:val="21"/>
                <w:highlight w:val="none"/>
                <w:lang w:eastAsia="zh-CN"/>
              </w:rPr>
              <w:t>调研</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val="en-US" w:eastAsia="zh-CN"/>
              </w:rPr>
              <w:t>截图，</w:t>
            </w:r>
            <w:r>
              <w:rPr>
                <w:rFonts w:hint="eastAsia" w:asciiTheme="minorEastAsia" w:hAnsiTheme="minorEastAsia" w:eastAsiaTheme="minorEastAsia" w:cstheme="minorEastAsia"/>
                <w:color w:val="auto"/>
                <w:sz w:val="21"/>
                <w:szCs w:val="21"/>
                <w:highlight w:val="none"/>
                <w:lang w:eastAsia="zh-CN"/>
              </w:rPr>
              <w:t>提供全网医疗行业查询截图（需显示调研平台名称），需包括至少10个不同省市医疗行业的招标信息、中标信息等截图</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。提供医疗行业的招标信息、中标信息等截图数量少于10个</w:t>
            </w:r>
            <w:r>
              <w:rPr>
                <w:rFonts w:hint="eastAsia" w:asciiTheme="minorEastAsia" w:hAnsiTheme="minorEastAsia" w:eastAsiaTheme="minorEastAsia" w:cstheme="minorEastAsia"/>
                <w:color w:val="auto"/>
                <w:sz w:val="21"/>
                <w:szCs w:val="21"/>
                <w:highlight w:val="none"/>
                <w:lang w:val="en-US" w:eastAsia="zh-CN"/>
              </w:rPr>
              <w:t>的不得分。</w:t>
            </w:r>
          </w:p>
          <w:p w14:paraId="6A3605E4">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both"/>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2.以上资料均要求提供。评分中出现无证明资料或专家无法凭所提供资料判断是否得分的情况，一律作不得分处理。</w:t>
            </w:r>
          </w:p>
        </w:tc>
      </w:tr>
      <w:tr w14:paraId="68E45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1FC62FFF">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eastAsia="zh-CN"/>
              </w:rPr>
            </w:pPr>
          </w:p>
        </w:tc>
        <w:tc>
          <w:tcPr>
            <w:tcW w:w="757" w:type="dxa"/>
            <w:tcBorders>
              <w:tl2br w:val="nil"/>
              <w:tr2bl w:val="nil"/>
            </w:tcBorders>
            <w:shd w:val="clear" w:color="auto" w:fill="auto"/>
            <w:noWrap w:val="0"/>
            <w:vAlign w:val="center"/>
          </w:tcPr>
          <w:p w14:paraId="3C7AD9A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2072" w:type="dxa"/>
            <w:tcBorders>
              <w:tl2br w:val="nil"/>
              <w:tr2bl w:val="nil"/>
            </w:tcBorders>
            <w:shd w:val="clear" w:color="auto" w:fill="auto"/>
            <w:noWrap w:val="0"/>
            <w:vAlign w:val="center"/>
          </w:tcPr>
          <w:p w14:paraId="2AD555A1">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服务便利性</w:t>
            </w:r>
          </w:p>
        </w:tc>
        <w:tc>
          <w:tcPr>
            <w:tcW w:w="770" w:type="dxa"/>
            <w:tcBorders>
              <w:tl2br w:val="nil"/>
              <w:tr2bl w:val="nil"/>
            </w:tcBorders>
            <w:shd w:val="clear" w:color="auto" w:fill="auto"/>
            <w:noWrap w:val="0"/>
            <w:vAlign w:val="center"/>
          </w:tcPr>
          <w:p w14:paraId="1B4489D3">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c>
          <w:tcPr>
            <w:tcW w:w="5367" w:type="dxa"/>
            <w:tcBorders>
              <w:tl2br w:val="nil"/>
              <w:tr2bl w:val="nil"/>
            </w:tcBorders>
            <w:shd w:val="clear" w:color="auto" w:fill="auto"/>
            <w:noWrap w:val="0"/>
            <w:vAlign w:val="top"/>
          </w:tcPr>
          <w:p w14:paraId="3C870A70">
            <w:pPr>
              <w:keepNext w:val="0"/>
              <w:keepLines w:val="0"/>
              <w:pageBreakBefore w:val="0"/>
              <w:widowControl w:val="0"/>
              <w:numPr>
                <w:ilvl w:val="0"/>
                <w:numId w:val="1"/>
              </w:numPr>
              <w:kinsoku/>
              <w:wordWrap/>
              <w:overflowPunct/>
              <w:topLinePunct w:val="0"/>
              <w:bidi w:val="0"/>
              <w:spacing w:line="240" w:lineRule="auto"/>
              <w:ind w:right="290" w:rightChars="121"/>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09A5A92D">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根据投标人常用评标办公地址到</w:t>
            </w:r>
            <w:r>
              <w:rPr>
                <w:rFonts w:hint="eastAsia" w:asciiTheme="minorEastAsia" w:hAnsiTheme="minorEastAsia" w:eastAsiaTheme="minorEastAsia" w:cstheme="minorEastAsia"/>
                <w:color w:val="auto"/>
                <w:sz w:val="21"/>
                <w:szCs w:val="21"/>
                <w:highlight w:val="none"/>
                <w:lang w:val="en-US" w:eastAsia="zh-CN"/>
              </w:rPr>
              <w:t>深圳市龙岗区耳鼻咽喉医院（龙岗区黄阁楼186号）正门，</w:t>
            </w:r>
            <w:r>
              <w:rPr>
                <w:rFonts w:hint="eastAsia" w:asciiTheme="minorEastAsia" w:hAnsiTheme="minorEastAsia" w:eastAsia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lang w:val="en-US" w:eastAsia="zh-CN"/>
              </w:rPr>
              <w:t>百度</w:t>
            </w:r>
            <w:r>
              <w:rPr>
                <w:rFonts w:hint="eastAsia" w:asciiTheme="minorEastAsia" w:hAnsiTheme="minorEastAsia" w:eastAsiaTheme="minorEastAsia" w:cstheme="minorEastAsia"/>
                <w:color w:val="auto"/>
                <w:sz w:val="21"/>
                <w:szCs w:val="21"/>
                <w:highlight w:val="none"/>
                <w:lang w:eastAsia="zh-CN"/>
              </w:rPr>
              <w:t>地图导航截图行车时间。</w:t>
            </w:r>
          </w:p>
          <w:p w14:paraId="7A65F2C0">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分钟内到达的，得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w:t>
            </w:r>
          </w:p>
          <w:p w14:paraId="5780573E">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15-30（含）</w:t>
            </w:r>
            <w:r>
              <w:rPr>
                <w:rFonts w:hint="eastAsia" w:asciiTheme="minorEastAsia" w:hAnsiTheme="minorEastAsia" w:eastAsiaTheme="minorEastAsia" w:cstheme="minorEastAsia"/>
                <w:color w:val="auto"/>
                <w:sz w:val="21"/>
                <w:szCs w:val="21"/>
                <w:highlight w:val="none"/>
                <w:lang w:eastAsia="zh-CN"/>
              </w:rPr>
              <w:t>分钟到达的，得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w:t>
            </w:r>
          </w:p>
          <w:p w14:paraId="33785373">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分钟以上到达的不得分。</w:t>
            </w:r>
          </w:p>
          <w:p w14:paraId="466C4B54">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或承诺中标后在</w:t>
            </w:r>
            <w:r>
              <w:rPr>
                <w:rFonts w:hint="eastAsia" w:asciiTheme="minorEastAsia" w:hAnsiTheme="minorEastAsia" w:eastAsiaTheme="minorEastAsia" w:cstheme="minorEastAsia"/>
                <w:color w:val="auto"/>
                <w:sz w:val="21"/>
                <w:szCs w:val="21"/>
                <w:highlight w:val="none"/>
                <w:lang w:eastAsia="zh-CN"/>
              </w:rPr>
              <w:t>相应的时间</w:t>
            </w:r>
            <w:r>
              <w:rPr>
                <w:rFonts w:hint="eastAsia" w:asciiTheme="minorEastAsia" w:hAnsiTheme="minorEastAsia" w:eastAsiaTheme="minorEastAsia" w:cstheme="minorEastAsia"/>
                <w:color w:val="auto"/>
                <w:sz w:val="21"/>
                <w:szCs w:val="21"/>
                <w:highlight w:val="none"/>
                <w:lang w:val="en-US" w:eastAsia="zh-CN"/>
              </w:rPr>
              <w:t>范围内设立服务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场地的，根据承诺内容得对应分数。</w:t>
            </w:r>
          </w:p>
          <w:p w14:paraId="32D4C73B">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（二）评分依据:</w:t>
            </w:r>
          </w:p>
          <w:p w14:paraId="704C1C25">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在相应时间内已有评标场地的</w:t>
            </w:r>
            <w:r>
              <w:rPr>
                <w:rFonts w:hint="eastAsia" w:asciiTheme="minorEastAsia" w:hAnsiTheme="minorEastAsia" w:eastAsiaTheme="minorEastAsia" w:cstheme="minorEastAsia"/>
                <w:color w:val="auto"/>
                <w:sz w:val="21"/>
                <w:szCs w:val="21"/>
                <w:highlight w:val="none"/>
                <w:lang w:val="en-US" w:eastAsia="zh-CN"/>
              </w:rPr>
              <w:t>提供有效的加盖</w:t>
            </w:r>
            <w:r>
              <w:rPr>
                <w:rFonts w:hint="eastAsia" w:asciiTheme="minorEastAsia" w:hAnsiTheme="minorEastAsia" w:eastAsiaTheme="minorEastAsia" w:cstheme="minorEastAsia"/>
                <w:color w:val="auto"/>
                <w:sz w:val="21"/>
                <w:szCs w:val="21"/>
                <w:highlight w:val="none"/>
                <w:lang w:eastAsia="zh-CN"/>
              </w:rPr>
              <w:t>投标人公章的资料：</w:t>
            </w:r>
            <w:r>
              <w:rPr>
                <w:rFonts w:hint="eastAsia" w:asciiTheme="minorEastAsia" w:hAnsiTheme="minorEastAsia" w:eastAsiaTheme="minorEastAsia" w:cstheme="minorEastAsia"/>
                <w:color w:val="auto"/>
                <w:sz w:val="21"/>
                <w:szCs w:val="21"/>
                <w:highlight w:val="none"/>
                <w:lang w:val="en-US" w:eastAsia="zh-CN"/>
              </w:rPr>
              <w:t>①场地租赁合同关键页或产权证明或合法使用证明；②场地实拍图；</w:t>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eastAsia="zh-CN"/>
              </w:rPr>
              <w:t>③</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eastAsia="zh-CN"/>
              </w:rPr>
              <w:t>提供工作日（周一至周五）工作时间段（08:00-12:00,14:00-17:00）内的</w:t>
            </w:r>
            <w:r>
              <w:rPr>
                <w:rFonts w:hint="eastAsia" w:asciiTheme="minorEastAsia" w:hAnsiTheme="minorEastAsia" w:cstheme="minorEastAsia"/>
                <w:color w:val="auto"/>
                <w:sz w:val="21"/>
                <w:szCs w:val="21"/>
                <w:highlight w:val="none"/>
                <w:lang w:val="en-US" w:eastAsia="zh-CN"/>
              </w:rPr>
              <w:t>百度</w:t>
            </w:r>
            <w:r>
              <w:rPr>
                <w:rFonts w:hint="eastAsia" w:asciiTheme="minorEastAsia" w:hAnsiTheme="minorEastAsia" w:eastAsiaTheme="minorEastAsia" w:cstheme="minorEastAsia"/>
                <w:color w:val="auto"/>
                <w:sz w:val="21"/>
                <w:szCs w:val="21"/>
                <w:highlight w:val="none"/>
                <w:lang w:eastAsia="zh-CN"/>
              </w:rPr>
              <w:t>地图导航截图，加盖公章。</w:t>
            </w:r>
          </w:p>
          <w:p w14:paraId="5F615117">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2.中标后设立场地的</w:t>
            </w:r>
            <w:r>
              <w:rPr>
                <w:rFonts w:hint="eastAsia" w:asciiTheme="minorEastAsia" w:hAnsiTheme="minorEastAsia" w:eastAsiaTheme="minorEastAsia" w:cstheme="minorEastAsia"/>
                <w:color w:val="auto"/>
                <w:sz w:val="21"/>
                <w:szCs w:val="21"/>
                <w:highlight w:val="none"/>
                <w:lang w:val="en-US" w:eastAsia="zh-CN"/>
              </w:rPr>
              <w:t>承诺</w:t>
            </w:r>
            <w:r>
              <w:rPr>
                <w:rFonts w:hint="eastAsia" w:asciiTheme="minorEastAsia" w:hAnsiTheme="minorEastAsia" w:eastAsiaTheme="minorEastAsia" w:cstheme="minorEastAsia"/>
                <w:color w:val="auto"/>
                <w:sz w:val="21"/>
                <w:szCs w:val="21"/>
                <w:highlight w:val="none"/>
                <w:lang w:eastAsia="zh-CN"/>
              </w:rPr>
              <w:t>函（</w:t>
            </w:r>
            <w:r>
              <w:rPr>
                <w:rFonts w:hint="eastAsia" w:asciiTheme="minorEastAsia" w:hAnsiTheme="minorEastAsia" w:eastAsiaTheme="minorEastAsia" w:cstheme="minorEastAsia"/>
                <w:color w:val="auto"/>
                <w:sz w:val="21"/>
                <w:szCs w:val="21"/>
                <w:highlight w:val="none"/>
                <w:lang w:val="en-US" w:eastAsia="zh-CN"/>
              </w:rPr>
              <w:t>格式自拟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加盖</w:t>
            </w:r>
            <w:r>
              <w:rPr>
                <w:rFonts w:hint="eastAsia" w:asciiTheme="minorEastAsia" w:hAnsiTheme="minorEastAsia" w:eastAsiaTheme="minorEastAsia" w:cstheme="minorEastAsia"/>
                <w:color w:val="auto"/>
                <w:sz w:val="21"/>
                <w:szCs w:val="21"/>
                <w:highlight w:val="none"/>
                <w:lang w:eastAsia="zh-CN"/>
              </w:rPr>
              <w:t>投标人公章）</w:t>
            </w:r>
            <w:r>
              <w:rPr>
                <w:rFonts w:hint="eastAsia" w:asciiTheme="minorEastAsia" w:hAnsiTheme="minorEastAsia" w:eastAsiaTheme="minorEastAsia" w:cstheme="minorEastAsia"/>
                <w:color w:val="auto"/>
                <w:sz w:val="21"/>
                <w:szCs w:val="21"/>
                <w:highlight w:val="none"/>
                <w:lang w:val="en-US" w:eastAsia="zh-CN"/>
              </w:rPr>
              <w:t>。</w:t>
            </w:r>
          </w:p>
        </w:tc>
      </w:tr>
      <w:tr w14:paraId="6D936A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20" w:type="dxa"/>
            <w:left w:w="108" w:type="dxa"/>
            <w:bottom w:w="20" w:type="dxa"/>
            <w:right w:w="108" w:type="dxa"/>
          </w:tblCellMar>
        </w:tblPrEx>
        <w:trPr>
          <w:trHeight w:val="90" w:hRule="atLeast"/>
          <w:tblCellSpacing w:w="0" w:type="dxa"/>
          <w:jc w:val="center"/>
        </w:trPr>
        <w:tc>
          <w:tcPr>
            <w:tcW w:w="748" w:type="dxa"/>
            <w:vMerge w:val="restart"/>
            <w:tcBorders>
              <w:tl2br w:val="nil"/>
              <w:tr2bl w:val="nil"/>
            </w:tcBorders>
            <w:shd w:val="clear" w:color="auto" w:fill="auto"/>
            <w:noWrap w:val="0"/>
            <w:vAlign w:val="center"/>
          </w:tcPr>
          <w:p w14:paraId="38DCA029">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rPr>
              <w:t>3</w:t>
            </w:r>
          </w:p>
        </w:tc>
        <w:tc>
          <w:tcPr>
            <w:tcW w:w="3599" w:type="dxa"/>
            <w:gridSpan w:val="3"/>
            <w:tcBorders>
              <w:tl2br w:val="nil"/>
              <w:tr2bl w:val="nil"/>
            </w:tcBorders>
            <w:shd w:val="clear" w:color="auto" w:fill="auto"/>
            <w:noWrap w:val="0"/>
            <w:vAlign w:val="top"/>
          </w:tcPr>
          <w:p w14:paraId="3D53BE0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商务</w:t>
            </w:r>
            <w:r>
              <w:rPr>
                <w:rFonts w:hint="eastAsia" w:asciiTheme="minorEastAsia" w:hAnsiTheme="minorEastAsia" w:eastAsiaTheme="minorEastAsia" w:cstheme="minorEastAsia"/>
                <w:b/>
                <w:bCs/>
                <w:color w:val="auto"/>
                <w:sz w:val="24"/>
                <w:szCs w:val="24"/>
                <w:highlight w:val="none"/>
              </w:rPr>
              <w:t>部分</w:t>
            </w:r>
          </w:p>
        </w:tc>
        <w:tc>
          <w:tcPr>
            <w:tcW w:w="5367" w:type="dxa"/>
            <w:tcBorders>
              <w:tl2br w:val="nil"/>
              <w:tr2bl w:val="nil"/>
            </w:tcBorders>
            <w:shd w:val="clear" w:color="auto" w:fill="auto"/>
            <w:noWrap w:val="0"/>
            <w:vAlign w:val="top"/>
          </w:tcPr>
          <w:p w14:paraId="56A078C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p>
        </w:tc>
      </w:tr>
      <w:tr w14:paraId="24431D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298" w:hRule="atLeast"/>
          <w:tblCellSpacing w:w="0" w:type="dxa"/>
          <w:jc w:val="center"/>
        </w:trPr>
        <w:tc>
          <w:tcPr>
            <w:tcW w:w="748" w:type="dxa"/>
            <w:vMerge w:val="continue"/>
            <w:tcBorders>
              <w:tl2br w:val="nil"/>
              <w:tr2bl w:val="nil"/>
            </w:tcBorders>
            <w:shd w:val="clear" w:color="auto" w:fill="auto"/>
            <w:noWrap w:val="0"/>
            <w:vAlign w:val="center"/>
          </w:tcPr>
          <w:p w14:paraId="7B26E1A6">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2EF2E0B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2" w:type="dxa"/>
            <w:tcBorders>
              <w:tl2br w:val="nil"/>
              <w:tr2bl w:val="nil"/>
            </w:tcBorders>
            <w:shd w:val="clear" w:color="auto" w:fill="auto"/>
            <w:noWrap w:val="0"/>
            <w:vAlign w:val="center"/>
          </w:tcPr>
          <w:p w14:paraId="46A6C40C">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w:t>
            </w:r>
          </w:p>
        </w:tc>
        <w:tc>
          <w:tcPr>
            <w:tcW w:w="770" w:type="dxa"/>
            <w:tcBorders>
              <w:tl2br w:val="nil"/>
              <w:tr2bl w:val="nil"/>
            </w:tcBorders>
            <w:shd w:val="clear" w:color="auto" w:fill="auto"/>
            <w:noWrap w:val="0"/>
            <w:vAlign w:val="center"/>
          </w:tcPr>
          <w:p w14:paraId="4799A1E8">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权重</w:t>
            </w:r>
          </w:p>
        </w:tc>
        <w:tc>
          <w:tcPr>
            <w:tcW w:w="5367" w:type="dxa"/>
            <w:tcBorders>
              <w:tl2br w:val="nil"/>
              <w:tr2bl w:val="nil"/>
            </w:tcBorders>
            <w:shd w:val="clear" w:color="auto" w:fill="auto"/>
            <w:noWrap w:val="0"/>
            <w:vAlign w:val="center"/>
          </w:tcPr>
          <w:p w14:paraId="004D9478">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评分准则</w:t>
            </w:r>
          </w:p>
        </w:tc>
      </w:tr>
      <w:tr w14:paraId="3FDBC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268" w:hRule="atLeast"/>
          <w:tblCellSpacing w:w="0" w:type="dxa"/>
          <w:jc w:val="center"/>
        </w:trPr>
        <w:tc>
          <w:tcPr>
            <w:tcW w:w="748" w:type="dxa"/>
            <w:vMerge w:val="continue"/>
            <w:tcBorders>
              <w:tl2br w:val="nil"/>
              <w:tr2bl w:val="nil"/>
            </w:tcBorders>
            <w:shd w:val="clear" w:color="auto" w:fill="auto"/>
            <w:noWrap w:val="0"/>
            <w:vAlign w:val="center"/>
          </w:tcPr>
          <w:p w14:paraId="1B91799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6ED76DA4">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072" w:type="dxa"/>
            <w:tcBorders>
              <w:tl2br w:val="nil"/>
              <w:tr2bl w:val="nil"/>
            </w:tcBorders>
            <w:shd w:val="clear" w:color="auto" w:fill="auto"/>
            <w:noWrap w:val="0"/>
            <w:vAlign w:val="center"/>
          </w:tcPr>
          <w:p w14:paraId="68F0FA9C">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rPr>
              <w:t>货物类招标业绩</w:t>
            </w:r>
          </w:p>
        </w:tc>
        <w:tc>
          <w:tcPr>
            <w:tcW w:w="770" w:type="dxa"/>
            <w:tcBorders>
              <w:tl2br w:val="nil"/>
              <w:tr2bl w:val="nil"/>
            </w:tcBorders>
            <w:shd w:val="clear" w:color="auto" w:fill="auto"/>
            <w:noWrap w:val="0"/>
            <w:vAlign w:val="center"/>
          </w:tcPr>
          <w:p w14:paraId="58F0DFA6">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5367" w:type="dxa"/>
            <w:tcBorders>
              <w:tl2br w:val="nil"/>
              <w:tr2bl w:val="nil"/>
            </w:tcBorders>
            <w:shd w:val="clear" w:color="auto" w:fill="auto"/>
            <w:noWrap w:val="0"/>
            <w:vAlign w:val="center"/>
          </w:tcPr>
          <w:p w14:paraId="4B7CF4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21A85340">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投标人提供自202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年1月1日至本项目投标截止</w:t>
            </w:r>
            <w:r>
              <w:rPr>
                <w:rFonts w:hint="eastAsia" w:asciiTheme="minorEastAsia" w:hAnsiTheme="minorEastAsia" w:eastAsiaTheme="minorEastAsia" w:cstheme="minorEastAsia"/>
                <w:color w:val="auto"/>
                <w:sz w:val="21"/>
                <w:szCs w:val="21"/>
                <w:highlight w:val="none"/>
                <w:lang w:val="en-US" w:eastAsia="zh-CN"/>
              </w:rPr>
              <w:t>日</w:t>
            </w:r>
            <w:r>
              <w:rPr>
                <w:rFonts w:hint="eastAsia" w:asciiTheme="minorEastAsia" w:hAnsiTheme="minorEastAsia" w:eastAsiaTheme="minorEastAsia" w:cstheme="minorEastAsia"/>
                <w:color w:val="auto"/>
                <w:sz w:val="21"/>
                <w:szCs w:val="21"/>
                <w:highlight w:val="none"/>
              </w:rPr>
              <w:t>关于</w:t>
            </w:r>
            <w:r>
              <w:rPr>
                <w:rFonts w:hint="eastAsia" w:asciiTheme="minorEastAsia" w:hAnsiTheme="minorEastAsia" w:eastAsiaTheme="minorEastAsia" w:cstheme="minorEastAsia"/>
                <w:color w:val="auto"/>
                <w:sz w:val="21"/>
                <w:szCs w:val="21"/>
                <w:highlight w:val="none"/>
                <w:lang w:val="en-US" w:eastAsia="zh-CN"/>
              </w:rPr>
              <w:t>医疗行业</w:t>
            </w:r>
            <w:r>
              <w:rPr>
                <w:rFonts w:hint="eastAsia" w:asciiTheme="minorEastAsia" w:hAnsiTheme="minorEastAsia" w:eastAsiaTheme="minorEastAsia" w:cstheme="minorEastAsia"/>
                <w:color w:val="auto"/>
                <w:sz w:val="21"/>
                <w:szCs w:val="21"/>
                <w:highlight w:val="none"/>
              </w:rPr>
              <w:t>货物类招标代理项目业绩（以中标日期为准）</w:t>
            </w:r>
            <w:r>
              <w:rPr>
                <w:rFonts w:hint="eastAsia" w:asciiTheme="minorEastAsia" w:hAnsiTheme="minorEastAsia" w:eastAsiaTheme="minorEastAsia" w:cstheme="minorEastAsia"/>
                <w:color w:val="auto"/>
                <w:sz w:val="21"/>
                <w:szCs w:val="21"/>
                <w:highlight w:val="none"/>
                <w:lang w:eastAsia="zh-CN"/>
              </w:rPr>
              <w:t>：</w:t>
            </w:r>
          </w:p>
          <w:p w14:paraId="3B445F8C">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1.中标项目数量1000（含）个及以上的，得6分。</w:t>
            </w:r>
          </w:p>
          <w:p w14:paraId="2CA0A0C3">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2.中标项目数量500（含）-999个的，得4分。</w:t>
            </w:r>
          </w:p>
          <w:p w14:paraId="59B5203D">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lang w:val="en-US" w:eastAsia="zh-CN"/>
              </w:rPr>
              <w:t>中标项目数量500个以下的，得2分。</w:t>
            </w:r>
          </w:p>
          <w:p w14:paraId="7DBAA437">
            <w:pPr>
              <w:pStyle w:val="49"/>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（二）评</w:t>
            </w:r>
            <w:r>
              <w:rPr>
                <w:rFonts w:hint="eastAsia" w:asciiTheme="minorEastAsia" w:hAnsiTheme="minorEastAsia" w:eastAsiaTheme="minorEastAsia" w:cstheme="minorEastAsia"/>
                <w:b/>
                <w:bCs/>
                <w:color w:val="auto"/>
                <w:sz w:val="21"/>
                <w:szCs w:val="21"/>
                <w:highlight w:val="none"/>
                <w:lang w:val="en-US" w:eastAsia="zh-CN"/>
              </w:rPr>
              <w:t>分依据</w:t>
            </w:r>
            <w:r>
              <w:rPr>
                <w:rFonts w:hint="eastAsia" w:asciiTheme="minorEastAsia" w:hAnsiTheme="minorEastAsia" w:eastAsiaTheme="minorEastAsia" w:cstheme="minorEastAsia"/>
                <w:b/>
                <w:bCs/>
                <w:color w:val="auto"/>
                <w:sz w:val="21"/>
                <w:szCs w:val="21"/>
                <w:highlight w:val="none"/>
              </w:rPr>
              <w:t>：</w:t>
            </w:r>
          </w:p>
          <w:p w14:paraId="6B3D4C3E">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1.提供项目清单，项目清单需包含序号、项目编号、招标人单位名称、项目名称、中标时间。</w:t>
            </w:r>
          </w:p>
          <w:p w14:paraId="04FA24E1">
            <w:pPr>
              <w:pStyle w:val="10"/>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2.提供承诺函（格式自拟，加盖投标人公章），承诺以上业绩信息真实、有效，并加盖投标人公章。若后续抽查结果投标人为提供虚假信息，则视为投标无效。</w:t>
            </w:r>
          </w:p>
        </w:tc>
      </w:tr>
      <w:tr w14:paraId="7BDA5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20" w:type="dxa"/>
            <w:left w:w="108" w:type="dxa"/>
            <w:bottom w:w="20" w:type="dxa"/>
            <w:right w:w="108" w:type="dxa"/>
          </w:tblCellMar>
        </w:tblPrEx>
        <w:trPr>
          <w:trHeight w:val="542" w:hRule="atLeast"/>
          <w:tblCellSpacing w:w="0" w:type="dxa"/>
          <w:jc w:val="center"/>
        </w:trPr>
        <w:tc>
          <w:tcPr>
            <w:tcW w:w="748" w:type="dxa"/>
            <w:vMerge w:val="continue"/>
            <w:tcBorders>
              <w:tl2br w:val="nil"/>
              <w:tr2bl w:val="nil"/>
            </w:tcBorders>
            <w:shd w:val="clear" w:color="auto" w:fill="auto"/>
            <w:noWrap w:val="0"/>
            <w:vAlign w:val="center"/>
          </w:tcPr>
          <w:p w14:paraId="3CD6977D">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57246B71">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072" w:type="dxa"/>
            <w:tcBorders>
              <w:tl2br w:val="nil"/>
              <w:tr2bl w:val="nil"/>
            </w:tcBorders>
            <w:shd w:val="clear" w:color="auto" w:fill="auto"/>
            <w:noWrap w:val="0"/>
            <w:vAlign w:val="center"/>
          </w:tcPr>
          <w:p w14:paraId="35692D37">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lang w:eastAsia="zh-CN"/>
              </w:rPr>
              <w:t>服务</w:t>
            </w:r>
            <w:r>
              <w:rPr>
                <w:rFonts w:hint="eastAsia" w:asciiTheme="minorEastAsia" w:hAnsiTheme="minorEastAsia" w:eastAsiaTheme="minorEastAsia" w:cstheme="minorEastAsia"/>
                <w:color w:val="auto"/>
                <w:sz w:val="21"/>
                <w:szCs w:val="21"/>
                <w:highlight w:val="none"/>
              </w:rPr>
              <w:t>类招标业绩</w:t>
            </w:r>
          </w:p>
        </w:tc>
        <w:tc>
          <w:tcPr>
            <w:tcW w:w="770" w:type="dxa"/>
            <w:tcBorders>
              <w:tl2br w:val="nil"/>
              <w:tr2bl w:val="nil"/>
            </w:tcBorders>
            <w:shd w:val="clear" w:color="auto" w:fill="auto"/>
            <w:noWrap w:val="0"/>
            <w:vAlign w:val="center"/>
          </w:tcPr>
          <w:p w14:paraId="5DA6D36A">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5367" w:type="dxa"/>
            <w:tcBorders>
              <w:tl2br w:val="nil"/>
              <w:tr2bl w:val="nil"/>
            </w:tcBorders>
            <w:shd w:val="clear" w:color="auto" w:fill="auto"/>
            <w:noWrap w:val="0"/>
            <w:vAlign w:val="center"/>
          </w:tcPr>
          <w:p w14:paraId="0E32C68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（一）评</w:t>
            </w:r>
            <w:r>
              <w:rPr>
                <w:rFonts w:hint="eastAsia" w:asciiTheme="minorEastAsia" w:hAnsiTheme="minorEastAsia" w:eastAsiaTheme="minorEastAsia" w:cstheme="minorEastAsia"/>
                <w:b/>
                <w:bCs/>
                <w:color w:val="auto"/>
                <w:sz w:val="21"/>
                <w:szCs w:val="21"/>
                <w:highlight w:val="none"/>
                <w:lang w:val="en-US" w:eastAsia="zh-CN"/>
              </w:rPr>
              <w:t>分</w:t>
            </w:r>
            <w:r>
              <w:rPr>
                <w:rFonts w:hint="eastAsia" w:asciiTheme="minorEastAsia" w:hAnsiTheme="minorEastAsia" w:eastAsiaTheme="minorEastAsia" w:cstheme="minorEastAsia"/>
                <w:b/>
                <w:bCs/>
                <w:color w:val="auto"/>
                <w:sz w:val="21"/>
                <w:szCs w:val="21"/>
                <w:highlight w:val="none"/>
              </w:rPr>
              <w:t>内容：</w:t>
            </w:r>
          </w:p>
          <w:p w14:paraId="16E3D27C">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投标人提供自202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年1月1日至本项目投标截止前关于</w:t>
            </w:r>
            <w:r>
              <w:rPr>
                <w:rFonts w:hint="eastAsia" w:asciiTheme="minorEastAsia" w:hAnsiTheme="minorEastAsia" w:eastAsiaTheme="minorEastAsia" w:cstheme="minorEastAsia"/>
                <w:color w:val="auto"/>
                <w:sz w:val="21"/>
                <w:szCs w:val="21"/>
                <w:highlight w:val="none"/>
                <w:lang w:val="en-US" w:eastAsia="zh-CN"/>
              </w:rPr>
              <w:t>医疗行业</w:t>
            </w:r>
            <w:r>
              <w:rPr>
                <w:rFonts w:hint="eastAsia" w:asciiTheme="minorEastAsia" w:hAnsiTheme="minorEastAsia" w:eastAsiaTheme="minorEastAsia" w:cstheme="minorEastAsia"/>
                <w:color w:val="auto"/>
                <w:sz w:val="21"/>
                <w:szCs w:val="21"/>
                <w:highlight w:val="none"/>
              </w:rPr>
              <w:t>服务类招标代理项目业绩（以中标日期为准）</w:t>
            </w:r>
            <w:r>
              <w:rPr>
                <w:rFonts w:hint="eastAsia" w:asciiTheme="minorEastAsia" w:hAnsiTheme="minorEastAsia" w:eastAsiaTheme="minorEastAsia" w:cstheme="minorEastAsia"/>
                <w:color w:val="auto"/>
                <w:sz w:val="21"/>
                <w:szCs w:val="21"/>
                <w:highlight w:val="none"/>
                <w:lang w:eastAsia="zh-CN"/>
              </w:rPr>
              <w:t>：</w:t>
            </w:r>
          </w:p>
          <w:p w14:paraId="7F6EBEE9">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1.中标项目数量500（含）个及以上的，得6分。</w:t>
            </w:r>
          </w:p>
          <w:p w14:paraId="078BACA0">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2.中标项目数量300（含）-499个的，得4分。</w:t>
            </w:r>
          </w:p>
          <w:p w14:paraId="0AD5E84C">
            <w:pPr>
              <w:keepNext w:val="0"/>
              <w:keepLines w:val="0"/>
              <w:pageBreakBefore w:val="0"/>
              <w:widowControl w:val="0"/>
              <w:numPr>
                <w:ilvl w:val="0"/>
                <w:numId w:val="0"/>
              </w:numPr>
              <w:suppressLineNumbers w:val="0"/>
              <w:tabs>
                <w:tab w:val="left" w:pos="1431"/>
              </w:tabs>
              <w:kinsoku/>
              <w:wordWrap/>
              <w:overflowPunct/>
              <w:topLinePunct w:val="0"/>
              <w:bidi w:val="0"/>
              <w:spacing w:before="0" w:beforeAutospacing="0" w:after="0" w:afterAutospacing="0" w:line="240" w:lineRule="auto"/>
              <w:ind w:left="0" w:right="0" w:rightChars="0"/>
              <w:jc w:val="both"/>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3.中标项目数量300个以下的，得2分。</w:t>
            </w:r>
          </w:p>
          <w:p w14:paraId="3D977C84">
            <w:pPr>
              <w:pStyle w:val="49"/>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（二）评</w:t>
            </w:r>
            <w:r>
              <w:rPr>
                <w:rFonts w:hint="eastAsia" w:asciiTheme="minorEastAsia" w:hAnsiTheme="minorEastAsia" w:eastAsiaTheme="minorEastAsia" w:cstheme="minorEastAsia"/>
                <w:b/>
                <w:bCs/>
                <w:color w:val="auto"/>
                <w:sz w:val="21"/>
                <w:szCs w:val="21"/>
                <w:highlight w:val="none"/>
                <w:lang w:val="en-US" w:eastAsia="zh-CN"/>
              </w:rPr>
              <w:t>分依据</w:t>
            </w:r>
            <w:r>
              <w:rPr>
                <w:rFonts w:hint="eastAsia" w:asciiTheme="minorEastAsia" w:hAnsiTheme="minorEastAsia" w:eastAsiaTheme="minorEastAsia" w:cstheme="minorEastAsia"/>
                <w:b/>
                <w:bCs/>
                <w:color w:val="auto"/>
                <w:sz w:val="21"/>
                <w:szCs w:val="21"/>
                <w:highlight w:val="none"/>
              </w:rPr>
              <w:t>：</w:t>
            </w:r>
          </w:p>
          <w:p w14:paraId="470F5E62">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1.提供项目清单，项目清单需包含序号、项目编号、招标人单位名称、项目名称、中标时间。</w:t>
            </w:r>
          </w:p>
          <w:p w14:paraId="6AF318C9">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2.提供承诺函（格式自拟，加盖投标人公章），承诺以上业绩信息真实、有效，并加盖投标人公章。若后续抽查结果投标人为提供虚假信息，则视为投标无效。</w:t>
            </w:r>
          </w:p>
        </w:tc>
      </w:tr>
      <w:tr w14:paraId="49429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restart"/>
            <w:tcBorders>
              <w:tl2br w:val="nil"/>
              <w:tr2bl w:val="nil"/>
            </w:tcBorders>
            <w:shd w:val="clear" w:color="auto" w:fill="auto"/>
            <w:noWrap w:val="0"/>
            <w:vAlign w:val="center"/>
          </w:tcPr>
          <w:p w14:paraId="52E37FA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w:t>
            </w:r>
          </w:p>
        </w:tc>
        <w:tc>
          <w:tcPr>
            <w:tcW w:w="3599" w:type="dxa"/>
            <w:gridSpan w:val="3"/>
            <w:tcBorders>
              <w:tl2br w:val="nil"/>
              <w:tr2bl w:val="nil"/>
            </w:tcBorders>
            <w:shd w:val="clear" w:color="auto" w:fill="auto"/>
            <w:noWrap w:val="0"/>
            <w:vAlign w:val="top"/>
          </w:tcPr>
          <w:p w14:paraId="4C5C9E03">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诚信情况</w:t>
            </w:r>
          </w:p>
        </w:tc>
        <w:tc>
          <w:tcPr>
            <w:tcW w:w="5367" w:type="dxa"/>
            <w:tcBorders>
              <w:tl2br w:val="nil"/>
              <w:tr2bl w:val="nil"/>
            </w:tcBorders>
            <w:shd w:val="clear" w:color="auto" w:fill="auto"/>
            <w:noWrap w:val="0"/>
            <w:vAlign w:val="top"/>
          </w:tcPr>
          <w:p w14:paraId="2A4D262E">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5</w:t>
            </w:r>
          </w:p>
        </w:tc>
      </w:tr>
      <w:tr w14:paraId="1D8F4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6DCB83E5">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2E36994E">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072" w:type="dxa"/>
            <w:tcBorders>
              <w:tl2br w:val="nil"/>
              <w:tr2bl w:val="nil"/>
            </w:tcBorders>
            <w:shd w:val="clear" w:color="auto" w:fill="auto"/>
            <w:noWrap w:val="0"/>
            <w:vAlign w:val="center"/>
          </w:tcPr>
          <w:p w14:paraId="50DB8759">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评分因素</w:t>
            </w:r>
          </w:p>
        </w:tc>
        <w:tc>
          <w:tcPr>
            <w:tcW w:w="770" w:type="dxa"/>
            <w:tcBorders>
              <w:tl2br w:val="nil"/>
              <w:tr2bl w:val="nil"/>
            </w:tcBorders>
            <w:shd w:val="clear" w:color="auto" w:fill="auto"/>
            <w:noWrap w:val="0"/>
            <w:vAlign w:val="center"/>
          </w:tcPr>
          <w:p w14:paraId="33433AE1">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权重</w:t>
            </w:r>
          </w:p>
        </w:tc>
        <w:tc>
          <w:tcPr>
            <w:tcW w:w="5367" w:type="dxa"/>
            <w:tcBorders>
              <w:tl2br w:val="nil"/>
              <w:tr2bl w:val="nil"/>
            </w:tcBorders>
            <w:shd w:val="clear" w:color="auto" w:fill="auto"/>
            <w:noWrap w:val="0"/>
            <w:vAlign w:val="center"/>
          </w:tcPr>
          <w:p w14:paraId="1E1D409D">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评分准则</w:t>
            </w:r>
          </w:p>
        </w:tc>
      </w:tr>
      <w:tr w14:paraId="654C9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0" w:type="dxa"/>
            <w:left w:w="108" w:type="dxa"/>
            <w:bottom w:w="20" w:type="dxa"/>
            <w:right w:w="108" w:type="dxa"/>
          </w:tblCellMar>
        </w:tblPrEx>
        <w:trPr>
          <w:trHeight w:val="90" w:hRule="atLeast"/>
          <w:tblCellSpacing w:w="0" w:type="dxa"/>
          <w:jc w:val="center"/>
        </w:trPr>
        <w:tc>
          <w:tcPr>
            <w:tcW w:w="748" w:type="dxa"/>
            <w:vMerge w:val="continue"/>
            <w:tcBorders>
              <w:tl2br w:val="nil"/>
              <w:tr2bl w:val="nil"/>
            </w:tcBorders>
            <w:shd w:val="clear" w:color="auto" w:fill="auto"/>
            <w:noWrap w:val="0"/>
            <w:vAlign w:val="center"/>
          </w:tcPr>
          <w:p w14:paraId="2FD5ADFC">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rPr>
                <w:rFonts w:hint="eastAsia" w:asciiTheme="minorEastAsia" w:hAnsiTheme="minorEastAsia" w:eastAsiaTheme="minorEastAsia" w:cstheme="minorEastAsia"/>
                <w:b/>
                <w:bCs/>
                <w:color w:val="auto"/>
                <w:sz w:val="24"/>
                <w:szCs w:val="24"/>
                <w:highlight w:val="none"/>
              </w:rPr>
            </w:pPr>
          </w:p>
        </w:tc>
        <w:tc>
          <w:tcPr>
            <w:tcW w:w="757" w:type="dxa"/>
            <w:tcBorders>
              <w:tl2br w:val="nil"/>
              <w:tr2bl w:val="nil"/>
            </w:tcBorders>
            <w:shd w:val="clear" w:color="auto" w:fill="auto"/>
            <w:noWrap w:val="0"/>
            <w:vAlign w:val="center"/>
          </w:tcPr>
          <w:p w14:paraId="36C50E3B">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2072" w:type="dxa"/>
            <w:tcBorders>
              <w:tl2br w:val="nil"/>
              <w:tr2bl w:val="nil"/>
            </w:tcBorders>
            <w:shd w:val="clear" w:color="auto" w:fill="auto"/>
            <w:noWrap w:val="0"/>
            <w:vAlign w:val="center"/>
          </w:tcPr>
          <w:p w14:paraId="0F009F00">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诚信情况</w:t>
            </w:r>
          </w:p>
        </w:tc>
        <w:tc>
          <w:tcPr>
            <w:tcW w:w="770" w:type="dxa"/>
            <w:tcBorders>
              <w:tl2br w:val="nil"/>
              <w:tr2bl w:val="nil"/>
            </w:tcBorders>
            <w:shd w:val="clear" w:color="auto" w:fill="auto"/>
            <w:noWrap w:val="0"/>
            <w:vAlign w:val="center"/>
          </w:tcPr>
          <w:p w14:paraId="013FE074">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c>
          <w:tcPr>
            <w:tcW w:w="5367" w:type="dxa"/>
            <w:tcBorders>
              <w:tl2br w:val="nil"/>
              <w:tr2bl w:val="nil"/>
            </w:tcBorders>
            <w:shd w:val="clear" w:color="auto" w:fill="auto"/>
            <w:noWrap w:val="0"/>
            <w:vAlign w:val="center"/>
          </w:tcPr>
          <w:p w14:paraId="17A654A7">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w:t>
            </w:r>
          </w:p>
          <w:p w14:paraId="28F5F454">
            <w:pPr>
              <w:keepNext w:val="0"/>
              <w:keepLines w:val="0"/>
              <w:pageBreakBefore w:val="0"/>
              <w:widowControl w:val="0"/>
              <w:suppressLineNumbers w:val="0"/>
              <w:tabs>
                <w:tab w:val="left" w:pos="1431"/>
              </w:tabs>
              <w:kinsoku/>
              <w:wordWrap/>
              <w:overflowPunct/>
              <w:topLinePunct w:val="0"/>
              <w:bidi w:val="0"/>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77934C21">
      <w:pPr>
        <w:rPr>
          <w:rFonts w:hint="default" w:ascii="仿宋" w:hAnsi="仿宋" w:eastAsia="仿宋" w:cs="仿宋"/>
          <w:b/>
          <w:bCs/>
          <w:color w:val="FF0000"/>
          <w:sz w:val="24"/>
          <w:szCs w:val="24"/>
          <w:highlight w:val="yellow"/>
        </w:rPr>
      </w:pPr>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1"/>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9"/>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7"/>
        <w:tblW w:w="5830"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9"/>
        <w:gridCol w:w="1498"/>
        <w:gridCol w:w="1655"/>
        <w:gridCol w:w="969"/>
        <w:gridCol w:w="534"/>
        <w:gridCol w:w="1415"/>
        <w:gridCol w:w="3369"/>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5"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732"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808"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73"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261"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691" w:type="pct"/>
            <w:shd w:val="clear" w:color="auto" w:fill="auto"/>
            <w:tcMar>
              <w:top w:w="15" w:type="dxa"/>
              <w:left w:w="15" w:type="dxa"/>
              <w:bottom w:w="15" w:type="dxa"/>
              <w:right w:w="15" w:type="dxa"/>
            </w:tcMar>
            <w:vAlign w:val="center"/>
          </w:tcPr>
          <w:p w14:paraId="3FECB2E8">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服务收费</w:t>
            </w:r>
          </w:p>
          <w:p w14:paraId="4B22A15F">
            <w:pPr>
              <w:adjustRightInd w:val="0"/>
              <w:snapToGrid w:val="0"/>
              <w:jc w:val="center"/>
              <w:rPr>
                <w:rFonts w:hint="eastAsia" w:ascii="Times New Roman" w:hAnsi="Times New Roman" w:eastAsia="宋体" w:cs="Times New Roman"/>
                <w:lang w:val="en-US" w:eastAsia="zh-CN"/>
              </w:rPr>
            </w:pPr>
            <w:r>
              <w:rPr>
                <w:rFonts w:hint="eastAsia" w:ascii="宋体" w:hAnsi="宋体" w:eastAsia="宋体" w:cs="宋体"/>
                <w:lang w:val="en-US" w:eastAsia="zh-CN"/>
              </w:rPr>
              <w:t>折扣率上限</w:t>
            </w:r>
          </w:p>
        </w:tc>
        <w:tc>
          <w:tcPr>
            <w:tcW w:w="1646"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5"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73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bookmarkStart w:id="21" w:name="Number"/>
            <w:r>
              <w:rPr>
                <w:rFonts w:hint="default" w:ascii="宋体" w:hAnsi="宋体" w:cs="宋体" w:eastAsiaTheme="minorEastAsia"/>
                <w:lang w:val="en-US" w:eastAsia="zh-CN"/>
              </w:rPr>
              <w:t>ENT202601-006</w:t>
            </w:r>
            <w:bookmarkEnd w:id="21"/>
          </w:p>
        </w:tc>
        <w:tc>
          <w:tcPr>
            <w:tcW w:w="808"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eastAsia" w:ascii="宋体" w:hAnsi="宋体" w:cs="宋体"/>
                <w:b w:val="0"/>
                <w:bCs w:val="0"/>
                <w:color w:val="auto"/>
                <w:sz w:val="24"/>
                <w:szCs w:val="24"/>
                <w:highlight w:val="none"/>
                <w:lang w:val="zh-CN"/>
              </w:rPr>
              <w:t>社会采购代理机构遴选</w:t>
            </w:r>
          </w:p>
        </w:tc>
        <w:tc>
          <w:tcPr>
            <w:tcW w:w="473" w:type="pct"/>
            <w:tcMar>
              <w:top w:w="15" w:type="dxa"/>
              <w:left w:w="15" w:type="dxa"/>
              <w:bottom w:w="15" w:type="dxa"/>
              <w:right w:w="15" w:type="dxa"/>
            </w:tcMar>
            <w:vAlign w:val="center"/>
          </w:tcPr>
          <w:p w14:paraId="34AB9898">
            <w:pPr>
              <w:widowControl w:val="0"/>
              <w:adjustRightInd w:val="0"/>
              <w:snapToGrid w:val="0"/>
              <w:jc w:val="center"/>
              <w:rPr>
                <w:rFonts w:hint="eastAsia" w:eastAsia="宋体"/>
                <w:lang w:val="en-US" w:eastAsia="zh-CN"/>
              </w:rPr>
            </w:pPr>
            <w:r>
              <w:rPr>
                <w:rFonts w:hint="eastAsia" w:eastAsia="宋体"/>
                <w:lang w:val="en-US" w:eastAsia="zh-CN"/>
              </w:rPr>
              <w:t>1</w:t>
            </w:r>
          </w:p>
        </w:tc>
        <w:tc>
          <w:tcPr>
            <w:tcW w:w="261" w:type="pct"/>
            <w:tcMar>
              <w:top w:w="15" w:type="dxa"/>
              <w:left w:w="15" w:type="dxa"/>
              <w:bottom w:w="15" w:type="dxa"/>
              <w:right w:w="15" w:type="dxa"/>
            </w:tcMar>
            <w:vAlign w:val="center"/>
          </w:tcPr>
          <w:p w14:paraId="155E66EA">
            <w:pPr>
              <w:widowControl w:val="0"/>
              <w:adjustRightInd w:val="0"/>
              <w:snapToGrid w:val="0"/>
              <w:jc w:val="center"/>
              <w:rPr>
                <w:rFonts w:hint="default" w:eastAsia="宋体"/>
                <w:lang w:val="en-US" w:eastAsia="zh-CN"/>
              </w:rPr>
            </w:pPr>
            <w:r>
              <w:rPr>
                <w:rFonts w:hint="eastAsia" w:eastAsia="宋体"/>
                <w:lang w:val="en-US" w:eastAsia="zh-CN"/>
              </w:rPr>
              <w:t>项</w:t>
            </w:r>
          </w:p>
        </w:tc>
        <w:tc>
          <w:tcPr>
            <w:tcW w:w="691" w:type="pct"/>
            <w:shd w:val="clear" w:color="auto" w:fill="auto"/>
            <w:tcMar>
              <w:top w:w="15" w:type="dxa"/>
              <w:left w:w="15" w:type="dxa"/>
              <w:bottom w:w="15" w:type="dxa"/>
              <w:right w:w="15" w:type="dxa"/>
            </w:tcMar>
            <w:vAlign w:val="center"/>
          </w:tcPr>
          <w:p w14:paraId="3B57CC61">
            <w:pPr>
              <w:widowControl w:val="0"/>
              <w:adjustRightInd w:val="0"/>
              <w:snapToGrid w:val="0"/>
              <w:jc w:val="center"/>
              <w:rPr>
                <w:rFonts w:hint="default" w:ascii="Times New Roman" w:hAnsi="Times New Roman" w:eastAsia="宋体" w:cs="Times New Roman"/>
                <w:lang w:val="en-US" w:eastAsia="zh-CN"/>
              </w:rPr>
            </w:pPr>
            <w:r>
              <w:rPr>
                <w:rFonts w:hint="eastAsia" w:eastAsia="宋体" w:cs="Times New Roman"/>
                <w:lang w:val="en-US" w:eastAsia="zh-CN"/>
              </w:rPr>
              <w:t>0.8</w:t>
            </w:r>
          </w:p>
        </w:tc>
        <w:tc>
          <w:tcPr>
            <w:tcW w:w="1646" w:type="pct"/>
            <w:tcMar>
              <w:top w:w="15" w:type="dxa"/>
              <w:left w:w="15" w:type="dxa"/>
              <w:bottom w:w="15" w:type="dxa"/>
              <w:right w:w="15" w:type="dxa"/>
            </w:tcMar>
            <w:vAlign w:val="center"/>
          </w:tcPr>
          <w:p w14:paraId="3BA326B6">
            <w:pPr>
              <w:widowControl w:val="0"/>
              <w:adjustRightInd w:val="0"/>
              <w:snapToGrid w:val="0"/>
              <w:jc w:val="both"/>
              <w:rPr>
                <w:rFonts w:hint="default" w:ascii="宋体" w:hAnsi="宋体" w:eastAsia="宋体" w:cs="宋体"/>
                <w:lang w:val="en-US" w:eastAsia="zh-CN"/>
              </w:rPr>
            </w:pPr>
            <w:r>
              <w:rPr>
                <w:rFonts w:hint="eastAsia" w:ascii="宋体" w:hAnsi="宋体" w:eastAsia="宋体" w:cs="宋体"/>
                <w:bCs/>
                <w:color w:val="auto"/>
                <w:sz w:val="24"/>
                <w:szCs w:val="24"/>
                <w:highlight w:val="none"/>
                <w:lang w:val="en-US" w:eastAsia="zh-CN"/>
              </w:rPr>
              <w:t>本项目服务期限为1年。依采购人要求本项目服务期限原则上为3年（如出现政策变化可调整）；合同采取一年一签方式，合同期满后，经履约考核为良好或以上</w:t>
            </w:r>
            <w:r>
              <w:rPr>
                <w:rFonts w:hint="eastAsia" w:cs="Times New Roman"/>
                <w:sz w:val="24"/>
                <w:szCs w:val="24"/>
                <w:highlight w:val="none"/>
                <w:lang w:val="en-US" w:eastAsia="zh-CN"/>
              </w:rPr>
              <w:t>且</w:t>
            </w:r>
            <w:r>
              <w:rPr>
                <w:rFonts w:hint="eastAsia" w:ascii="Times New Roman" w:hAnsi="Times New Roman" w:eastAsia="宋体" w:cs="Times New Roman"/>
                <w:sz w:val="24"/>
                <w:szCs w:val="24"/>
                <w:highlight w:val="none"/>
                <w:lang w:val="en-US" w:eastAsia="zh-CN"/>
              </w:rPr>
              <w:t>中标人</w:t>
            </w:r>
            <w:r>
              <w:rPr>
                <w:rFonts w:hint="eastAsia" w:cs="Times New Roman"/>
                <w:sz w:val="24"/>
                <w:szCs w:val="24"/>
                <w:highlight w:val="none"/>
                <w:lang w:val="en-US" w:eastAsia="zh-CN"/>
              </w:rPr>
              <w:t>未被列入失信被执行人、重大税收违法案件当事人名单、政府采购严重违法失信行为记录名单</w:t>
            </w:r>
            <w:r>
              <w:rPr>
                <w:rFonts w:hint="eastAsia" w:ascii="Times New Roman" w:hAnsi="Times New Roman" w:cs="Times New Roman"/>
                <w:sz w:val="24"/>
                <w:szCs w:val="24"/>
                <w:highlight w:val="none"/>
                <w:lang w:val="en-US" w:eastAsia="zh-CN"/>
              </w:rPr>
              <w:t>的</w:t>
            </w:r>
            <w:r>
              <w:rPr>
                <w:rFonts w:hint="eastAsia" w:ascii="宋体" w:hAnsi="宋体" w:eastAsia="宋体" w:cs="宋体"/>
                <w:bCs/>
                <w:color w:val="auto"/>
                <w:sz w:val="24"/>
                <w:szCs w:val="24"/>
                <w:highlight w:val="none"/>
                <w:lang w:val="en-US" w:eastAsia="zh-CN"/>
              </w:rPr>
              <w:t>可按原合同条款续签下一年度合同，每次续签期限为一年，最多可续签</w:t>
            </w:r>
            <w:r>
              <w:rPr>
                <w:rFonts w:hint="eastAsia" w:ascii="宋体" w:hAnsi="宋体" w:cs="宋体"/>
                <w:bCs/>
                <w:color w:val="auto"/>
                <w:sz w:val="24"/>
                <w:szCs w:val="24"/>
                <w:highlight w:val="none"/>
                <w:lang w:val="en-US" w:eastAsia="zh-CN"/>
              </w:rPr>
              <w:t>两</w:t>
            </w:r>
            <w:r>
              <w:rPr>
                <w:rFonts w:hint="eastAsia" w:ascii="宋体" w:hAnsi="宋体" w:eastAsia="宋体" w:cs="宋体"/>
                <w:bCs/>
                <w:color w:val="auto"/>
                <w:sz w:val="24"/>
                <w:szCs w:val="24"/>
                <w:highlight w:val="none"/>
                <w:lang w:val="en-US" w:eastAsia="zh-CN"/>
              </w:rPr>
              <w:t>次。如当年度履约过程出现一票否决情况，无论得分多少均不再续约。</w:t>
            </w:r>
          </w:p>
        </w:tc>
      </w:tr>
    </w:tbl>
    <w:p w14:paraId="571B6C2B">
      <w:pPr>
        <w:spacing w:line="560" w:lineRule="exact"/>
        <w:ind w:firstLine="482" w:firstLineChars="200"/>
        <w:rPr>
          <w:rFonts w:hint="eastAsia" w:asciiTheme="minorEastAsia" w:hAnsiTheme="minorEastAsia" w:cstheme="minorEastAsia"/>
          <w:bCs/>
        </w:rPr>
      </w:pPr>
      <w:r>
        <w:rPr>
          <w:rFonts w:hint="eastAsia" w:asciiTheme="minorEastAsia" w:hAnsiTheme="minorEastAsia" w:eastAsiaTheme="minorEastAsia"/>
          <w:b/>
          <w:color w:val="FF0000"/>
          <w:sz w:val="24"/>
          <w:szCs w:val="32"/>
          <w:lang w:val="en-US" w:eastAsia="zh-CN"/>
        </w:rPr>
        <w:t>注：本项目成交候选中标供应商3家，成交供应商3家。</w:t>
      </w:r>
    </w:p>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jc w:val="both"/>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761786DB">
      <w:pPr>
        <w:spacing w:line="560" w:lineRule="exact"/>
        <w:ind w:firstLine="482" w:firstLineChars="200"/>
        <w:jc w:val="both"/>
        <w:rPr>
          <w:rFonts w:hint="default"/>
          <w:b/>
          <w:bCs w:val="0"/>
          <w:lang w:val="en-US" w:eastAsia="zh-CN"/>
        </w:rPr>
      </w:pPr>
      <w:r>
        <w:rPr>
          <w:rFonts w:hint="eastAsia" w:asciiTheme="minorEastAsia" w:hAnsiTheme="minorEastAsia" w:cstheme="minorEastAsia"/>
          <w:b/>
          <w:bCs w:val="0"/>
          <w:color w:val="FF0000"/>
          <w:lang w:val="en-US" w:eastAsia="zh-CN"/>
        </w:rPr>
        <w:t>8.是否有特殊资格条件要求：是。（1）</w:t>
      </w:r>
      <w:r>
        <w:rPr>
          <w:rFonts w:hint="default" w:asciiTheme="minorEastAsia" w:hAnsiTheme="minorEastAsia" w:cstheme="minorEastAsia"/>
          <w:b/>
          <w:bCs w:val="0"/>
          <w:color w:val="FF0000"/>
          <w:lang w:val="en-US" w:eastAsia="zh-CN"/>
        </w:rPr>
        <w:t>社会采购代理机构已纳入深圳市社会采购代理机构从业名录（提供系统截图），符合《政府采购代理机构管理暂行办法》《深圳市政府采购代理机构监督管理实施办法》要求。</w:t>
      </w:r>
      <w:r>
        <w:rPr>
          <w:rFonts w:hint="eastAsia" w:asciiTheme="minorEastAsia" w:hAnsiTheme="minorEastAsia" w:cstheme="minorEastAsia"/>
          <w:b/>
          <w:bCs w:val="0"/>
          <w:color w:val="FF0000"/>
          <w:lang w:val="en-US" w:eastAsia="zh-CN"/>
        </w:rPr>
        <w:t>（2）</w:t>
      </w:r>
      <w:r>
        <w:rPr>
          <w:rFonts w:hint="default" w:asciiTheme="minorEastAsia" w:hAnsiTheme="minorEastAsia" w:cstheme="minorEastAsia"/>
          <w:b/>
          <w:bCs w:val="0"/>
          <w:color w:val="FF0000"/>
          <w:lang w:val="en-US" w:eastAsia="zh-CN"/>
        </w:rPr>
        <w:t>社会采购代理机构在中国国际招标网登记备案（提供截图），具备国际招标代理能力。</w:t>
      </w:r>
      <w:r>
        <w:rPr>
          <w:rFonts w:hint="eastAsia" w:asciiTheme="minorEastAsia" w:hAnsiTheme="minorEastAsia" w:cstheme="minorEastAsia"/>
          <w:b/>
          <w:bCs w:val="0"/>
          <w:color w:val="FF0000"/>
          <w:lang w:val="en-US" w:eastAsia="zh-CN"/>
        </w:rPr>
        <w:t>（由供应商报名时在“其他资质文件”中提供）</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1、投标人应在2026年1月26日17:00前在深圳市龙岗区耳鼻咽喉医院招采平台（zc.szenthn.com:9093）进行线上报名（凡第一次登录的供应商均需先完成供应商注册，经审核通过后再投标）。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2、投标文件递交截止时间：供应商需在2026年1月29日17:00前将投标文件电子版上传到深圳市龙岗区耳鼻咽喉医院招采平台。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9"/>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2CE6A0EC">
      <w:pPr>
        <w:widowControl w:val="0"/>
        <w:tabs>
          <w:tab w:val="left" w:pos="720"/>
        </w:tabs>
        <w:spacing w:line="560" w:lineRule="exact"/>
        <w:ind w:firstLine="48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cstheme="minorEastAsia"/>
        </w:rPr>
        <w:t>（二）地    址：深圳市龙岗区龙城街道黄阁路186号</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w:t>
      </w:r>
      <w:r>
        <w:rPr>
          <w:rFonts w:hint="eastAsia" w:asciiTheme="minorEastAsia" w:hAnsiTheme="minorEastAsia" w:cstheme="minorEastAsia"/>
          <w:lang w:val="en-US" w:eastAsia="zh-CN"/>
        </w:rPr>
        <w:t>综合分数排名前3的</w:t>
      </w:r>
      <w:r>
        <w:rPr>
          <w:rFonts w:hint="eastAsia" w:asciiTheme="minorEastAsia" w:hAnsiTheme="minorEastAsia" w:cstheme="minorEastAsia"/>
        </w:rPr>
        <w:t>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45F4CEF">
      <w:pPr>
        <w:pStyle w:val="49"/>
        <w:spacing w:line="560" w:lineRule="exact"/>
        <w:ind w:firstLine="480" w:firstLineChars="0"/>
        <w:rPr>
          <w:rFonts w:hint="eastAsia" w:asciiTheme="minorEastAsia" w:hAnsiTheme="minorEastAsia" w:eastAsiaTheme="minorEastAsia"/>
          <w:b/>
          <w:sz w:val="24"/>
          <w:szCs w:val="32"/>
        </w:rPr>
      </w:pPr>
      <w:r>
        <w:rPr>
          <w:rFonts w:hint="eastAsia" w:asciiTheme="minorEastAsia" w:hAnsiTheme="minorEastAsia" w:eastAsiaTheme="minorEastAsia"/>
          <w:b/>
          <w:sz w:val="28"/>
          <w:szCs w:val="36"/>
        </w:rPr>
        <w:t>一、基本情况</w:t>
      </w:r>
    </w:p>
    <w:tbl>
      <w:tblPr>
        <w:tblStyle w:val="27"/>
        <w:tblW w:w="5830"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9"/>
        <w:gridCol w:w="1498"/>
        <w:gridCol w:w="1655"/>
        <w:gridCol w:w="969"/>
        <w:gridCol w:w="534"/>
        <w:gridCol w:w="1439"/>
        <w:gridCol w:w="3345"/>
      </w:tblGrid>
      <w:tr w14:paraId="13EA2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5" w:type="pct"/>
            <w:tcBorders>
              <w:tl2br w:val="nil"/>
              <w:tr2bl w:val="nil"/>
            </w:tcBorders>
            <w:tcMar>
              <w:top w:w="15" w:type="dxa"/>
              <w:left w:w="15" w:type="dxa"/>
              <w:bottom w:w="15" w:type="dxa"/>
              <w:right w:w="15" w:type="dxa"/>
            </w:tcMar>
            <w:vAlign w:val="center"/>
          </w:tcPr>
          <w:p w14:paraId="61E5086B">
            <w:pPr>
              <w:adjustRightInd w:val="0"/>
              <w:snapToGrid w:val="0"/>
              <w:jc w:val="center"/>
              <w:rPr>
                <w:rFonts w:hint="eastAsia" w:ascii="宋体" w:hAnsi="宋体" w:eastAsia="宋体" w:cs="宋体"/>
              </w:rPr>
            </w:pPr>
            <w:r>
              <w:rPr>
                <w:rFonts w:hint="eastAsia" w:ascii="宋体" w:hAnsi="宋体" w:eastAsia="宋体" w:cs="宋体"/>
              </w:rPr>
              <w:t>序号</w:t>
            </w:r>
          </w:p>
        </w:tc>
        <w:tc>
          <w:tcPr>
            <w:tcW w:w="732" w:type="pct"/>
            <w:tcBorders>
              <w:tl2br w:val="nil"/>
              <w:tr2bl w:val="nil"/>
            </w:tcBorders>
            <w:tcMar>
              <w:top w:w="15" w:type="dxa"/>
              <w:left w:w="15" w:type="dxa"/>
              <w:bottom w:w="15" w:type="dxa"/>
              <w:right w:w="15" w:type="dxa"/>
            </w:tcMar>
            <w:vAlign w:val="center"/>
          </w:tcPr>
          <w:p w14:paraId="4FD7DE2C">
            <w:pPr>
              <w:adjustRightInd w:val="0"/>
              <w:snapToGrid w:val="0"/>
              <w:jc w:val="center"/>
              <w:rPr>
                <w:rFonts w:hint="eastAsia" w:ascii="宋体" w:hAnsi="宋体" w:cs="宋体"/>
              </w:rPr>
            </w:pPr>
            <w:r>
              <w:rPr>
                <w:rFonts w:hint="eastAsia" w:ascii="宋体" w:hAnsi="宋体" w:eastAsia="宋体" w:cs="宋体"/>
              </w:rPr>
              <w:t>项目编号</w:t>
            </w:r>
          </w:p>
        </w:tc>
        <w:tc>
          <w:tcPr>
            <w:tcW w:w="808" w:type="pct"/>
            <w:tcMar>
              <w:top w:w="15" w:type="dxa"/>
              <w:left w:w="15" w:type="dxa"/>
              <w:bottom w:w="15" w:type="dxa"/>
              <w:right w:w="15" w:type="dxa"/>
            </w:tcMar>
            <w:vAlign w:val="center"/>
          </w:tcPr>
          <w:p w14:paraId="50159BEC">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73" w:type="pct"/>
            <w:tcMar>
              <w:top w:w="15" w:type="dxa"/>
              <w:left w:w="15" w:type="dxa"/>
              <w:bottom w:w="15" w:type="dxa"/>
              <w:right w:w="15" w:type="dxa"/>
            </w:tcMar>
            <w:vAlign w:val="center"/>
          </w:tcPr>
          <w:p w14:paraId="3C3CF6CB">
            <w:pPr>
              <w:adjustRightInd w:val="0"/>
              <w:snapToGrid w:val="0"/>
              <w:jc w:val="center"/>
              <w:rPr>
                <w:rFonts w:hint="eastAsia" w:ascii="宋体" w:hAnsi="宋体" w:eastAsia="宋体" w:cs="宋体"/>
              </w:rPr>
            </w:pPr>
            <w:r>
              <w:rPr>
                <w:rFonts w:hint="eastAsia" w:ascii="宋体" w:hAnsi="宋体" w:eastAsia="宋体" w:cs="宋体"/>
              </w:rPr>
              <w:t>数量</w:t>
            </w:r>
          </w:p>
        </w:tc>
        <w:tc>
          <w:tcPr>
            <w:tcW w:w="261" w:type="pct"/>
            <w:tcMar>
              <w:top w:w="15" w:type="dxa"/>
              <w:left w:w="15" w:type="dxa"/>
              <w:bottom w:w="15" w:type="dxa"/>
              <w:right w:w="15" w:type="dxa"/>
            </w:tcMar>
            <w:vAlign w:val="center"/>
          </w:tcPr>
          <w:p w14:paraId="1FD73A99">
            <w:pPr>
              <w:adjustRightInd w:val="0"/>
              <w:snapToGrid w:val="0"/>
              <w:jc w:val="center"/>
              <w:rPr>
                <w:rFonts w:hint="eastAsia" w:ascii="宋体" w:hAnsi="宋体" w:eastAsia="宋体" w:cs="宋体"/>
              </w:rPr>
            </w:pPr>
            <w:r>
              <w:rPr>
                <w:rFonts w:hint="eastAsia" w:ascii="宋体" w:hAnsi="宋体" w:cs="宋体"/>
                <w:lang w:bidi="ar"/>
              </w:rPr>
              <w:t>单位</w:t>
            </w:r>
          </w:p>
        </w:tc>
        <w:tc>
          <w:tcPr>
            <w:tcW w:w="703" w:type="pct"/>
            <w:shd w:val="clear" w:color="auto" w:fill="auto"/>
            <w:tcMar>
              <w:top w:w="15" w:type="dxa"/>
              <w:left w:w="15" w:type="dxa"/>
              <w:bottom w:w="15" w:type="dxa"/>
              <w:right w:w="15" w:type="dxa"/>
            </w:tcMar>
            <w:vAlign w:val="center"/>
          </w:tcPr>
          <w:p w14:paraId="0EA14CAD">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服务收费</w:t>
            </w:r>
          </w:p>
          <w:p w14:paraId="199D5A94">
            <w:pPr>
              <w:adjustRightInd w:val="0"/>
              <w:snapToGrid w:val="0"/>
              <w:jc w:val="center"/>
              <w:rPr>
                <w:rFonts w:hint="eastAsia" w:ascii="Times New Roman" w:hAnsi="Times New Roman" w:eastAsia="宋体" w:cs="Times New Roman"/>
                <w:lang w:val="en-US" w:eastAsia="zh-CN"/>
              </w:rPr>
            </w:pPr>
            <w:r>
              <w:rPr>
                <w:rFonts w:hint="eastAsia" w:ascii="宋体" w:hAnsi="宋体" w:eastAsia="宋体" w:cs="宋体"/>
                <w:lang w:val="en-US" w:eastAsia="zh-CN"/>
              </w:rPr>
              <w:t>折扣率上限</w:t>
            </w:r>
          </w:p>
        </w:tc>
        <w:tc>
          <w:tcPr>
            <w:tcW w:w="1635" w:type="pct"/>
            <w:tcMar>
              <w:top w:w="15" w:type="dxa"/>
              <w:left w:w="15" w:type="dxa"/>
              <w:bottom w:w="15" w:type="dxa"/>
              <w:right w:w="15" w:type="dxa"/>
            </w:tcMar>
            <w:vAlign w:val="center"/>
          </w:tcPr>
          <w:p w14:paraId="734D4653">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35B58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5" w:type="pct"/>
            <w:tcBorders>
              <w:tl2br w:val="nil"/>
              <w:tr2bl w:val="nil"/>
            </w:tcBorders>
            <w:tcMar>
              <w:top w:w="15" w:type="dxa"/>
              <w:left w:w="15" w:type="dxa"/>
              <w:bottom w:w="15" w:type="dxa"/>
              <w:right w:w="15" w:type="dxa"/>
            </w:tcMar>
            <w:vAlign w:val="center"/>
          </w:tcPr>
          <w:p w14:paraId="2D827B8A">
            <w:pPr>
              <w:widowControl w:val="0"/>
              <w:adjustRightInd w:val="0"/>
              <w:snapToGrid w:val="0"/>
              <w:jc w:val="center"/>
              <w:rPr>
                <w:rFonts w:eastAsia="宋体"/>
              </w:rPr>
            </w:pPr>
            <w:r>
              <w:rPr>
                <w:rFonts w:hint="eastAsia" w:eastAsia="宋体"/>
              </w:rPr>
              <w:t>1</w:t>
            </w:r>
          </w:p>
        </w:tc>
        <w:tc>
          <w:tcPr>
            <w:tcW w:w="732" w:type="pct"/>
            <w:tcBorders>
              <w:tl2br w:val="nil"/>
              <w:tr2bl w:val="nil"/>
            </w:tcBorders>
            <w:tcMar>
              <w:top w:w="15" w:type="dxa"/>
              <w:left w:w="15" w:type="dxa"/>
              <w:bottom w:w="15" w:type="dxa"/>
              <w:right w:w="15" w:type="dxa"/>
            </w:tcMar>
            <w:vAlign w:val="center"/>
          </w:tcPr>
          <w:p w14:paraId="72E6B4DA">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ENT202601-006</w:t>
            </w:r>
            <w:bookmarkStart w:id="27" w:name="_GoBack"/>
            <w:bookmarkEnd w:id="27"/>
          </w:p>
        </w:tc>
        <w:tc>
          <w:tcPr>
            <w:tcW w:w="808" w:type="pct"/>
            <w:tcMar>
              <w:top w:w="15" w:type="dxa"/>
              <w:left w:w="15" w:type="dxa"/>
              <w:bottom w:w="15" w:type="dxa"/>
              <w:right w:w="15" w:type="dxa"/>
            </w:tcMar>
            <w:vAlign w:val="center"/>
          </w:tcPr>
          <w:p w14:paraId="64B843AD">
            <w:pPr>
              <w:widowControl w:val="0"/>
              <w:adjustRightInd w:val="0"/>
              <w:snapToGrid w:val="0"/>
              <w:jc w:val="center"/>
              <w:rPr>
                <w:rFonts w:hint="default" w:eastAsia="宋体"/>
                <w:lang w:val="en-US" w:eastAsia="zh-CN"/>
              </w:rPr>
            </w:pPr>
            <w:r>
              <w:rPr>
                <w:rFonts w:hint="eastAsia" w:ascii="宋体" w:hAnsi="宋体" w:cs="宋体"/>
                <w:b w:val="0"/>
                <w:bCs w:val="0"/>
                <w:color w:val="auto"/>
                <w:sz w:val="24"/>
                <w:szCs w:val="24"/>
                <w:highlight w:val="none"/>
                <w:lang w:val="zh-CN"/>
              </w:rPr>
              <w:t>社会采购代理机构遴选</w:t>
            </w:r>
          </w:p>
        </w:tc>
        <w:tc>
          <w:tcPr>
            <w:tcW w:w="473" w:type="pct"/>
            <w:tcMar>
              <w:top w:w="15" w:type="dxa"/>
              <w:left w:w="15" w:type="dxa"/>
              <w:bottom w:w="15" w:type="dxa"/>
              <w:right w:w="15" w:type="dxa"/>
            </w:tcMar>
            <w:vAlign w:val="center"/>
          </w:tcPr>
          <w:p w14:paraId="2E85B7F8">
            <w:pPr>
              <w:widowControl w:val="0"/>
              <w:adjustRightInd w:val="0"/>
              <w:snapToGrid w:val="0"/>
              <w:jc w:val="center"/>
              <w:rPr>
                <w:rFonts w:hint="eastAsia" w:eastAsia="宋体"/>
                <w:lang w:val="en-US" w:eastAsia="zh-CN"/>
              </w:rPr>
            </w:pPr>
            <w:r>
              <w:rPr>
                <w:rFonts w:hint="eastAsia" w:eastAsia="宋体"/>
                <w:lang w:val="en-US" w:eastAsia="zh-CN"/>
              </w:rPr>
              <w:t>1</w:t>
            </w:r>
          </w:p>
        </w:tc>
        <w:tc>
          <w:tcPr>
            <w:tcW w:w="261" w:type="pct"/>
            <w:tcMar>
              <w:top w:w="15" w:type="dxa"/>
              <w:left w:w="15" w:type="dxa"/>
              <w:bottom w:w="15" w:type="dxa"/>
              <w:right w:w="15" w:type="dxa"/>
            </w:tcMar>
            <w:vAlign w:val="center"/>
          </w:tcPr>
          <w:p w14:paraId="08FFAFDC">
            <w:pPr>
              <w:widowControl w:val="0"/>
              <w:adjustRightInd w:val="0"/>
              <w:snapToGrid w:val="0"/>
              <w:jc w:val="center"/>
              <w:rPr>
                <w:rFonts w:hint="default" w:eastAsia="宋体"/>
                <w:lang w:val="en-US" w:eastAsia="zh-CN"/>
              </w:rPr>
            </w:pPr>
            <w:r>
              <w:rPr>
                <w:rFonts w:hint="eastAsia" w:eastAsia="宋体"/>
                <w:lang w:val="en-US" w:eastAsia="zh-CN"/>
              </w:rPr>
              <w:t>项</w:t>
            </w:r>
          </w:p>
        </w:tc>
        <w:tc>
          <w:tcPr>
            <w:tcW w:w="703" w:type="pct"/>
            <w:shd w:val="clear" w:color="auto" w:fill="auto"/>
            <w:tcMar>
              <w:top w:w="15" w:type="dxa"/>
              <w:left w:w="15" w:type="dxa"/>
              <w:bottom w:w="15" w:type="dxa"/>
              <w:right w:w="15" w:type="dxa"/>
            </w:tcMar>
            <w:vAlign w:val="center"/>
          </w:tcPr>
          <w:p w14:paraId="6C815624">
            <w:pPr>
              <w:widowControl w:val="0"/>
              <w:adjustRightInd w:val="0"/>
              <w:snapToGrid w:val="0"/>
              <w:jc w:val="center"/>
              <w:rPr>
                <w:rFonts w:hint="default" w:ascii="Times New Roman" w:hAnsi="Times New Roman" w:eastAsia="宋体" w:cs="Times New Roman"/>
                <w:lang w:val="en-US" w:eastAsia="zh-CN"/>
              </w:rPr>
            </w:pPr>
            <w:r>
              <w:rPr>
                <w:rFonts w:hint="eastAsia" w:eastAsia="宋体" w:cs="Times New Roman"/>
                <w:lang w:val="en-US" w:eastAsia="zh-CN"/>
              </w:rPr>
              <w:t>0.8</w:t>
            </w:r>
          </w:p>
        </w:tc>
        <w:tc>
          <w:tcPr>
            <w:tcW w:w="1635" w:type="pct"/>
            <w:tcMar>
              <w:top w:w="15" w:type="dxa"/>
              <w:left w:w="15" w:type="dxa"/>
              <w:bottom w:w="15" w:type="dxa"/>
              <w:right w:w="15" w:type="dxa"/>
            </w:tcMar>
            <w:vAlign w:val="center"/>
          </w:tcPr>
          <w:p w14:paraId="3A973DAB">
            <w:pPr>
              <w:widowControl w:val="0"/>
              <w:adjustRightInd w:val="0"/>
              <w:snapToGrid w:val="0"/>
              <w:jc w:val="both"/>
              <w:rPr>
                <w:rFonts w:hint="default" w:ascii="宋体" w:hAnsi="宋体" w:eastAsia="宋体" w:cs="宋体"/>
                <w:lang w:val="en-US" w:eastAsia="zh-CN"/>
              </w:rPr>
            </w:pPr>
            <w:r>
              <w:rPr>
                <w:rFonts w:hint="eastAsia" w:ascii="宋体" w:hAnsi="宋体" w:eastAsia="宋体" w:cs="宋体"/>
                <w:bCs/>
                <w:color w:val="auto"/>
                <w:sz w:val="24"/>
                <w:szCs w:val="24"/>
                <w:highlight w:val="none"/>
                <w:lang w:val="en-US" w:eastAsia="zh-CN"/>
              </w:rPr>
              <w:t>本项目服务期限为1年。依采购人要求本项目服务期限原则上为3年（如出现政策变化可调整）；合同采取一年一签方式，合同期满后，经履约考核为良好或以上</w:t>
            </w:r>
            <w:r>
              <w:rPr>
                <w:rFonts w:hint="eastAsia" w:cs="Times New Roman"/>
                <w:sz w:val="24"/>
                <w:szCs w:val="24"/>
                <w:highlight w:val="none"/>
                <w:lang w:val="en-US" w:eastAsia="zh-CN"/>
              </w:rPr>
              <w:t>且</w:t>
            </w:r>
            <w:r>
              <w:rPr>
                <w:rFonts w:hint="eastAsia" w:ascii="Times New Roman" w:hAnsi="Times New Roman" w:eastAsia="宋体" w:cs="Times New Roman"/>
                <w:sz w:val="24"/>
                <w:szCs w:val="24"/>
                <w:highlight w:val="none"/>
                <w:lang w:val="en-US" w:eastAsia="zh-CN"/>
              </w:rPr>
              <w:t>中标人</w:t>
            </w:r>
            <w:r>
              <w:rPr>
                <w:rFonts w:hint="eastAsia" w:cs="Times New Roman"/>
                <w:sz w:val="24"/>
                <w:szCs w:val="24"/>
                <w:highlight w:val="none"/>
                <w:lang w:val="en-US" w:eastAsia="zh-CN"/>
              </w:rPr>
              <w:t>未被列入失信被执行人、重大税收违法案件当事人名单、政府采购严重违法失信行为记录名单</w:t>
            </w:r>
            <w:r>
              <w:rPr>
                <w:rFonts w:hint="eastAsia" w:ascii="Times New Roman" w:hAnsi="Times New Roman" w:cs="Times New Roman"/>
                <w:sz w:val="24"/>
                <w:szCs w:val="24"/>
                <w:highlight w:val="none"/>
                <w:lang w:val="en-US" w:eastAsia="zh-CN"/>
              </w:rPr>
              <w:t>的</w:t>
            </w:r>
            <w:r>
              <w:rPr>
                <w:rFonts w:hint="eastAsia" w:ascii="宋体" w:hAnsi="宋体" w:eastAsia="宋体" w:cs="宋体"/>
                <w:bCs/>
                <w:color w:val="auto"/>
                <w:sz w:val="24"/>
                <w:szCs w:val="24"/>
                <w:highlight w:val="none"/>
                <w:lang w:val="en-US" w:eastAsia="zh-CN"/>
              </w:rPr>
              <w:t>可按原合同条款续签下一年度合同，每次续签期限为一年，最多可续签</w:t>
            </w:r>
            <w:r>
              <w:rPr>
                <w:rFonts w:hint="eastAsia" w:ascii="宋体" w:hAnsi="宋体" w:cs="宋体"/>
                <w:bCs/>
                <w:color w:val="auto"/>
                <w:sz w:val="24"/>
                <w:szCs w:val="24"/>
                <w:highlight w:val="none"/>
                <w:lang w:val="en-US" w:eastAsia="zh-CN"/>
              </w:rPr>
              <w:t>两</w:t>
            </w:r>
            <w:r>
              <w:rPr>
                <w:rFonts w:hint="eastAsia" w:ascii="宋体" w:hAnsi="宋体" w:eastAsia="宋体" w:cs="宋体"/>
                <w:bCs/>
                <w:color w:val="auto"/>
                <w:sz w:val="24"/>
                <w:szCs w:val="24"/>
                <w:highlight w:val="none"/>
                <w:lang w:val="en-US" w:eastAsia="zh-CN"/>
              </w:rPr>
              <w:t>次。如当年度履约过程出现一票否决情况，无论得分多少均不再续约。</w:t>
            </w:r>
          </w:p>
        </w:tc>
      </w:tr>
    </w:tbl>
    <w:p w14:paraId="6936FA66">
      <w:pPr>
        <w:pStyle w:val="49"/>
        <w:spacing w:line="560" w:lineRule="exact"/>
        <w:ind w:firstLine="480" w:firstLineChars="0"/>
        <w:rPr>
          <w:rFonts w:hint="default" w:asciiTheme="minorEastAsia" w:hAnsiTheme="minorEastAsia" w:eastAsiaTheme="minorEastAsia"/>
          <w:b/>
          <w:sz w:val="24"/>
          <w:szCs w:val="32"/>
          <w:lang w:val="en-US" w:eastAsia="zh-CN"/>
        </w:rPr>
      </w:pPr>
      <w:r>
        <w:rPr>
          <w:rFonts w:hint="eastAsia" w:asciiTheme="minorEastAsia" w:hAnsiTheme="minorEastAsia" w:eastAsiaTheme="minorEastAsia"/>
          <w:b/>
          <w:color w:val="FF0000"/>
          <w:sz w:val="24"/>
          <w:szCs w:val="32"/>
          <w:lang w:val="en-US" w:eastAsia="zh-CN"/>
        </w:rPr>
        <w:t>注：本项目成交候选中标供应商3家，成交供应商3家。</w:t>
      </w:r>
    </w:p>
    <w:p w14:paraId="12214FE3">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bCs w:val="0"/>
          <w:sz w:val="28"/>
          <w:szCs w:val="36"/>
          <w:lang w:val="en-US" w:eastAsia="zh-CN"/>
        </w:rPr>
        <w:t>二、技术要求</w:t>
      </w:r>
    </w:p>
    <w:p w14:paraId="22C8CE58">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（一）业务范围：依据政府采购相关法律法规以及采购人内控制度可以委托社会采购代理机构组织实施的采购项目。</w:t>
      </w:r>
    </w:p>
    <w:p w14:paraId="2605B498">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★（二）服务需求</w:t>
      </w:r>
    </w:p>
    <w:p w14:paraId="6092712D">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依据政府采购法及相关法律法规，为采购人招标采购项目（必须委托政府集中采购机构采购及医院管理规定除外的项目）提供采购代理服务（兼顾货物、服务等），具体包括但不限于如下内容：</w:t>
      </w:r>
    </w:p>
    <w:p w14:paraId="49FB261E">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1、负责根据项目情况拟订招标采购方案，提出与招标事项有关的合理化建议和优化意见等。</w:t>
      </w:r>
    </w:p>
    <w:p w14:paraId="5949839E">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2、严格按照采购人的工作时限要求准确编制反馈招标文件，必要时到采购人指定地点与采购人当面沟通招标文件关键内容。</w:t>
      </w:r>
    </w:p>
    <w:p w14:paraId="36E51236">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3、负责按《政府采购需求管理办法》对采购人的重大项目组织不少于3名以上专家（有上级文件要求时按上级文件执行）进行一般性审查及重点审查，及时出具审查意见提交采购人，不额外收费。</w:t>
      </w:r>
    </w:p>
    <w:p w14:paraId="5D65324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4、服务效率</w:t>
      </w:r>
    </w:p>
    <w:p w14:paraId="4DE2D612">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4.1一般响应时间</w:t>
      </w:r>
    </w:p>
    <w:p w14:paraId="13F10258">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采购文件编制阶段：社会采购代理机构接到采购人委托后，社会采购代理机构应在接到用户需求书2个工作日内提交采购文件初稿(双方另有约定的除外)，对于采购人提出的修改应在1个工作日内完成。采购文件经采购人相关部门审查确认后，社会采购代理机构应在1个工作日内对外发布采购公告(双方另有约定的除外)，开标时间应安排在挂网结束后2个工作日内(双方另有约定的除外)。社会采购代理机构应指定专门项目负责人/经办人负责与采购人的对接及协调工作。</w:t>
      </w:r>
    </w:p>
    <w:p w14:paraId="3EA0471B">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（2）答疑澄清阶段：社会采购代理机构应在收到供应商询问质疑后1个工作日内向采购人反馈，并在法定期限内组织质疑回复(答疑)、必要时发布澄清。</w:t>
      </w:r>
    </w:p>
    <w:p w14:paraId="31E33C6D">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评审结果公告阶段：社会采购代理机构应当在评审工作结束后1个工作日内向采购人提交评审报告，在采购人确认采购结果后1个工作日内发布结果公告，同时向采购人发出采购结果公告通知，公告结束后及时向采购人及中标/成交供应商出具成交通知书。</w:t>
      </w:r>
    </w:p>
    <w:p w14:paraId="7A5A7F4C">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（4）档案移交阶段：社会采购代理机构应在中标/成交通知书发出之日起2个工作日内按采购人要求编制并移交完整的项目归档资料（含纸质及电子资料）。</w:t>
      </w:r>
    </w:p>
    <w:p w14:paraId="75FB444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（5）对于咨询文件等事宜，应于1个工作日内响应并及时办理。</w:t>
      </w:r>
    </w:p>
    <w:p w14:paraId="6D79D1BA">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4.2应急响应时间</w:t>
      </w:r>
    </w:p>
    <w:p w14:paraId="316A5C88">
      <w:pPr>
        <w:pStyle w:val="49"/>
        <w:spacing w:line="360" w:lineRule="auto"/>
        <w:ind w:leftChars="100" w:firstLine="240" w:firstLineChars="10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（1）不管何时接到采购人紧急项目需求的通知后30分钟内做出响应；</w:t>
      </w:r>
    </w:p>
    <w:p w14:paraId="648BCD10">
      <w:pPr>
        <w:pStyle w:val="49"/>
        <w:spacing w:line="360" w:lineRule="auto"/>
        <w:ind w:leftChars="100" w:firstLine="240" w:firstLineChars="10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（2）采购人有需要提供现场紧急服务的，在收到采购人通知后，2小时内到达现场；</w:t>
      </w:r>
    </w:p>
    <w:p w14:paraId="76AB84F7">
      <w:pPr>
        <w:pStyle w:val="49"/>
        <w:spacing w:line="360" w:lineRule="auto"/>
        <w:ind w:left="240" w:leftChars="100" w:firstLine="240" w:firstLineChars="10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（3）采购人采购项目紧急的，在收到采购需求文件后，4小时内完成招标文件的编制。</w:t>
      </w:r>
    </w:p>
    <w:p w14:paraId="2A36E6D1">
      <w:pPr>
        <w:pStyle w:val="49"/>
        <w:spacing w:line="360" w:lineRule="auto"/>
        <w:ind w:left="240" w:leftChars="100" w:firstLine="240" w:firstLineChars="10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（4）如委托项目需要在节假日加班完成，社会采购代理机构须全力配合，不得向采购人另行收费。</w:t>
      </w:r>
    </w:p>
    <w:p w14:paraId="1EEF72D6">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5、发布招标公告并负责接收投标人的报名并发放招标文件；</w:t>
      </w:r>
    </w:p>
    <w:p w14:paraId="20BD24CC">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6、接受投标，作为供应商资格核查的责任主体；</w:t>
      </w:r>
    </w:p>
    <w:p w14:paraId="7D54CEE5">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7、依法组织评标小组，组织项目开标、评标等工作；</w:t>
      </w:r>
    </w:p>
    <w:p w14:paraId="7E955475">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8、负责向采购人提交评审委员会出具的评审报告，按有关规定进行结果公示；</w:t>
      </w:r>
    </w:p>
    <w:p w14:paraId="6F100E87">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9、负责处理供应商的询问和质疑，协助处理供应商的投诉；项目收到质疑或投诉时，社会采购代理机构应充分发挥其专业能力优势，提出有利于采购人的专业意见。</w:t>
      </w:r>
    </w:p>
    <w:p w14:paraId="2A3C66F7">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10、服务态度良好，积极回复并协助处理采购人在招标采购工作中提出及遇到的相关问题；</w:t>
      </w:r>
    </w:p>
    <w:p w14:paraId="1CAC3FF5">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11、根据采购人需求协助采购人及时按最新的上级文件要求，修订招标文件模板、评分表和规范招标流程等；</w:t>
      </w:r>
    </w:p>
    <w:p w14:paraId="18FF2502">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12、根据采购人需要，必要时可提供移动开评标必备的基础设备（包括但不限于电脑、打印机、扫描仪、监控系统、录音录像设备、投影仪等）至采购人指定办公场所实施招标采购工作；</w:t>
      </w:r>
    </w:p>
    <w:p w14:paraId="6C519140">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13、服务方式：由采购人根据项目需要单独委托社会采购代理机构；社会采购代理机构依法接受采购人委托，组织采购活动；</w:t>
      </w:r>
    </w:p>
    <w:p w14:paraId="5ABFC602">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14、需要时，与采购人共同组织召开并主持标前会，负责解答委托采购项目的投标人提出的相关问题；</w:t>
      </w:r>
    </w:p>
    <w:p w14:paraId="583AD06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15、负责查询核实同一项目投标人法人、股东及主要管理人员等是否存在关联关系及项目开标当日委托采购项目投标人的信用信息，相关查询信息存档并发送采购人；</w:t>
      </w:r>
    </w:p>
    <w:p w14:paraId="7F32BCCB">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16、按采购人需求及时将招标项目资料录入医院招投标管理系统（如有）及深圳政府采购自行采购系统，项目评标结束后，将招标结果推送给采购人确认；</w:t>
      </w:r>
    </w:p>
    <w:p w14:paraId="6F1B3DB2">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17、保存好评审现场影音资料，在上级部门要求保存的法定时限内可随时向采购人提供；</w:t>
      </w:r>
    </w:p>
    <w:p w14:paraId="5F7D56B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18、按国家及深圳市的档案管理要求保存项目档案（采购文件的保存期限为从采购结束之日起至少十五年，档案应当符合《中华人民共和国档案法》《中华人民共和国电子签名法》等法律法规的要求）；</w:t>
      </w:r>
    </w:p>
    <w:p w14:paraId="661DF4C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19、评标场所建设应符合法律法规等相关要求，确保评审现场信息的保密性、合规性，避免出现因场所设置不规范致投标供应商质疑投诉成立情况；</w:t>
      </w:r>
    </w:p>
    <w:p w14:paraId="553736D2">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20、社会采购代理机构对与招投标活动有关的资料应当履行永久保密义务，不得向任何第三方泄露，不得与委托项目投标人串通损害采购人的合法权益。</w:t>
      </w:r>
    </w:p>
    <w:p w14:paraId="0D4E0411">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21、每年汇编正在执行的国家级、省级、市级、区级的采购法律法规，提供纸质版数套或相关书籍，不额外收费；</w:t>
      </w:r>
    </w:p>
    <w:p w14:paraId="6DA1F75F">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22、及时向采购人转发上级部门关于招标采购相关的最新要求及规定，保障采购的合规性。</w:t>
      </w:r>
    </w:p>
    <w:p w14:paraId="5B7FDF68">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23、妥善办理采购人交办的其他相关事宜或相关法律法规规定应由社会采购代理机构负责的其他事项。</w:t>
      </w:r>
    </w:p>
    <w:p w14:paraId="6E7459D7">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24、上述服务需求可根据上级部门法律法规变化进行相应调整。</w:t>
      </w:r>
    </w:p>
    <w:p w14:paraId="0988E8FA">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★（三）质量及安全要求</w:t>
      </w:r>
    </w:p>
    <w:p w14:paraId="6F19A343">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1、投标人建立健全完善的信息安全管理体系，保证项目执行过程中的信息保密性、完整性、可用性及合规性。</w:t>
      </w:r>
    </w:p>
    <w:p w14:paraId="5AEBE37C">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2、投标人建立健全完善的质量管理体系制度，保证招标活动的合法性和规范性，避免因违规操作而引发的法律风险。</w:t>
      </w:r>
    </w:p>
    <w:p w14:paraId="086C52B7">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3、根据《中华人民共和国政府采购法》等相关规定中关于保密性和信息安全的规定，本次遴选要求社会采购代理机构在过往的执业过程中无任何信息泄露事件发生（提供承诺函并加盖公章，格式自拟）。</w:t>
      </w:r>
    </w:p>
    <w:p w14:paraId="35E1B941">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为提升服务质量、引进竞争机制，本轮遴选服务期内（2026年-2028年）入围的3家代理机构需接受采购人强制淘汰机制：除3家代理机构在3年服务期履约评价平均分达优秀（90分及以上）外，3家代理机构在3年服务期履约评价总分最后一名的，视为自动放弃参与下一轮遴选资格，若出现同分情况的，采取抽签或摇号等方式决定。</w:t>
      </w:r>
    </w:p>
    <w:p w14:paraId="4DC5DC21">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（四）其他需求</w:t>
      </w:r>
    </w:p>
    <w:p w14:paraId="74C5CB51">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1、提供招标代理服务收费优惠。</w:t>
      </w:r>
    </w:p>
    <w:p w14:paraId="1AE71CC3">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2、提供整体科学合理、针对性强、可操作性强的项目服务方案，包含但不限于服务质量保证措施、工作流程及工作要点、保密措施、档案管理措施；</w:t>
      </w:r>
    </w:p>
    <w:p w14:paraId="027D97E0">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3、提供整体科学合理、针对性强、可操作性强的项目培训方案，包含但不限于培训计划、培训内容，培训安排；承诺可根据采购人需求进行调整，必要时组织考核（本项含在项目总报价中）；</w:t>
      </w:r>
    </w:p>
    <w:p w14:paraId="0DFCD463">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4、具备较强的质疑、投诉处理能力：提供质疑、投诉、信访、举报等处理方案，要求方案整体科学合理、针对性强、可操作性强。方案内容包括但不限于以下内容：</w:t>
      </w:r>
    </w:p>
    <w:p w14:paraId="77CBEBB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bookmarkStart w:id="22" w:name="OLE_LINK2"/>
      <w:r>
        <w:rPr>
          <w:rFonts w:hint="eastAsia" w:cs="Times New Roman" w:asciiTheme="minorEastAsia" w:hAnsiTheme="minorEastAsia" w:eastAsiaTheme="minorEastAsia"/>
          <w:b w:val="0"/>
          <w:bCs/>
          <w:sz w:val="24"/>
          <w:szCs w:val="32"/>
          <w:lang w:val="en-US" w:eastAsia="zh-CN"/>
        </w:rPr>
        <w:t>（1）建立质疑、投诉处理机制</w:t>
      </w:r>
      <w:bookmarkEnd w:id="22"/>
      <w:r>
        <w:rPr>
          <w:rFonts w:hint="eastAsia" w:cs="Times New Roman" w:asciiTheme="minorEastAsia" w:hAnsiTheme="minorEastAsia" w:eastAsiaTheme="minorEastAsia"/>
          <w:b w:val="0"/>
          <w:bCs/>
          <w:sz w:val="24"/>
          <w:szCs w:val="32"/>
          <w:lang w:val="en-US" w:eastAsia="zh-CN"/>
        </w:rPr>
        <w:t>：包含质疑投诉处理措施，质疑投诉预防机制等。</w:t>
      </w:r>
    </w:p>
    <w:p w14:paraId="2715711C">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（2）建立质疑、投诉情况档案。</w:t>
      </w:r>
    </w:p>
    <w:p w14:paraId="0076E254">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5、项目服务团队成员具备良好的专业素质，具有一定的学历及资质，具备相关工作经验，能为采购人提供专业优质的服务。</w:t>
      </w:r>
    </w:p>
    <w:p w14:paraId="3B13DD86">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6、能为采购人提供便利的服务以提高采购效率，提供的评标场地位置便捷，节省采购人到达评标现场的时间。</w:t>
      </w:r>
    </w:p>
    <w:p w14:paraId="24749D83">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7、信息化建设情况</w:t>
      </w:r>
    </w:p>
    <w:p w14:paraId="4C2E4C67">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（1）具有电子评标系统（提供相关证明文件）；</w:t>
      </w:r>
    </w:p>
    <w:p w14:paraId="0060FA1B">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（2）具有市场信息化调研平台，能提供全网医疗行业采购信息的系统供采购人使用（查询信息不局限于本公司项目信息）。</w:t>
      </w:r>
    </w:p>
    <w:p w14:paraId="0B434465">
      <w:pPr>
        <w:pStyle w:val="49"/>
        <w:spacing w:line="360" w:lineRule="auto"/>
        <w:ind w:firstLine="480" w:firstLineChars="0"/>
        <w:rPr>
          <w:rFonts w:hint="eastAsia" w:ascii="黑体" w:hAnsi="黑体" w:eastAsia="黑体" w:cs="黑体"/>
          <w:b/>
          <w:bCs w:val="0"/>
          <w:color w:val="FF0000"/>
          <w:kern w:val="2"/>
          <w:sz w:val="28"/>
          <w:szCs w:val="28"/>
          <w:highlight w:val="none"/>
          <w:lang w:val="en-US" w:eastAsia="zh-CN" w:bidi="ar-SA"/>
        </w:rPr>
      </w:pPr>
      <w:r>
        <w:rPr>
          <w:rFonts w:hint="eastAsia" w:cs="Times New Roman" w:asciiTheme="minorEastAsia" w:hAnsiTheme="minorEastAsia" w:eastAsiaTheme="minorEastAsia"/>
          <w:b/>
          <w:bCs w:val="0"/>
          <w:kern w:val="2"/>
          <w:sz w:val="24"/>
          <w:szCs w:val="32"/>
          <w:lang w:val="en-US" w:eastAsia="zh-CN" w:bidi="ar-SA"/>
        </w:rPr>
        <w:t>三、商务要求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899"/>
      </w:tblGrid>
      <w:tr w14:paraId="2E50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44" w:type="pct"/>
            <w:noWrap w:val="0"/>
            <w:vAlign w:val="center"/>
          </w:tcPr>
          <w:p w14:paraId="5AA0AA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u w:val="none"/>
                <w:vertAlign w:val="baseline"/>
                <w:lang w:val="en-US" w:eastAsia="zh-CN"/>
              </w:rPr>
            </w:pPr>
            <w:r>
              <w:rPr>
                <w:rFonts w:hint="eastAsia" w:ascii="黑体" w:hAnsi="黑体" w:eastAsia="黑体" w:cs="黑体"/>
                <w:kern w:val="2"/>
                <w:sz w:val="24"/>
                <w:szCs w:val="24"/>
                <w:highlight w:val="none"/>
                <w:vertAlign w:val="baseline"/>
                <w:lang w:val="en-US" w:eastAsia="zh-CN"/>
              </w:rPr>
              <w:t>内容</w:t>
            </w:r>
          </w:p>
        </w:tc>
        <w:tc>
          <w:tcPr>
            <w:tcW w:w="3855" w:type="pct"/>
            <w:noWrap w:val="0"/>
            <w:vAlign w:val="center"/>
          </w:tcPr>
          <w:p w14:paraId="13A8E4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kern w:val="2"/>
                <w:sz w:val="24"/>
                <w:szCs w:val="24"/>
                <w:highlight w:val="none"/>
                <w:u w:val="none"/>
                <w:vertAlign w:val="baseline"/>
                <w:lang w:val="en-US" w:eastAsia="zh-CN"/>
              </w:rPr>
            </w:pPr>
            <w:r>
              <w:rPr>
                <w:rFonts w:hint="eastAsia" w:ascii="黑体" w:hAnsi="黑体" w:eastAsia="黑体" w:cs="黑体"/>
                <w:kern w:val="2"/>
                <w:sz w:val="24"/>
                <w:szCs w:val="24"/>
                <w:highlight w:val="none"/>
                <w:vertAlign w:val="baseline"/>
                <w:lang w:val="en-US" w:eastAsia="zh-CN"/>
              </w:rPr>
              <w:t>要求</w:t>
            </w:r>
          </w:p>
        </w:tc>
      </w:tr>
      <w:tr w14:paraId="12CA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144" w:type="pct"/>
            <w:noWrap w:val="0"/>
            <w:vAlign w:val="center"/>
          </w:tcPr>
          <w:p w14:paraId="371EFE42">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vertAlign w:val="baseline"/>
                <w:lang w:val="en-US" w:eastAsia="zh-CN"/>
              </w:rPr>
            </w:pPr>
            <w:r>
              <w:rPr>
                <w:rFonts w:hint="eastAsia" w:ascii="宋体" w:hAnsi="宋体" w:eastAsia="宋体" w:cs="宋体"/>
                <w:kern w:val="2"/>
                <w:sz w:val="24"/>
                <w:szCs w:val="24"/>
                <w:highlight w:val="none"/>
                <w:u w:val="none"/>
                <w:vertAlign w:val="baseline"/>
                <w:lang w:val="en-US" w:eastAsia="zh-CN"/>
              </w:rPr>
              <w:t>1.</w:t>
            </w:r>
            <w:r>
              <w:rPr>
                <w:rFonts w:hint="eastAsia" w:ascii="宋体" w:hAnsi="宋体" w:eastAsia="宋体" w:cs="宋体"/>
                <w:b/>
                <w:bCs/>
                <w:kern w:val="2"/>
                <w:sz w:val="24"/>
                <w:szCs w:val="24"/>
                <w:highlight w:val="none"/>
                <w:lang w:val="en-US" w:eastAsia="zh-CN"/>
              </w:rPr>
              <w:t>★</w:t>
            </w:r>
            <w:r>
              <w:rPr>
                <w:rFonts w:hint="eastAsia" w:ascii="宋体" w:hAnsi="宋体" w:cs="宋体"/>
                <w:kern w:val="2"/>
                <w:sz w:val="24"/>
                <w:szCs w:val="24"/>
                <w:highlight w:val="none"/>
                <w:u w:val="none"/>
                <w:vertAlign w:val="baseline"/>
                <w:lang w:val="en-US" w:eastAsia="zh-CN"/>
              </w:rPr>
              <w:t>服务期限</w:t>
            </w:r>
          </w:p>
        </w:tc>
        <w:tc>
          <w:tcPr>
            <w:tcW w:w="3855" w:type="pct"/>
            <w:noWrap w:val="0"/>
            <w:vAlign w:val="center"/>
          </w:tcPr>
          <w:p w14:paraId="3C4138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kern w:val="2"/>
                <w:highlight w:val="none"/>
                <w:lang w:val="en-US" w:eastAsia="zh-CN"/>
              </w:rPr>
            </w:pPr>
            <w:r>
              <w:rPr>
                <w:rFonts w:hint="eastAsia" w:ascii="Times New Roman" w:hAnsi="Times New Roman" w:cs="Times New Roman"/>
                <w:kern w:val="2"/>
                <w:sz w:val="24"/>
                <w:szCs w:val="24"/>
                <w:highlight w:val="none"/>
                <w:lang w:val="en-US" w:eastAsia="zh-CN"/>
              </w:rPr>
              <w:t>本项目服务期限为 1年。依采购人要求本项目服务期限原则上为3年（如出现政策变化可调整）；合同采取一年一签方式，合同期满后，经履约考核</w:t>
            </w:r>
            <w:r>
              <w:rPr>
                <w:rFonts w:hint="eastAsia" w:cs="Times New Roman"/>
                <w:kern w:val="2"/>
                <w:sz w:val="24"/>
                <w:szCs w:val="24"/>
                <w:highlight w:val="none"/>
                <w:lang w:val="en-US" w:eastAsia="zh-CN"/>
              </w:rPr>
              <w:t>评价达到良好以上（见附件）且</w:t>
            </w:r>
            <w:r>
              <w:rPr>
                <w:rFonts w:hint="eastAsia" w:ascii="Times New Roman" w:hAnsi="Times New Roman" w:eastAsia="宋体" w:cs="Times New Roman"/>
                <w:kern w:val="2"/>
                <w:sz w:val="24"/>
                <w:szCs w:val="24"/>
                <w:highlight w:val="none"/>
                <w:lang w:val="en-US" w:eastAsia="zh-CN"/>
              </w:rPr>
              <w:t>中标人</w:t>
            </w:r>
            <w:r>
              <w:rPr>
                <w:rFonts w:hint="eastAsia" w:cs="Times New Roman"/>
                <w:kern w:val="2"/>
                <w:sz w:val="24"/>
                <w:szCs w:val="24"/>
                <w:highlight w:val="none"/>
                <w:lang w:val="en-US" w:eastAsia="zh-CN"/>
              </w:rPr>
              <w:t>未被列入失信被执行人、重大税收违法案件当事人名单、政府采购严重违法失信行为记录名单</w:t>
            </w:r>
            <w:r>
              <w:rPr>
                <w:rFonts w:hint="eastAsia" w:ascii="Times New Roman" w:hAnsi="Times New Roman" w:cs="Times New Roman"/>
                <w:kern w:val="2"/>
                <w:sz w:val="24"/>
                <w:szCs w:val="24"/>
                <w:highlight w:val="none"/>
                <w:lang w:val="en-US" w:eastAsia="zh-CN"/>
              </w:rPr>
              <w:t>的可按原合同条款续签下一年度合同，每次续签期限为一年，最多可续签二次。</w:t>
            </w:r>
            <w:r>
              <w:rPr>
                <w:rFonts w:hint="eastAsia" w:ascii="宋体" w:hAnsi="宋体" w:eastAsia="宋体" w:cs="宋体"/>
                <w:bCs/>
                <w:color w:val="auto"/>
                <w:kern w:val="2"/>
                <w:sz w:val="24"/>
                <w:szCs w:val="24"/>
                <w:highlight w:val="none"/>
                <w:lang w:val="en-US" w:eastAsia="zh-CN"/>
              </w:rPr>
              <w:t>如当年度履约过程出现一票否决情况，无论得分多少均不再续约。</w:t>
            </w:r>
          </w:p>
        </w:tc>
      </w:tr>
      <w:tr w14:paraId="0D09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1144" w:type="pct"/>
            <w:noWrap w:val="0"/>
            <w:vAlign w:val="center"/>
          </w:tcPr>
          <w:p w14:paraId="2E700609">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kern w:val="2"/>
                <w:sz w:val="24"/>
                <w:szCs w:val="24"/>
                <w:highlight w:val="none"/>
                <w:u w:val="none"/>
                <w:vertAlign w:val="baseline"/>
                <w:lang w:val="en-US" w:eastAsia="zh-CN"/>
              </w:rPr>
            </w:pPr>
            <w:r>
              <w:rPr>
                <w:rFonts w:hint="eastAsia" w:ascii="宋体" w:hAnsi="宋体" w:cs="宋体"/>
                <w:kern w:val="2"/>
                <w:sz w:val="24"/>
                <w:szCs w:val="24"/>
                <w:highlight w:val="none"/>
                <w:u w:val="none"/>
                <w:vertAlign w:val="baseline"/>
                <w:lang w:val="en-US" w:eastAsia="zh-CN"/>
              </w:rPr>
              <w:t>2</w:t>
            </w:r>
            <w:r>
              <w:rPr>
                <w:rFonts w:hint="eastAsia" w:ascii="宋体" w:hAnsi="宋体" w:eastAsia="宋体" w:cs="宋体"/>
                <w:kern w:val="2"/>
                <w:sz w:val="24"/>
                <w:szCs w:val="24"/>
                <w:highlight w:val="none"/>
                <w:u w:val="none"/>
                <w:vertAlign w:val="baseline"/>
                <w:lang w:val="en-US" w:eastAsia="zh-CN"/>
              </w:rPr>
              <w:t>.</w:t>
            </w:r>
            <w:r>
              <w:rPr>
                <w:rFonts w:hint="eastAsia" w:ascii="宋体" w:hAnsi="宋体" w:eastAsia="宋体" w:cs="宋体"/>
                <w:b/>
                <w:bCs/>
                <w:kern w:val="2"/>
                <w:sz w:val="24"/>
                <w:szCs w:val="24"/>
                <w:highlight w:val="none"/>
                <w:lang w:val="en-US" w:eastAsia="zh-CN"/>
              </w:rPr>
              <w:t>★</w:t>
            </w:r>
            <w:r>
              <w:rPr>
                <w:rFonts w:hint="eastAsia" w:ascii="宋体" w:hAnsi="宋体" w:eastAsia="宋体" w:cs="宋体"/>
                <w:kern w:val="2"/>
                <w:sz w:val="24"/>
                <w:szCs w:val="24"/>
                <w:highlight w:val="none"/>
                <w:u w:val="none"/>
                <w:vertAlign w:val="baseline"/>
                <w:lang w:val="en-US" w:eastAsia="zh-CN"/>
              </w:rPr>
              <w:t>付款条件</w:t>
            </w:r>
          </w:p>
        </w:tc>
        <w:tc>
          <w:tcPr>
            <w:tcW w:w="3855" w:type="pct"/>
            <w:noWrap w:val="0"/>
            <w:vAlign w:val="center"/>
          </w:tcPr>
          <w:p w14:paraId="2D8F11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2.1招标代理服务收费标准：</w:t>
            </w:r>
          </w:p>
          <w:p w14:paraId="2F597E5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2.1.1</w:t>
            </w:r>
            <w:r>
              <w:rPr>
                <w:rFonts w:hint="default" w:ascii="宋体" w:hAnsi="宋体" w:cs="宋体"/>
                <w:kern w:val="2"/>
                <w:sz w:val="24"/>
                <w:szCs w:val="24"/>
                <w:highlight w:val="none"/>
                <w:lang w:val="en-US" w:eastAsia="zh-CN"/>
              </w:rPr>
              <w:t>以《深圳市龙岗区财政局关于规范龙岗区社会采购代理机构管理有关事项的通知》（深龙财〔2019〕37号）代理费用参考标准（如代理费用标准发生变化时，按照上级部门新颁发文件的代理费用标准执行）的80%为基准报价，超过基准报价的按无效投标处理，在此基础上，满足遴选文件要求且投标价格最低的投标报价为评标基准价。</w:t>
            </w:r>
          </w:p>
          <w:p w14:paraId="7E833D8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default" w:ascii="宋体" w:hAnsi="宋体" w:cs="宋体"/>
                <w:kern w:val="2"/>
                <w:sz w:val="24"/>
                <w:szCs w:val="24"/>
                <w:highlight w:val="none"/>
                <w:lang w:val="en-US" w:eastAsia="zh-CN"/>
              </w:rPr>
              <w:t>1.2</w:t>
            </w:r>
            <w:r>
              <w:rPr>
                <w:rFonts w:hint="eastAsia" w:ascii="宋体" w:hAnsi="宋体" w:cs="宋体"/>
                <w:kern w:val="2"/>
                <w:sz w:val="24"/>
                <w:szCs w:val="24"/>
                <w:highlight w:val="none"/>
                <w:lang w:val="en-US" w:eastAsia="zh-CN"/>
              </w:rPr>
              <w:t>单项目下浮后服务费低于3000元的或非政府采购项目无法确定预算金额时，项目代理费按照3000元收取。</w:t>
            </w:r>
          </w:p>
          <w:p w14:paraId="6E01611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cs="宋体"/>
                <w:kern w:val="2"/>
                <w:sz w:val="24"/>
                <w:szCs w:val="24"/>
                <w:highlight w:val="none"/>
                <w:lang w:val="en-US" w:eastAsia="zh-CN"/>
              </w:rPr>
            </w:pPr>
            <w:r>
              <w:rPr>
                <w:rFonts w:hint="eastAsia" w:ascii="仿宋" w:hAnsi="仿宋" w:eastAsia="仿宋" w:cs="仿宋"/>
                <w:color w:val="000000"/>
                <w:kern w:val="0"/>
                <w:sz w:val="24"/>
                <w:szCs w:val="24"/>
                <w:highlight w:val="none"/>
                <w:lang w:val="en-US" w:eastAsia="zh-CN"/>
              </w:rPr>
              <w:t>2.1.3</w:t>
            </w:r>
            <w:r>
              <w:rPr>
                <w:rFonts w:hint="eastAsia" w:ascii="宋体" w:hAnsi="宋体" w:cs="宋体"/>
                <w:kern w:val="2"/>
                <w:sz w:val="24"/>
                <w:szCs w:val="24"/>
                <w:highlight w:val="none"/>
                <w:lang w:val="en-US" w:eastAsia="zh-CN"/>
              </w:rPr>
              <w:t>社会采购代理机构</w:t>
            </w:r>
            <w:r>
              <w:rPr>
                <w:rFonts w:hint="default" w:ascii="宋体" w:hAnsi="宋体" w:cs="宋体"/>
                <w:kern w:val="2"/>
                <w:sz w:val="24"/>
                <w:szCs w:val="24"/>
                <w:highlight w:val="none"/>
                <w:lang w:val="en-US" w:eastAsia="zh-CN"/>
              </w:rPr>
              <w:t>在招标代理过程中承担</w:t>
            </w:r>
            <w:r>
              <w:rPr>
                <w:rFonts w:hint="eastAsia" w:ascii="宋体" w:hAnsi="宋体" w:cs="宋体"/>
                <w:kern w:val="2"/>
                <w:sz w:val="24"/>
                <w:szCs w:val="24"/>
                <w:highlight w:val="none"/>
                <w:lang w:val="en-US" w:eastAsia="zh-CN"/>
              </w:rPr>
              <w:t>包含但不限于</w:t>
            </w:r>
            <w:r>
              <w:rPr>
                <w:rFonts w:hint="default" w:ascii="宋体" w:hAnsi="宋体" w:cs="宋体"/>
                <w:kern w:val="2"/>
                <w:sz w:val="24"/>
                <w:szCs w:val="24"/>
                <w:highlight w:val="none"/>
                <w:lang w:val="en-US" w:eastAsia="zh-CN"/>
              </w:rPr>
              <w:t>采购文件编制、印刷和装订费；刊登招标公告的广告费；开标、评标场地</w:t>
            </w:r>
            <w:r>
              <w:rPr>
                <w:rFonts w:hint="eastAsia" w:ascii="宋体" w:hAnsi="宋体" w:cs="宋体"/>
                <w:kern w:val="2"/>
                <w:sz w:val="24"/>
                <w:szCs w:val="24"/>
                <w:highlight w:val="none"/>
                <w:lang w:val="en-US" w:eastAsia="zh-CN"/>
              </w:rPr>
              <w:t>等费用。</w:t>
            </w:r>
          </w:p>
          <w:p w14:paraId="630D2BC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2.1.4除上级文件中指定必须单独由采购人承担的与评审相关的</w:t>
            </w:r>
            <w:r>
              <w:rPr>
                <w:rFonts w:hint="default" w:ascii="宋体" w:hAnsi="宋体" w:cs="宋体"/>
                <w:kern w:val="2"/>
                <w:sz w:val="24"/>
                <w:szCs w:val="24"/>
                <w:highlight w:val="none"/>
                <w:lang w:val="en-US" w:eastAsia="zh-CN"/>
              </w:rPr>
              <w:t>费用</w:t>
            </w:r>
            <w:r>
              <w:rPr>
                <w:rFonts w:hint="eastAsia" w:ascii="宋体" w:hAnsi="宋体" w:cs="宋体"/>
                <w:kern w:val="2"/>
                <w:sz w:val="24"/>
                <w:szCs w:val="24"/>
                <w:highlight w:val="none"/>
                <w:lang w:val="en-US" w:eastAsia="zh-CN"/>
              </w:rPr>
              <w:t>外，其他费用支出均由社会采购代理机构承担</w:t>
            </w:r>
            <w:r>
              <w:rPr>
                <w:rFonts w:hint="default" w:ascii="宋体" w:hAnsi="宋体" w:cs="宋体"/>
                <w:kern w:val="2"/>
                <w:sz w:val="24"/>
                <w:szCs w:val="24"/>
                <w:highlight w:val="none"/>
                <w:lang w:val="en-US" w:eastAsia="zh-CN"/>
              </w:rPr>
              <w:t>。</w:t>
            </w:r>
          </w:p>
        </w:tc>
      </w:tr>
      <w:tr w14:paraId="193A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44" w:type="pct"/>
            <w:noWrap w:val="0"/>
            <w:vAlign w:val="center"/>
          </w:tcPr>
          <w:p w14:paraId="61862808">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vertAlign w:val="baseline"/>
                <w:lang w:val="en-US" w:eastAsia="zh-CN"/>
              </w:rPr>
            </w:pPr>
            <w:r>
              <w:rPr>
                <w:rFonts w:hint="eastAsia" w:ascii="宋体" w:hAnsi="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rPr>
              <w:t>.</w:t>
            </w:r>
            <w:r>
              <w:rPr>
                <w:rFonts w:hint="eastAsia" w:ascii="宋体" w:hAnsi="宋体" w:eastAsia="宋体" w:cs="宋体"/>
                <w:b/>
                <w:bCs/>
                <w:kern w:val="2"/>
                <w:sz w:val="24"/>
                <w:szCs w:val="24"/>
                <w:highlight w:val="none"/>
                <w:lang w:val="en-US" w:eastAsia="zh-CN"/>
              </w:rPr>
              <w:t>★</w:t>
            </w:r>
            <w:r>
              <w:rPr>
                <w:rFonts w:hint="eastAsia" w:ascii="宋体" w:hAnsi="宋体" w:eastAsia="宋体" w:cs="宋体"/>
                <w:kern w:val="2"/>
                <w:sz w:val="24"/>
                <w:szCs w:val="24"/>
                <w:highlight w:val="none"/>
                <w:u w:val="none"/>
                <w:lang w:val="en-US" w:eastAsia="zh-CN"/>
              </w:rPr>
              <w:t>付款方式</w:t>
            </w:r>
          </w:p>
        </w:tc>
        <w:tc>
          <w:tcPr>
            <w:tcW w:w="3855" w:type="pct"/>
            <w:noWrap w:val="0"/>
            <w:vAlign w:val="center"/>
          </w:tcPr>
          <w:p w14:paraId="01D1B27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kern w:val="2"/>
                <w:highlight w:val="none"/>
                <w:lang w:val="en-US" w:eastAsia="zh-CN"/>
              </w:rPr>
            </w:pPr>
            <w:r>
              <w:rPr>
                <w:rFonts w:hint="eastAsia" w:ascii="宋体" w:hAnsi="宋体" w:cs="宋体"/>
                <w:kern w:val="2"/>
                <w:sz w:val="24"/>
                <w:szCs w:val="24"/>
                <w:highlight w:val="none"/>
                <w:u w:val="none"/>
                <w:lang w:val="en-US" w:eastAsia="zh-CN"/>
              </w:rPr>
              <w:t>3.1</w:t>
            </w:r>
            <w:r>
              <w:rPr>
                <w:rFonts w:hint="eastAsia" w:ascii="宋体" w:hAnsi="宋体" w:cs="宋体"/>
                <w:kern w:val="2"/>
                <w:sz w:val="24"/>
                <w:szCs w:val="24"/>
                <w:highlight w:val="none"/>
                <w:lang w:val="en-US" w:eastAsia="zh-CN"/>
              </w:rPr>
              <w:t>招标代理服务收费</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none"/>
                <w:lang w:val="en-US" w:eastAsia="zh-CN"/>
              </w:rPr>
              <w:t>社会采购代理机构</w:t>
            </w:r>
            <w:r>
              <w:rPr>
                <w:rFonts w:hint="default" w:ascii="宋体" w:hAnsi="宋体" w:cs="宋体"/>
                <w:kern w:val="2"/>
                <w:sz w:val="24"/>
                <w:szCs w:val="24"/>
                <w:highlight w:val="none"/>
                <w:lang w:val="en-US" w:eastAsia="zh-CN"/>
              </w:rPr>
              <w:t>依据每次</w:t>
            </w:r>
            <w:r>
              <w:rPr>
                <w:rFonts w:hint="eastAsia" w:ascii="宋体" w:hAnsi="宋体" w:cs="宋体"/>
                <w:kern w:val="2"/>
                <w:sz w:val="24"/>
                <w:szCs w:val="24"/>
                <w:highlight w:val="none"/>
                <w:lang w:val="en-US" w:eastAsia="zh-CN"/>
              </w:rPr>
              <w:t>招标代理项目</w:t>
            </w:r>
            <w:r>
              <w:rPr>
                <w:rFonts w:hint="default" w:ascii="宋体" w:hAnsi="宋体" w:cs="宋体"/>
                <w:kern w:val="2"/>
                <w:sz w:val="24"/>
                <w:szCs w:val="24"/>
                <w:highlight w:val="none"/>
                <w:lang w:val="en-US" w:eastAsia="zh-CN"/>
              </w:rPr>
              <w:t>中标合同金额以人民币结算，在发出中标通知后向招标代理项目的中标人收取。</w:t>
            </w:r>
          </w:p>
        </w:tc>
      </w:tr>
      <w:tr w14:paraId="047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pct"/>
            <w:noWrap w:val="0"/>
            <w:vAlign w:val="center"/>
          </w:tcPr>
          <w:p w14:paraId="26E697E2">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w:t>
            </w:r>
            <w:r>
              <w:rPr>
                <w:rFonts w:hint="eastAsia" w:ascii="宋体" w:hAnsi="宋体" w:eastAsia="宋体" w:cs="宋体"/>
                <w:b/>
                <w:bCs/>
                <w:kern w:val="2"/>
                <w:sz w:val="24"/>
                <w:szCs w:val="24"/>
                <w:highlight w:val="none"/>
                <w:lang w:val="en-US" w:eastAsia="zh-CN"/>
              </w:rPr>
              <w:t>★</w:t>
            </w:r>
            <w:r>
              <w:rPr>
                <w:rFonts w:hint="eastAsia" w:ascii="宋体" w:hAnsi="宋体" w:cs="宋体"/>
                <w:kern w:val="2"/>
                <w:sz w:val="24"/>
                <w:szCs w:val="24"/>
                <w:highlight w:val="none"/>
                <w:u w:val="none"/>
                <w:lang w:val="en-US" w:eastAsia="zh-CN"/>
              </w:rPr>
              <w:t>退出机制</w:t>
            </w:r>
          </w:p>
        </w:tc>
        <w:tc>
          <w:tcPr>
            <w:tcW w:w="3855" w:type="pct"/>
            <w:noWrap w:val="0"/>
            <w:vAlign w:val="center"/>
          </w:tcPr>
          <w:p w14:paraId="5F236CF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4.1</w:t>
            </w:r>
            <w:r>
              <w:rPr>
                <w:rFonts w:hint="eastAsia" w:ascii="宋体" w:hAnsi="宋体" w:eastAsia="宋体" w:cs="宋体"/>
                <w:kern w:val="2"/>
                <w:sz w:val="24"/>
                <w:szCs w:val="24"/>
                <w:highlight w:val="none"/>
                <w:u w:val="none"/>
                <w:lang w:val="en-US" w:eastAsia="zh-CN"/>
              </w:rPr>
              <w:t>由于社会采购代理机构原因，发生严重影响</w:t>
            </w:r>
            <w:r>
              <w:rPr>
                <w:rFonts w:hint="eastAsia" w:ascii="宋体" w:hAnsi="宋体" w:cs="宋体"/>
                <w:kern w:val="2"/>
                <w:sz w:val="24"/>
                <w:szCs w:val="24"/>
                <w:highlight w:val="none"/>
                <w:u w:val="none"/>
                <w:lang w:val="en-US" w:eastAsia="zh-CN"/>
              </w:rPr>
              <w:t>采购人</w:t>
            </w:r>
            <w:r>
              <w:rPr>
                <w:rFonts w:hint="eastAsia" w:ascii="宋体" w:hAnsi="宋体" w:eastAsia="宋体" w:cs="宋体"/>
                <w:kern w:val="2"/>
                <w:sz w:val="24"/>
                <w:szCs w:val="24"/>
                <w:highlight w:val="none"/>
                <w:u w:val="none"/>
                <w:lang w:val="en-US" w:eastAsia="zh-CN"/>
              </w:rPr>
              <w:t>形象事件的，社会采购代理机构应向公众就该事件予以澄清，采购人亦有权向社会采购代理机构发出书面通知立即终止合同。</w:t>
            </w:r>
          </w:p>
          <w:p w14:paraId="0C7CA76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4.2</w:t>
            </w:r>
            <w:r>
              <w:rPr>
                <w:rFonts w:hint="eastAsia" w:ascii="宋体" w:hAnsi="宋体" w:eastAsia="宋体" w:cs="宋体"/>
                <w:kern w:val="2"/>
                <w:sz w:val="24"/>
                <w:szCs w:val="24"/>
                <w:highlight w:val="none"/>
                <w:u w:val="none"/>
                <w:lang w:val="en-US" w:eastAsia="zh-CN"/>
              </w:rPr>
              <w:t>社会采购代理机构在合同服务期内亦可向采购人发出书面通知终止合同，并应该继续提供至少三个月的服务，并配合采购人完成采购人已委托的所有工作。</w:t>
            </w:r>
          </w:p>
          <w:p w14:paraId="2EE7285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4.3</w:t>
            </w:r>
            <w:r>
              <w:rPr>
                <w:rFonts w:hint="eastAsia" w:ascii="宋体" w:hAnsi="宋体" w:eastAsia="宋体" w:cs="宋体"/>
                <w:kern w:val="2"/>
                <w:sz w:val="24"/>
                <w:szCs w:val="24"/>
                <w:highlight w:val="none"/>
                <w:u w:val="none"/>
                <w:lang w:val="en-US" w:eastAsia="zh-CN"/>
              </w:rPr>
              <w:t>社会采购代理机构</w:t>
            </w:r>
            <w:r>
              <w:rPr>
                <w:rFonts w:hint="eastAsia" w:ascii="宋体" w:hAnsi="宋体" w:cs="宋体"/>
                <w:kern w:val="2"/>
                <w:sz w:val="24"/>
                <w:szCs w:val="24"/>
                <w:highlight w:val="none"/>
                <w:u w:val="none"/>
                <w:lang w:val="en-US" w:eastAsia="zh-CN"/>
              </w:rPr>
              <w:t>出现以下情况</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视为违约，采购人有权终止合同，给采购人造成损失的，社会采购代理机构需承担赔偿责任</w:t>
            </w:r>
            <w:r>
              <w:rPr>
                <w:rFonts w:hint="eastAsia" w:ascii="宋体" w:hAnsi="宋体" w:eastAsia="宋体" w:cs="宋体"/>
                <w:kern w:val="2"/>
                <w:sz w:val="24"/>
                <w:szCs w:val="24"/>
                <w:highlight w:val="none"/>
                <w:u w:val="none"/>
                <w:lang w:val="en-US" w:eastAsia="zh-CN"/>
              </w:rPr>
              <w:t>：</w:t>
            </w:r>
          </w:p>
          <w:p w14:paraId="054416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rPr>
              <w:t>1转让代理业务的；</w:t>
            </w:r>
          </w:p>
          <w:p w14:paraId="3C0B50D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3.2</w:t>
            </w:r>
            <w:r>
              <w:rPr>
                <w:rFonts w:hint="eastAsia" w:ascii="宋体" w:hAnsi="宋体" w:eastAsia="宋体" w:cs="宋体"/>
                <w:kern w:val="2"/>
                <w:sz w:val="24"/>
                <w:szCs w:val="24"/>
                <w:highlight w:val="none"/>
                <w:u w:val="none"/>
                <w:lang w:val="en-US" w:eastAsia="zh-CN"/>
              </w:rPr>
              <w:t>组织采购活动或招标文件内容编制失误造成较严重后果的；</w:t>
            </w:r>
          </w:p>
          <w:p w14:paraId="6ABF461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.3</w:t>
            </w:r>
            <w:r>
              <w:rPr>
                <w:rFonts w:hint="eastAsia" w:ascii="宋体" w:hAnsi="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rPr>
              <w:t>不能满足项目招标的工作要求，造成招标工作无法正常开展的；</w:t>
            </w:r>
          </w:p>
          <w:p w14:paraId="2105A59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rPr>
              <w:t>4因自身原因造成招标重大失误影响中标候选人排序需重新组织评标委员会复核的或无法应对、处理投诉严重损害</w:t>
            </w:r>
            <w:r>
              <w:rPr>
                <w:rFonts w:hint="eastAsia" w:ascii="宋体" w:hAnsi="宋体" w:cs="宋体"/>
                <w:kern w:val="2"/>
                <w:sz w:val="24"/>
                <w:szCs w:val="24"/>
                <w:highlight w:val="none"/>
                <w:u w:val="none"/>
                <w:lang w:val="en-US" w:eastAsia="zh-CN"/>
              </w:rPr>
              <w:t>采购人</w:t>
            </w:r>
            <w:r>
              <w:rPr>
                <w:rFonts w:hint="eastAsia" w:ascii="宋体" w:hAnsi="宋体" w:eastAsia="宋体" w:cs="宋体"/>
                <w:kern w:val="2"/>
                <w:sz w:val="24"/>
                <w:szCs w:val="24"/>
                <w:highlight w:val="none"/>
                <w:u w:val="none"/>
                <w:lang w:val="en-US" w:eastAsia="zh-CN"/>
              </w:rPr>
              <w:t>利益的；</w:t>
            </w:r>
          </w:p>
          <w:p w14:paraId="347FC0D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kern w:val="2"/>
                <w:sz w:val="24"/>
                <w:szCs w:val="24"/>
                <w:highlight w:val="none"/>
                <w:u w:val="none"/>
                <w:lang w:val="en-US" w:eastAsia="zh-CN"/>
              </w:rPr>
            </w:pPr>
            <w:r>
              <w:rPr>
                <w:rFonts w:hint="eastAsia" w:ascii="宋体" w:hAnsi="宋体" w:cs="宋体"/>
                <w:kern w:val="2"/>
                <w:sz w:val="24"/>
                <w:szCs w:val="24"/>
                <w:highlight w:val="none"/>
                <w:u w:val="none"/>
                <w:lang w:val="en-US" w:eastAsia="zh-CN"/>
              </w:rPr>
              <w:t>4</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rPr>
              <w:t>5履约期间存在其他严重不合理或者违法违规行为的</w:t>
            </w:r>
            <w:r>
              <w:rPr>
                <w:rFonts w:hint="eastAsia" w:ascii="宋体" w:hAnsi="宋体" w:cs="宋体"/>
                <w:kern w:val="2"/>
                <w:sz w:val="24"/>
                <w:szCs w:val="24"/>
                <w:highlight w:val="none"/>
                <w:u w:val="none"/>
                <w:lang w:val="en-US" w:eastAsia="zh-CN"/>
              </w:rPr>
              <w:t>；</w:t>
            </w:r>
          </w:p>
          <w:p w14:paraId="19C14F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rPr>
              <w:t>4.3.6</w:t>
            </w:r>
            <w:r>
              <w:rPr>
                <w:rFonts w:hint="eastAsia" w:ascii="宋体" w:hAnsi="宋体" w:cs="宋体"/>
                <w:kern w:val="2"/>
                <w:sz w:val="24"/>
                <w:szCs w:val="24"/>
                <w:highlight w:val="none"/>
                <w:u w:val="none"/>
                <w:lang w:val="en-US" w:eastAsia="zh-CN" w:bidi="ar-SA"/>
              </w:rPr>
              <w:t>社会采购代理机构</w:t>
            </w:r>
            <w:r>
              <w:rPr>
                <w:rFonts w:hint="default" w:ascii="宋体" w:hAnsi="宋体" w:eastAsia="宋体" w:cs="宋体"/>
                <w:kern w:val="2"/>
                <w:sz w:val="24"/>
                <w:szCs w:val="24"/>
                <w:highlight w:val="none"/>
                <w:u w:val="none"/>
                <w:lang w:val="en-US" w:eastAsia="zh-CN" w:bidi="ar-SA"/>
              </w:rPr>
              <w:t>泄露与招投标有关的保密信息致使招标活动无法正常进行或造成不良后果的</w:t>
            </w:r>
            <w:r>
              <w:rPr>
                <w:rFonts w:hint="eastAsia" w:ascii="宋体" w:hAnsi="宋体" w:cs="宋体"/>
                <w:kern w:val="2"/>
                <w:sz w:val="24"/>
                <w:szCs w:val="24"/>
                <w:highlight w:val="none"/>
                <w:u w:val="none"/>
                <w:lang w:val="en-US" w:eastAsia="zh-CN" w:bidi="ar-SA"/>
              </w:rPr>
              <w:t>。</w:t>
            </w:r>
          </w:p>
          <w:p w14:paraId="22EBE60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bidi="ar-SA"/>
              </w:rPr>
              <w:t>4.4 社会采购代理机构出现下列情况，</w:t>
            </w:r>
            <w:r>
              <w:rPr>
                <w:rFonts w:hint="eastAsia" w:ascii="宋体" w:hAnsi="宋体" w:eastAsia="宋体" w:cs="宋体"/>
                <w:kern w:val="2"/>
                <w:sz w:val="24"/>
                <w:szCs w:val="24"/>
                <w:highlight w:val="none"/>
                <w:u w:val="none"/>
                <w:lang w:val="en-US" w:eastAsia="zh-CN"/>
              </w:rPr>
              <w:t>采购人可视情况减少委托项目数量，情节严重的可立即终止合同</w:t>
            </w:r>
            <w:r>
              <w:rPr>
                <w:rFonts w:hint="eastAsia" w:ascii="宋体" w:hAnsi="宋体" w:cs="宋体"/>
                <w:kern w:val="2"/>
                <w:sz w:val="24"/>
                <w:szCs w:val="24"/>
                <w:highlight w:val="none"/>
                <w:u w:val="none"/>
                <w:lang w:val="en-US" w:eastAsia="zh-CN"/>
              </w:rPr>
              <w:t>，造成损失的依法追究相关责任：</w:t>
            </w:r>
          </w:p>
          <w:p w14:paraId="6E14C8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bidi="ar-SA"/>
              </w:rPr>
              <w:t>4.4.1</w:t>
            </w:r>
            <w:r>
              <w:rPr>
                <w:rFonts w:hint="eastAsia" w:ascii="宋体" w:hAnsi="宋体" w:eastAsia="宋体" w:cs="宋体"/>
                <w:kern w:val="2"/>
                <w:sz w:val="24"/>
                <w:szCs w:val="24"/>
                <w:highlight w:val="none"/>
                <w:u w:val="none"/>
                <w:lang w:val="en-US" w:eastAsia="zh-CN" w:bidi="ar-SA"/>
              </w:rPr>
              <w:t>未切实履行资格审查主体责任</w:t>
            </w:r>
            <w:r>
              <w:rPr>
                <w:rFonts w:hint="eastAsia" w:ascii="宋体" w:hAnsi="宋体" w:cs="宋体"/>
                <w:kern w:val="2"/>
                <w:sz w:val="24"/>
                <w:szCs w:val="24"/>
                <w:highlight w:val="none"/>
                <w:u w:val="none"/>
                <w:lang w:val="en-US" w:eastAsia="zh-CN" w:bidi="ar-SA"/>
              </w:rPr>
              <w:t>；</w:t>
            </w:r>
          </w:p>
          <w:p w14:paraId="7A1EE766">
            <w:pPr>
              <w:pStyle w:val="10"/>
              <w:keepNext w:val="0"/>
              <w:keepLines w:val="0"/>
              <w:pageBreakBefore w:val="0"/>
              <w:widowControl/>
              <w:kinsoku/>
              <w:wordWrap/>
              <w:overflowPunct/>
              <w:topLinePunct w:val="0"/>
              <w:autoSpaceDE/>
              <w:autoSpaceDN/>
              <w:bidi w:val="0"/>
              <w:adjustRightInd/>
              <w:snapToGrid/>
              <w:spacing w:line="240" w:lineRule="auto"/>
              <w:textAlignment w:val="auto"/>
              <w:rPr>
                <w:rFonts w:hint="default"/>
                <w:kern w:val="2"/>
                <w:highlight w:val="none"/>
                <w:lang w:val="en-US" w:eastAsia="zh-CN"/>
              </w:rPr>
            </w:pPr>
            <w:r>
              <w:rPr>
                <w:rFonts w:hint="eastAsia" w:ascii="宋体" w:hAnsi="宋体" w:cs="宋体"/>
                <w:kern w:val="2"/>
                <w:sz w:val="24"/>
                <w:szCs w:val="24"/>
                <w:highlight w:val="none"/>
                <w:u w:val="none"/>
                <w:lang w:val="en-US" w:eastAsia="zh-CN"/>
              </w:rPr>
              <w:t>4.4.2由于</w:t>
            </w:r>
            <w:r>
              <w:rPr>
                <w:rFonts w:hint="eastAsia" w:ascii="宋体" w:hAnsi="宋体" w:eastAsia="宋体" w:cs="宋体"/>
                <w:kern w:val="2"/>
                <w:sz w:val="24"/>
                <w:szCs w:val="24"/>
                <w:highlight w:val="none"/>
                <w:u w:val="none"/>
                <w:lang w:val="en-US" w:eastAsia="zh-CN"/>
              </w:rPr>
              <w:t>社会采购代理机构</w:t>
            </w:r>
            <w:r>
              <w:rPr>
                <w:rFonts w:hint="eastAsia" w:ascii="宋体" w:hAnsi="宋体" w:cs="宋体"/>
                <w:kern w:val="2"/>
                <w:sz w:val="24"/>
                <w:szCs w:val="24"/>
                <w:highlight w:val="none"/>
                <w:u w:val="none"/>
                <w:lang w:val="en-US" w:eastAsia="zh-CN"/>
              </w:rPr>
              <w:t>原因导致采购项目采购失败，社会采购代理机构应向采购人赔付所支出的评审专家费等相关损失；</w:t>
            </w:r>
          </w:p>
          <w:p w14:paraId="74E075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kern w:val="2"/>
                <w:highlight w:val="none"/>
                <w:lang w:val="en-US" w:eastAsia="zh-CN"/>
              </w:rPr>
            </w:pPr>
            <w:r>
              <w:rPr>
                <w:rFonts w:hint="eastAsia" w:ascii="宋体" w:hAnsi="宋体" w:cs="宋体"/>
                <w:kern w:val="2"/>
                <w:sz w:val="24"/>
                <w:szCs w:val="24"/>
                <w:highlight w:val="none"/>
                <w:u w:val="none"/>
                <w:lang w:val="en-US" w:eastAsia="zh-CN" w:bidi="ar-SA"/>
              </w:rPr>
              <w:t>4</w:t>
            </w:r>
            <w:r>
              <w:rPr>
                <w:rFonts w:hint="eastAsia" w:ascii="宋体" w:hAnsi="宋体" w:eastAsia="宋体" w:cs="宋体"/>
                <w:kern w:val="2"/>
                <w:sz w:val="24"/>
                <w:szCs w:val="24"/>
                <w:highlight w:val="none"/>
                <w:u w:val="none"/>
                <w:lang w:val="en-US" w:eastAsia="zh-CN" w:bidi="ar-SA"/>
              </w:rPr>
              <w:t>.4.3</w:t>
            </w:r>
            <w:r>
              <w:rPr>
                <w:rFonts w:hint="eastAsia" w:ascii="宋体" w:hAnsi="宋体" w:cs="宋体"/>
                <w:kern w:val="2"/>
                <w:sz w:val="24"/>
                <w:szCs w:val="24"/>
                <w:highlight w:val="none"/>
                <w:u w:val="none"/>
                <w:lang w:val="en-US" w:eastAsia="zh-CN" w:bidi="ar-SA"/>
              </w:rPr>
              <w:t>其他一般性违约行为，但未给采购人造成严重后果的。</w:t>
            </w:r>
          </w:p>
        </w:tc>
      </w:tr>
      <w:tr w14:paraId="191B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pct"/>
            <w:shd w:val="clear" w:color="auto" w:fill="auto"/>
            <w:noWrap w:val="0"/>
            <w:vAlign w:val="center"/>
          </w:tcPr>
          <w:p w14:paraId="1E19B701">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rPr>
              <w:t>5</w:t>
            </w:r>
            <w:r>
              <w:rPr>
                <w:rFonts w:hint="eastAsia" w:ascii="宋体" w:hAnsi="宋体" w:eastAsia="宋体" w:cs="宋体"/>
                <w:kern w:val="2"/>
                <w:sz w:val="24"/>
                <w:szCs w:val="24"/>
                <w:highlight w:val="none"/>
                <w:u w:val="none"/>
                <w:lang w:val="en-US" w:eastAsia="zh-CN"/>
              </w:rPr>
              <w:t>.</w:t>
            </w:r>
            <w:r>
              <w:rPr>
                <w:rFonts w:hint="eastAsia" w:ascii="宋体" w:hAnsi="宋体" w:cs="宋体"/>
                <w:kern w:val="2"/>
                <w:sz w:val="24"/>
                <w:szCs w:val="24"/>
                <w:highlight w:val="none"/>
                <w:u w:val="none"/>
                <w:lang w:val="en-US" w:eastAsia="zh-CN"/>
              </w:rPr>
              <w:t>项目委托规则</w:t>
            </w:r>
          </w:p>
        </w:tc>
        <w:tc>
          <w:tcPr>
            <w:tcW w:w="3855" w:type="pct"/>
            <w:shd w:val="clear" w:color="auto" w:fill="auto"/>
            <w:noWrap w:val="0"/>
            <w:vAlign w:val="center"/>
          </w:tcPr>
          <w:p w14:paraId="36410C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bidi="ar-SA"/>
              </w:rPr>
              <w:t>原则上按照项目需求对接的时间顺序按社会采购代理机构综合得分排名由高到低依次轮转进行委托；重大项目审查工作按社会采购代理机构价格得分由低到高依次轮转进行委托；</w:t>
            </w:r>
            <w:r>
              <w:rPr>
                <w:rFonts w:hint="eastAsia" w:ascii="宋体" w:hAnsi="宋体" w:eastAsia="宋体" w:cs="宋体"/>
                <w:color w:val="auto"/>
                <w:kern w:val="2"/>
                <w:sz w:val="24"/>
                <w:szCs w:val="24"/>
                <w:highlight w:val="none"/>
                <w:lang w:val="en-US" w:eastAsia="zh-CN"/>
              </w:rPr>
              <w:t>若出现同分情况的，采取抽签或摇号等方式决定。</w:t>
            </w:r>
          </w:p>
        </w:tc>
      </w:tr>
      <w:tr w14:paraId="306D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pct"/>
            <w:shd w:val="clear" w:color="auto" w:fill="auto"/>
            <w:noWrap w:val="0"/>
            <w:vAlign w:val="center"/>
          </w:tcPr>
          <w:p w14:paraId="7039FB82">
            <w:pPr>
              <w:pStyle w:val="8"/>
              <w:keepNext w:val="0"/>
              <w:keepLines w:val="0"/>
              <w:pageBreakBefore w:val="0"/>
              <w:widowControl/>
              <w:suppressLineNumbers w:val="0"/>
              <w:tabs>
                <w:tab w:val="right" w:pos="8312"/>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2"/>
                <w:sz w:val="24"/>
                <w:szCs w:val="24"/>
                <w:highlight w:val="none"/>
                <w:u w:val="none"/>
                <w:lang w:val="en-US" w:eastAsia="zh-CN" w:bidi="ar-SA"/>
              </w:rPr>
            </w:pPr>
            <w:r>
              <w:rPr>
                <w:rFonts w:hint="eastAsia" w:ascii="宋体" w:hAnsi="宋体" w:cs="宋体"/>
                <w:kern w:val="2"/>
                <w:sz w:val="24"/>
                <w:szCs w:val="24"/>
                <w:highlight w:val="none"/>
                <w:u w:val="none"/>
                <w:lang w:val="en-US" w:eastAsia="zh-CN"/>
              </w:rPr>
              <w:t>6</w:t>
            </w:r>
            <w:r>
              <w:rPr>
                <w:rFonts w:hint="eastAsia" w:ascii="宋体" w:hAnsi="宋体" w:eastAsia="宋体" w:cs="宋体"/>
                <w:kern w:val="2"/>
                <w:sz w:val="24"/>
                <w:szCs w:val="24"/>
                <w:highlight w:val="none"/>
                <w:u w:val="none"/>
                <w:lang w:val="en-US" w:eastAsia="zh-CN"/>
              </w:rPr>
              <w:t>.其他商务要求</w:t>
            </w:r>
          </w:p>
        </w:tc>
        <w:tc>
          <w:tcPr>
            <w:tcW w:w="3855" w:type="pct"/>
            <w:shd w:val="clear" w:color="auto" w:fill="auto"/>
            <w:noWrap w:val="0"/>
            <w:vAlign w:val="center"/>
          </w:tcPr>
          <w:p w14:paraId="70768B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rPr>
              <w:t>具备医疗行业货物、服务项目的招标采购代理经验</w:t>
            </w:r>
            <w:r>
              <w:rPr>
                <w:rFonts w:hint="eastAsia" w:ascii="宋体" w:hAnsi="宋体" w:cs="宋体"/>
                <w:color w:val="auto"/>
                <w:kern w:val="2"/>
                <w:sz w:val="24"/>
                <w:szCs w:val="24"/>
                <w:highlight w:val="none"/>
                <w:lang w:val="en-US" w:eastAsia="zh-CN"/>
              </w:rPr>
              <w:t>。</w:t>
            </w:r>
          </w:p>
        </w:tc>
      </w:tr>
    </w:tbl>
    <w:p w14:paraId="7E891371">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p>
    <w:p w14:paraId="1C63E32E">
      <w:pPr>
        <w:pStyle w:val="49"/>
        <w:spacing w:line="360" w:lineRule="auto"/>
        <w:ind w:firstLine="480" w:firstLineChars="0"/>
        <w:rPr>
          <w:rFonts w:hint="eastAsia" w:cs="Times New Roman" w:asciiTheme="minorEastAsia" w:hAnsiTheme="minorEastAsia" w:eastAsiaTheme="minorEastAsia"/>
          <w:b w:val="0"/>
          <w:bCs/>
          <w:sz w:val="24"/>
          <w:szCs w:val="32"/>
          <w:lang w:val="en-US" w:eastAsia="zh-CN"/>
        </w:rPr>
      </w:pPr>
    </w:p>
    <w:p w14:paraId="05254665">
      <w:pPr>
        <w:rPr>
          <w:rFonts w:hint="eastAsia" w:ascii="Cambria" w:hAnsi="Cambria"/>
          <w:b/>
          <w:bCs/>
          <w:kern w:val="28"/>
          <w:sz w:val="28"/>
          <w:szCs w:val="32"/>
        </w:rPr>
      </w:pPr>
      <w:r>
        <w:rPr>
          <w:rFonts w:hint="eastAsia" w:ascii="Cambria" w:hAnsi="Cambria"/>
          <w:b/>
          <w:bCs/>
          <w:kern w:val="28"/>
          <w:sz w:val="28"/>
          <w:szCs w:val="32"/>
        </w:rPr>
        <w:br w:type="page"/>
      </w:r>
    </w:p>
    <w:p w14:paraId="16E760DE">
      <w:pPr>
        <w:ind w:firstLine="1405" w:firstLineChars="500"/>
        <w:jc w:val="both"/>
        <w:rPr>
          <w:rFonts w:hint="eastAsia" w:hAnsi="宋体" w:eastAsia="宋体" w:cs="宋体"/>
          <w:b/>
          <w:bCs/>
          <w:snapToGrid/>
          <w:color w:val="auto"/>
          <w:spacing w:val="0"/>
          <w:kern w:val="2"/>
          <w:sz w:val="21"/>
          <w:szCs w:val="21"/>
          <w:highlight w:val="none"/>
          <w:lang w:val="en-US" w:eastAsia="zh-CN"/>
        </w:rPr>
      </w:pPr>
      <w:r>
        <w:rPr>
          <w:rFonts w:hint="eastAsia" w:hAnsi="宋体" w:eastAsia="宋体" w:cs="宋体"/>
          <w:b/>
          <w:bCs/>
          <w:snapToGrid/>
          <w:color w:val="auto"/>
          <w:spacing w:val="0"/>
          <w:kern w:val="2"/>
          <w:sz w:val="28"/>
          <w:szCs w:val="28"/>
          <w:highlight w:val="none"/>
          <w:lang w:val="en-US" w:eastAsia="zh-CN"/>
        </w:rPr>
        <w:t>附件   年度履约评价表（本表</w:t>
      </w:r>
      <w:r>
        <w:rPr>
          <w:rFonts w:hint="eastAsia" w:hAnsi="宋体" w:cs="宋体"/>
          <w:b/>
          <w:bCs/>
          <w:snapToGrid/>
          <w:color w:val="auto"/>
          <w:spacing w:val="0"/>
          <w:kern w:val="2"/>
          <w:sz w:val="28"/>
          <w:szCs w:val="28"/>
          <w:highlight w:val="none"/>
          <w:lang w:val="en-US" w:eastAsia="zh-CN"/>
        </w:rPr>
        <w:t>可</w:t>
      </w:r>
      <w:r>
        <w:rPr>
          <w:rFonts w:hint="eastAsia" w:hAnsi="宋体" w:eastAsia="宋体" w:cs="宋体"/>
          <w:b/>
          <w:bCs/>
          <w:snapToGrid/>
          <w:color w:val="auto"/>
          <w:spacing w:val="0"/>
          <w:kern w:val="2"/>
          <w:sz w:val="28"/>
          <w:szCs w:val="28"/>
          <w:highlight w:val="none"/>
          <w:lang w:val="en-US" w:eastAsia="zh-CN"/>
        </w:rPr>
        <w:t>根据实际工作内容调整）</w:t>
      </w:r>
    </w:p>
    <w:tbl>
      <w:tblPr>
        <w:tblStyle w:val="27"/>
        <w:tblW w:w="9132"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42"/>
        <w:gridCol w:w="7990"/>
      </w:tblGrid>
      <w:tr w14:paraId="1B56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142" w:type="dxa"/>
            <w:vMerge w:val="restart"/>
            <w:tcBorders>
              <w:top w:val="single" w:color="000008" w:sz="6" w:space="0"/>
              <w:left w:val="single" w:color="000008" w:sz="6" w:space="0"/>
              <w:right w:val="single" w:color="000008" w:sz="6" w:space="0"/>
            </w:tcBorders>
            <w:shd w:val="clear" w:color="auto" w:fill="auto"/>
            <w:tcMar>
              <w:left w:w="108" w:type="dxa"/>
              <w:right w:w="108" w:type="dxa"/>
            </w:tcMar>
            <w:vAlign w:val="center"/>
          </w:tcPr>
          <w:p w14:paraId="0F4907E2">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工作效率</w:t>
            </w:r>
          </w:p>
          <w:p w14:paraId="2AAD1881">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20分</w:t>
            </w:r>
            <w:r>
              <w:rPr>
                <w:rFonts w:hint="eastAsia" w:ascii="宋体" w:hAnsi="宋体" w:cs="宋体"/>
                <w:color w:val="auto"/>
                <w:sz w:val="21"/>
                <w:szCs w:val="21"/>
                <w:highlight w:val="none"/>
                <w:lang w:eastAsia="zh-CN"/>
              </w:rPr>
              <w:t>）</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6DCF8B3">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第一次返稿时间：2个工作日内（以采购人提交采购需求书时间起算48小时内），每超过24小时（不足24小时按24小时算）扣2分，可累计扣分，本项共</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0A2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42" w:type="dxa"/>
            <w:vMerge w:val="continue"/>
            <w:tcBorders>
              <w:left w:val="single" w:color="000008" w:sz="6" w:space="0"/>
              <w:right w:val="single" w:color="000008" w:sz="6" w:space="0"/>
            </w:tcBorders>
            <w:shd w:val="clear" w:color="auto" w:fill="auto"/>
            <w:tcMar>
              <w:left w:w="108" w:type="dxa"/>
              <w:right w:w="108" w:type="dxa"/>
            </w:tcMar>
            <w:vAlign w:val="center"/>
          </w:tcPr>
          <w:p w14:paraId="69BFB512">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CA1ACBF">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二次及以上返稿时间：1个工作日内（以采购人提交采购文件修改稿时间起算24小时内），每超过24小时（不足24小时按24小时算）扣2分，可累计扣分，本项共</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257C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142" w:type="dxa"/>
            <w:vMerge w:val="continue"/>
            <w:tcBorders>
              <w:left w:val="single" w:color="000008" w:sz="6" w:space="0"/>
              <w:right w:val="single" w:color="000008" w:sz="6" w:space="0"/>
            </w:tcBorders>
            <w:shd w:val="clear" w:color="auto" w:fill="auto"/>
            <w:tcMar>
              <w:left w:w="108" w:type="dxa"/>
              <w:right w:w="108" w:type="dxa"/>
            </w:tcMar>
            <w:vAlign w:val="center"/>
          </w:tcPr>
          <w:p w14:paraId="79449FBE">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1EAA6693">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招采系统信息录入时间：2个工作日内（自中标通知书发出后首个工作日起算），超过一天扣2分，本项共</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2961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142" w:type="dxa"/>
            <w:vMerge w:val="continue"/>
            <w:tcBorders>
              <w:left w:val="single" w:color="000008" w:sz="6" w:space="0"/>
              <w:bottom w:val="single" w:color="000008" w:sz="6" w:space="0"/>
              <w:right w:val="single" w:color="000008" w:sz="6" w:space="0"/>
            </w:tcBorders>
            <w:shd w:val="clear" w:color="auto" w:fill="auto"/>
            <w:tcMar>
              <w:left w:w="108" w:type="dxa"/>
              <w:right w:w="108" w:type="dxa"/>
            </w:tcMar>
            <w:vAlign w:val="center"/>
          </w:tcPr>
          <w:p w14:paraId="08E89819">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48ABD53">
            <w:pPr>
              <w:pStyle w:val="23"/>
              <w:keepNext w:val="0"/>
              <w:keepLines w:val="0"/>
              <w:widowControl/>
              <w:suppressLineNumbers w:val="0"/>
              <w:kinsoku/>
              <w:wordWrap/>
              <w:overflowPunct/>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采购人要求在挂网结束后可以开标的项目，2个工作日内(双方另有约定的除外)因代理机构原因开标日期延后的（评标室不足、人手不足等原因），每延一天扣1分（公众假期等除外），</w:t>
            </w:r>
            <w:r>
              <w:rPr>
                <w:rFonts w:hint="eastAsia" w:ascii="宋体" w:hAnsi="宋体" w:eastAsia="宋体" w:cs="宋体"/>
                <w:color w:val="auto"/>
                <w:sz w:val="21"/>
                <w:szCs w:val="21"/>
                <w:highlight w:val="none"/>
              </w:rPr>
              <w:t>本项共</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57B7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2" w:type="dxa"/>
            <w:vMerge w:val="restart"/>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702AAA19">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采购文件编制质量</w:t>
            </w:r>
          </w:p>
          <w:p w14:paraId="6298CE8A">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16分</w:t>
            </w:r>
            <w:r>
              <w:rPr>
                <w:rFonts w:hint="eastAsia" w:ascii="宋体" w:hAnsi="宋体" w:cs="宋体"/>
                <w:color w:val="auto"/>
                <w:sz w:val="21"/>
                <w:szCs w:val="21"/>
                <w:highlight w:val="none"/>
                <w:lang w:eastAsia="zh-CN"/>
              </w:rPr>
              <w:t>）</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D70528F">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因代理机构把关不严，出现倾向性、歧视性等负面清单条款，产生质疑、投诉成立，每项目扣2分，本项共10分</w:t>
            </w:r>
          </w:p>
        </w:tc>
      </w:tr>
      <w:tr w14:paraId="5017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81EC7A3">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F0B63BA">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采购文件版本运用不合理、产生明显逻辑漏洞，导致后果（例：服务类套用货物类采购文件评审版本等），每项目扣2分，本项共6分</w:t>
            </w:r>
          </w:p>
        </w:tc>
      </w:tr>
      <w:tr w14:paraId="21EA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2" w:type="dxa"/>
            <w:vMerge w:val="restart"/>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0FC4199">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人为错误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37分</w:t>
            </w:r>
            <w:r>
              <w:rPr>
                <w:rFonts w:hint="eastAsia" w:ascii="宋体" w:hAnsi="宋体" w:cs="宋体"/>
                <w:color w:val="auto"/>
                <w:sz w:val="21"/>
                <w:szCs w:val="21"/>
                <w:highlight w:val="none"/>
                <w:lang w:eastAsia="zh-CN"/>
              </w:rPr>
              <w:t>）</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75A59C6">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采购文件评分项分值错误未发现（如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总分累加不是100分），</w:t>
            </w:r>
            <w:r>
              <w:rPr>
                <w:rFonts w:hint="eastAsia" w:ascii="宋体" w:hAnsi="宋体" w:cs="宋体"/>
                <w:color w:val="auto"/>
                <w:sz w:val="21"/>
                <w:szCs w:val="21"/>
                <w:highlight w:val="none"/>
                <w:lang w:val="en-US" w:eastAsia="zh-CN"/>
              </w:rPr>
              <w:t>已定稿但</w:t>
            </w:r>
            <w:r>
              <w:rPr>
                <w:rFonts w:hint="eastAsia" w:ascii="宋体" w:hAnsi="宋体" w:eastAsia="宋体" w:cs="宋体"/>
                <w:color w:val="auto"/>
                <w:sz w:val="21"/>
                <w:szCs w:val="21"/>
                <w:highlight w:val="none"/>
              </w:rPr>
              <w:t>未公告</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，每项目扣2分，采购文件已公告</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，每项目扣4分，本项共8分</w:t>
            </w:r>
          </w:p>
        </w:tc>
      </w:tr>
      <w:tr w14:paraId="359B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6F87155">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51065010">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w:t>
            </w:r>
            <w:r>
              <w:rPr>
                <w:rFonts w:hint="eastAsia" w:ascii="宋体" w:hAnsi="宋体" w:cs="宋体"/>
                <w:color w:val="auto"/>
                <w:sz w:val="21"/>
                <w:szCs w:val="21"/>
                <w:highlight w:val="none"/>
                <w:lang w:val="en-US" w:eastAsia="zh-CN"/>
              </w:rPr>
              <w:t>修改过程中，批注漏改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发现时已定稿审批的，</w:t>
            </w:r>
            <w:r>
              <w:rPr>
                <w:rFonts w:hint="eastAsia" w:ascii="宋体" w:hAnsi="宋体" w:eastAsia="宋体" w:cs="宋体"/>
                <w:color w:val="auto"/>
                <w:sz w:val="21"/>
                <w:szCs w:val="21"/>
                <w:highlight w:val="none"/>
              </w:rPr>
              <w:t>每</w:t>
            </w:r>
            <w:r>
              <w:rPr>
                <w:rFonts w:hint="eastAsia" w:ascii="宋体" w:hAnsi="宋体" w:cs="宋体"/>
                <w:color w:val="auto"/>
                <w:sz w:val="21"/>
                <w:szCs w:val="21"/>
                <w:highlight w:val="none"/>
                <w:lang w:val="en-US" w:eastAsia="zh-CN"/>
              </w:rPr>
              <w:t>条批注</w:t>
            </w:r>
            <w:r>
              <w:rPr>
                <w:rFonts w:hint="eastAsia" w:ascii="宋体" w:hAnsi="宋体" w:eastAsia="宋体" w:cs="宋体"/>
                <w:color w:val="auto"/>
                <w:sz w:val="21"/>
                <w:szCs w:val="21"/>
                <w:highlight w:val="none"/>
              </w:rPr>
              <w:t>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分，本项共6分</w:t>
            </w:r>
          </w:p>
        </w:tc>
      </w:tr>
      <w:tr w14:paraId="5BA4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5A9E645">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BAB1CF0">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采购文件出现错误用词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用句、表述</w:t>
            </w:r>
            <w:r>
              <w:rPr>
                <w:rFonts w:hint="eastAsia" w:ascii="宋体" w:hAnsi="宋体" w:eastAsia="宋体" w:cs="宋体"/>
                <w:color w:val="auto"/>
                <w:sz w:val="21"/>
                <w:szCs w:val="21"/>
                <w:highlight w:val="none"/>
              </w:rPr>
              <w:t>并产生</w:t>
            </w:r>
            <w:r>
              <w:rPr>
                <w:rFonts w:hint="eastAsia" w:ascii="宋体" w:hAnsi="宋体" w:cs="宋体"/>
                <w:color w:val="auto"/>
                <w:sz w:val="21"/>
                <w:szCs w:val="21"/>
                <w:highlight w:val="none"/>
                <w:lang w:eastAsia="zh-CN"/>
              </w:rPr>
              <w:t>不良</w:t>
            </w:r>
            <w:r>
              <w:rPr>
                <w:rFonts w:hint="eastAsia" w:ascii="宋体" w:hAnsi="宋体" w:eastAsia="宋体" w:cs="宋体"/>
                <w:color w:val="auto"/>
                <w:sz w:val="21"/>
                <w:szCs w:val="21"/>
                <w:highlight w:val="none"/>
              </w:rPr>
              <w:t>后果，每项目扣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分，本项共8分</w:t>
            </w:r>
          </w:p>
        </w:tc>
      </w:tr>
      <w:tr w14:paraId="27BF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14AB9999">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F555AF5">
            <w:pPr>
              <w:pStyle w:val="23"/>
              <w:keepNext w:val="0"/>
              <w:keepLines w:val="0"/>
              <w:widowControl/>
              <w:suppressLineNumbers w:val="0"/>
              <w:kinsoku/>
              <w:wordWrap/>
              <w:overflowPunct/>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rPr>
              <w:t>需求信息出现前后不一致或错误（例：清单单价与后文出现的单价不一致），采购文件已公告</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每项目扣2分，本项共6分</w:t>
            </w:r>
            <w:r>
              <w:rPr>
                <w:rFonts w:hint="eastAsia" w:ascii="宋体" w:hAnsi="宋体" w:cs="宋体"/>
                <w:color w:val="auto"/>
                <w:sz w:val="21"/>
                <w:szCs w:val="21"/>
                <w:highlight w:val="none"/>
                <w:lang w:eastAsia="zh-CN"/>
              </w:rPr>
              <w:t>。</w:t>
            </w:r>
          </w:p>
        </w:tc>
      </w:tr>
      <w:tr w14:paraId="68FD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19A8328E">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15C203FD">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评标报告、中标通知书中标结果错误情况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错误报告已发布，扣2分，超过1天未自行发现，造成较严重后果，每项目扣4分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错误报告未发布、未造成后果，每项目扣1分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本项共8分</w:t>
            </w:r>
          </w:p>
        </w:tc>
      </w:tr>
      <w:tr w14:paraId="29AC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529B09E">
            <w:pP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2256FFD0">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招采系统关键信息录入有误（例如中标价、中标公司等）每个项目扣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分，本项共</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72D4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93362F0">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质疑、投诉（10分）</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13F45834">
            <w:pPr>
              <w:pStyle w:val="23"/>
              <w:keepNext w:val="0"/>
              <w:keepLines w:val="0"/>
              <w:widowControl/>
              <w:suppressLineNumbers w:val="0"/>
              <w:kinsoku/>
              <w:wordWrap/>
              <w:overflowPunct/>
              <w:spacing w:line="240" w:lineRule="auto"/>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投诉成立的项目，若发现质疑回复存在明显逻辑错误、引用法规不当、把关不严格等，扣5分，本项共10分</w:t>
            </w:r>
          </w:p>
        </w:tc>
      </w:tr>
      <w:tr w14:paraId="5590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vMerge w:val="restart"/>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0A8ADA0">
            <w:pPr>
              <w:pStyle w:val="23"/>
              <w:keepNext w:val="0"/>
              <w:keepLines w:val="0"/>
              <w:widowControl/>
              <w:suppressLineNumbers w:val="0"/>
              <w:kinsoku/>
              <w:wordWrap/>
              <w:overflowPun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评审阶段</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14分</w:t>
            </w:r>
            <w:r>
              <w:rPr>
                <w:rFonts w:hint="eastAsia" w:ascii="宋体" w:hAnsi="宋体" w:cs="宋体"/>
                <w:color w:val="auto"/>
                <w:sz w:val="21"/>
                <w:szCs w:val="21"/>
                <w:highlight w:val="none"/>
                <w:lang w:eastAsia="zh-CN"/>
              </w:rPr>
              <w:t>）</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290446A">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专家评审分数计算错误（如客观分各专家打分不一致，价格分计算有误，中小微企业价格扣除计算错误等），每项目扣3分，本项共6分</w:t>
            </w:r>
          </w:p>
        </w:tc>
      </w:tr>
      <w:tr w14:paraId="4099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160CAF3">
            <w:pPr>
              <w:jc w:val="cente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B47D83D">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评审专家漏签名等，每项目扣1分，本项共2分</w:t>
            </w:r>
          </w:p>
        </w:tc>
      </w:tr>
      <w:tr w14:paraId="56E7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F6DB6DF">
            <w:pPr>
              <w:jc w:val="center"/>
              <w:rPr>
                <w:rFonts w:hint="eastAsia" w:ascii="宋体" w:hAnsi="宋体" w:eastAsia="宋体" w:cs="宋体"/>
                <w:color w:val="auto"/>
                <w:sz w:val="21"/>
                <w:szCs w:val="21"/>
                <w:highlight w:val="none"/>
              </w:rPr>
            </w:pP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5CF55D03">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资格性审查有误，每项目扣3分，本项共6分</w:t>
            </w:r>
          </w:p>
        </w:tc>
      </w:tr>
      <w:tr w14:paraId="4547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42"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63B5834">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服务态度（</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799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5F0F2C0">
            <w:pPr>
              <w:pStyle w:val="23"/>
              <w:keepNext w:val="0"/>
              <w:keepLines w:val="0"/>
              <w:widowControl/>
              <w:suppressLineNumbers w:val="0"/>
              <w:kinsoku/>
              <w:wordWrap/>
              <w:overflowPunct/>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收到采购人工作人员或采购人代表投诉服务态度欠佳，每项目扣1分，本项共3分。</w:t>
            </w:r>
          </w:p>
        </w:tc>
      </w:tr>
    </w:tbl>
    <w:p w14:paraId="3EF25FDB">
      <w:pPr>
        <w:pStyle w:val="16"/>
        <w:numPr>
          <w:ilvl w:val="0"/>
          <w:numId w:val="0"/>
        </w:numPr>
        <w:tabs>
          <w:tab w:val="left" w:pos="540"/>
        </w:tabs>
        <w:adjustRightInd w:val="0"/>
        <w:snapToGrid w:val="0"/>
        <w:spacing w:line="360" w:lineRule="auto"/>
        <w:rPr>
          <w:rFonts w:hint="eastAsia" w:hAnsi="宋体" w:cs="宋体"/>
          <w:snapToGrid/>
          <w:color w:val="auto"/>
          <w:spacing w:val="0"/>
          <w:kern w:val="2"/>
          <w:sz w:val="21"/>
          <w:szCs w:val="21"/>
          <w:highlight w:val="none"/>
          <w:lang w:val="en-US" w:eastAsia="zh-CN"/>
        </w:rPr>
      </w:pPr>
    </w:p>
    <w:p w14:paraId="27671787">
      <w:pPr>
        <w:pStyle w:val="16"/>
        <w:numPr>
          <w:ilvl w:val="0"/>
          <w:numId w:val="0"/>
        </w:numPr>
        <w:tabs>
          <w:tab w:val="left" w:pos="540"/>
        </w:tabs>
        <w:adjustRightInd w:val="0"/>
        <w:snapToGrid w:val="0"/>
        <w:spacing w:line="360" w:lineRule="auto"/>
        <w:rPr>
          <w:vanish/>
        </w:rPr>
      </w:pPr>
      <w:r>
        <w:rPr>
          <w:rFonts w:hint="eastAsia" w:hAnsi="宋体" w:cs="宋体"/>
          <w:snapToGrid/>
          <w:color w:val="auto"/>
          <w:spacing w:val="0"/>
          <w:kern w:val="2"/>
          <w:sz w:val="21"/>
          <w:szCs w:val="21"/>
          <w:highlight w:val="none"/>
          <w:lang w:val="en-US" w:eastAsia="zh-CN"/>
        </w:rPr>
        <w:t>备注：</w:t>
      </w:r>
      <w:r>
        <w:rPr>
          <w:rFonts w:hint="eastAsia" w:hAnsi="宋体" w:eastAsia="宋体" w:cs="宋体"/>
          <w:snapToGrid/>
          <w:color w:val="auto"/>
          <w:spacing w:val="0"/>
          <w:kern w:val="2"/>
          <w:sz w:val="21"/>
          <w:szCs w:val="21"/>
          <w:highlight w:val="none"/>
          <w:lang w:val="en-US" w:eastAsia="zh-CN"/>
        </w:rPr>
        <w:t>合同到期前2个月，采购人启动履约评价，按履约评价表进行打分，分数</w:t>
      </w:r>
      <w:r>
        <w:rPr>
          <w:rFonts w:hint="eastAsia" w:hAnsi="宋体" w:cs="宋体"/>
          <w:snapToGrid/>
          <w:color w:val="auto"/>
          <w:spacing w:val="0"/>
          <w:kern w:val="2"/>
          <w:sz w:val="21"/>
          <w:szCs w:val="21"/>
          <w:highlight w:val="none"/>
          <w:lang w:val="en-US" w:eastAsia="zh-CN"/>
        </w:rPr>
        <w:t>90分及以上为优，80（含）-90分为良，70（含）-80分为合格，70分以下为不合格</w:t>
      </w:r>
      <w:r>
        <w:rPr>
          <w:rFonts w:hint="eastAsia" w:hAnsi="宋体" w:eastAsia="宋体" w:cs="宋体"/>
          <w:snapToGrid/>
          <w:color w:val="auto"/>
          <w:spacing w:val="0"/>
          <w:kern w:val="2"/>
          <w:sz w:val="21"/>
          <w:szCs w:val="21"/>
          <w:highlight w:val="none"/>
          <w:lang w:val="en-US" w:eastAsia="zh-CN"/>
        </w:rPr>
        <w:t>。如当年度履约过程出现一票否决情况，无论得分多少</w:t>
      </w:r>
      <w:r>
        <w:rPr>
          <w:rFonts w:hint="eastAsia" w:hAnsi="宋体" w:cs="宋体"/>
          <w:snapToGrid/>
          <w:color w:val="auto"/>
          <w:spacing w:val="0"/>
          <w:kern w:val="2"/>
          <w:sz w:val="21"/>
          <w:szCs w:val="21"/>
          <w:highlight w:val="none"/>
          <w:lang w:val="en-US" w:eastAsia="zh-CN"/>
        </w:rPr>
        <w:t>均</w:t>
      </w:r>
      <w:r>
        <w:rPr>
          <w:rFonts w:hint="eastAsia" w:hAnsi="宋体" w:eastAsia="宋体" w:cs="宋体"/>
          <w:snapToGrid/>
          <w:color w:val="auto"/>
          <w:spacing w:val="0"/>
          <w:kern w:val="2"/>
          <w:sz w:val="21"/>
          <w:szCs w:val="21"/>
          <w:highlight w:val="none"/>
          <w:lang w:val="en-US" w:eastAsia="zh-CN"/>
        </w:rPr>
        <w:t>不再续约。</w:t>
      </w:r>
    </w:p>
    <w:p w14:paraId="6C3F0E88">
      <w:pPr>
        <w:pStyle w:val="36"/>
        <w:rPr>
          <w:rFonts w:hint="eastAsia" w:cs="宋体"/>
          <w:b/>
          <w:bCs/>
          <w:sz w:val="48"/>
          <w:szCs w:val="48"/>
          <w:lang w:eastAsia="zh-CN"/>
        </w:rPr>
        <w:sectPr>
          <w:headerReference r:id="rId3" w:type="default"/>
          <w:footerReference r:id="rId4" w:type="default"/>
          <w:pgSz w:w="11906" w:h="16838"/>
          <w:pgMar w:top="1440" w:right="1587" w:bottom="1440" w:left="1587" w:header="851" w:footer="850" w:gutter="0"/>
          <w:cols w:space="720" w:num="1"/>
          <w:rtlGutter w:val="0"/>
          <w:docGrid w:type="lines" w:linePitch="319" w:charSpace="0"/>
        </w:sectPr>
      </w:pPr>
    </w:p>
    <w:p w14:paraId="5CB26810">
      <w:pPr>
        <w:jc w:val="center"/>
        <w:rPr>
          <w:rFonts w:ascii="Cambria" w:hAnsi="Cambria"/>
          <w:b/>
          <w:bCs/>
          <w:kern w:val="28"/>
          <w:sz w:val="28"/>
          <w:szCs w:val="32"/>
        </w:rPr>
      </w:pPr>
    </w:p>
    <w:p w14:paraId="1C1F2E92">
      <w:pPr>
        <w:pStyle w:val="16"/>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1901837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九、其他响应评分的内容及佐证材料</w:t>
      </w:r>
    </w:p>
    <w:p w14:paraId="0CE943E6">
      <w:pPr>
        <w:pStyle w:val="2"/>
        <w:rPr>
          <w:rFonts w:hint="eastAsia"/>
        </w:rPr>
      </w:pPr>
    </w:p>
    <w:p w14:paraId="56C1DD0C">
      <w:pPr>
        <w:pStyle w:val="2"/>
        <w:rPr>
          <w:rFonts w:hint="eastAsia"/>
        </w:rPr>
      </w:pPr>
      <w:r>
        <w:rPr>
          <w:rFonts w:hint="eastAsia"/>
          <w:lang w:eastAsia="zh-CN"/>
        </w:rPr>
        <w:t>十、采购文件</w:t>
      </w:r>
      <w:r>
        <w:rPr>
          <w:rFonts w:hint="eastAsia"/>
        </w:rPr>
        <w:t>要求的其他内容及投标人认为需要加以说明的其他内容</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6"/>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6"/>
        <w:rPr>
          <w:rFonts w:hint="eastAsia" w:asciiTheme="minorEastAsia" w:hAnsiTheme="minorEastAsia" w:cstheme="minorEastAsia"/>
          <w:b/>
          <w:bCs/>
          <w:sz w:val="21"/>
          <w:szCs w:val="21"/>
        </w:rPr>
      </w:pPr>
    </w:p>
    <w:p w14:paraId="3AD3F984">
      <w:pPr>
        <w:pStyle w:val="36"/>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70"/>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6"/>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6"/>
        <w:tabs>
          <w:tab w:val="left" w:pos="426"/>
        </w:tabs>
        <w:ind w:firstLine="630" w:firstLineChars="300"/>
      </w:pPr>
    </w:p>
    <w:p w14:paraId="12C4B109">
      <w:pPr>
        <w:pStyle w:val="16"/>
        <w:tabs>
          <w:tab w:val="left" w:pos="426"/>
        </w:tabs>
        <w:ind w:firstLine="630" w:firstLineChars="300"/>
      </w:pPr>
    </w:p>
    <w:p w14:paraId="7722A2B5">
      <w:pPr>
        <w:pStyle w:val="16"/>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665B2EC">
      <w:pPr>
        <w:spacing w:line="420" w:lineRule="exact"/>
        <w:outlineLvl w:val="3"/>
        <w:rPr>
          <w:rFonts w:hint="eastAsia" w:asciiTheme="minorEastAsia" w:hAnsiTheme="minorEastAsia" w:cstheme="minorEastAsia"/>
          <w:b/>
          <w:bCs/>
        </w:rPr>
        <w:sectPr>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6"/>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2"/>
        </w:numPr>
        <w:tabs>
          <w:tab w:val="clear" w:pos="780"/>
        </w:tabs>
        <w:snapToGrid w:val="0"/>
        <w:spacing w:line="360" w:lineRule="auto"/>
        <w:ind w:left="426"/>
        <w:jc w:val="both"/>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E25A863">
      <w:pPr>
        <w:adjustRightInd w:val="0"/>
        <w:snapToGrid w:val="0"/>
        <w:spacing w:line="360" w:lineRule="auto"/>
        <w:rPr>
          <w:rFonts w:ascii="黑体" w:eastAsia="黑体"/>
          <w:b/>
          <w:bCs/>
          <w:sz w:val="21"/>
          <w:szCs w:val="21"/>
        </w:rPr>
        <w:sectPr>
          <w:footerReference r:id="rId6" w:type="default"/>
          <w:pgSz w:w="11906" w:h="16838"/>
          <w:pgMar w:top="1440" w:right="1286" w:bottom="1440" w:left="144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3"/>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3"/>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6"/>
        <w:tabs>
          <w:tab w:val="left" w:pos="426"/>
        </w:tabs>
        <w:rPr>
          <w:rFonts w:hint="eastAsia" w:ascii="仿宋" w:hAnsi="仿宋" w:eastAsia="仿宋" w:cs="仿宋"/>
        </w:rPr>
      </w:pPr>
    </w:p>
    <w:p w14:paraId="17913333">
      <w:pPr>
        <w:pStyle w:val="36"/>
        <w:tabs>
          <w:tab w:val="left" w:pos="426"/>
        </w:tabs>
        <w:rPr>
          <w:rFonts w:hint="eastAsia" w:ascii="仿宋" w:hAnsi="仿宋" w:eastAsia="仿宋" w:cs="仿宋"/>
        </w:rPr>
      </w:pPr>
    </w:p>
    <w:p w14:paraId="3010E2AC">
      <w:pPr>
        <w:pStyle w:val="36"/>
        <w:tabs>
          <w:tab w:val="left" w:pos="426"/>
        </w:tabs>
        <w:rPr>
          <w:rFonts w:hint="eastAsia" w:ascii="仿宋" w:hAnsi="仿宋" w:eastAsia="仿宋" w:cs="仿宋"/>
        </w:rPr>
      </w:pPr>
    </w:p>
    <w:p w14:paraId="596D8063">
      <w:pPr>
        <w:pStyle w:val="36"/>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67C79402">
      <w:pPr>
        <w:pStyle w:val="5"/>
        <w:rPr>
          <w:rFonts w:hint="eastAsia" w:asciiTheme="majorEastAsia" w:hAnsiTheme="majorEastAsia" w:eastAsiaTheme="majorEastAsia"/>
          <w:sz w:val="30"/>
          <w:szCs w:val="30"/>
        </w:rPr>
      </w:pPr>
      <w:bookmarkStart w:id="23" w:name="_Toc11498"/>
      <w:r>
        <w:rPr>
          <w:rFonts w:hint="eastAsia" w:asciiTheme="majorEastAsia" w:hAnsiTheme="majorEastAsia" w:eastAsiaTheme="majorEastAsia"/>
          <w:sz w:val="30"/>
          <w:szCs w:val="30"/>
        </w:rPr>
        <w:t>供应商基本情况表</w:t>
      </w:r>
      <w:bookmarkEnd w:id="23"/>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73"/>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72"/>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72"/>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72"/>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72"/>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72"/>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72"/>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72"/>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72"/>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72"/>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72"/>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72"/>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72"/>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7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72"/>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72"/>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72"/>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72"/>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72"/>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72"/>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72"/>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72"/>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72"/>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72"/>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72"/>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72"/>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72"/>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72"/>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72"/>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72"/>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72"/>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72"/>
              <w:spacing w:before="27" w:line="24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72"/>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72"/>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72"/>
              <w:spacing w:before="43" w:line="24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72"/>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6D2ED769">
      <w:pPr>
        <w:spacing w:line="360" w:lineRule="auto"/>
        <w:rPr>
          <w:rFonts w:hint="eastAsia" w:ascii="宋体" w:hAnsi="宋体" w:eastAsia="宋体" w:cs="宋体"/>
          <w:b/>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3"/>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3"/>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3"/>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4"/>
        <w:rPr>
          <w:rFonts w:hint="eastAsia" w:ascii="宋体" w:hAnsi="宋体" w:eastAsia="宋体" w:cs="宋体"/>
          <w:sz w:val="21"/>
          <w:szCs w:val="21"/>
        </w:rPr>
      </w:pPr>
    </w:p>
    <w:p w14:paraId="70EB91C7"/>
    <w:p w14:paraId="1C5CF753">
      <w:pPr>
        <w:pStyle w:val="5"/>
        <w:jc w:val="center"/>
        <w:rPr>
          <w:rFonts w:hint="eastAsia" w:asciiTheme="majorEastAsia" w:hAnsiTheme="majorEastAsia" w:eastAsiaTheme="majorEastAsia"/>
          <w:sz w:val="30"/>
          <w:szCs w:val="30"/>
        </w:rPr>
      </w:pPr>
      <w:bookmarkStart w:id="24" w:name="_Toc21942"/>
      <w:r>
        <w:rPr>
          <w:rFonts w:hint="eastAsia" w:asciiTheme="majorEastAsia" w:hAnsiTheme="majorEastAsia" w:eastAsiaTheme="majorEastAsia"/>
          <w:sz w:val="30"/>
          <w:szCs w:val="30"/>
        </w:rPr>
        <w:t>《供应商基本情况表》附件</w:t>
      </w:r>
      <w:bookmarkEnd w:id="24"/>
    </w:p>
    <w:p w14:paraId="1E634412"/>
    <w:p w14:paraId="209A08FF">
      <w:pPr>
        <w:pStyle w:val="16"/>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6"/>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6"/>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2"/>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2"/>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2"/>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4"/>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2"/>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4"/>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2"/>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4"/>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5"/>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764CDB67">
      <w:pPr>
        <w:shd w:val="clear" w:color="auto" w:fill="FFFFFF"/>
        <w:tabs>
          <w:tab w:val="left" w:pos="426"/>
        </w:tabs>
        <w:adjustRightInd w:val="0"/>
        <w:snapToGrid w:val="0"/>
        <w:spacing w:line="460" w:lineRule="atLeast"/>
        <w:rPr>
          <w:rFonts w:hint="eastAsia" w:ascii="宋体" w:hAnsi="宋体" w:eastAsiaTheme="minorEastAsia"/>
          <w:bCs/>
          <w:szCs w:val="21"/>
          <w:lang w:val="en-US"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BA35584">
      <w:pPr>
        <w:widowControl w:val="0"/>
        <w:adjustRightInd w:val="0"/>
        <w:snapToGrid w:val="0"/>
        <w:spacing w:line="460" w:lineRule="atLeast"/>
        <w:jc w:val="both"/>
        <w:rPr>
          <w:rFonts w:hint="default" w:asciiTheme="minorEastAsia" w:hAnsiTheme="minorEastAsia" w:cstheme="minorEastAsia"/>
          <w:b/>
          <w:bCs w:val="0"/>
          <w:color w:val="FF0000"/>
          <w:lang w:val="en-US" w:eastAsia="zh-CN"/>
        </w:rPr>
      </w:pPr>
      <w:r>
        <w:rPr>
          <w:rFonts w:hint="eastAsia" w:asciiTheme="minorEastAsia" w:hAnsiTheme="minorEastAsia" w:cstheme="minorEastAsia"/>
          <w:b/>
          <w:bCs w:val="0"/>
          <w:color w:val="FF0000"/>
          <w:lang w:val="en-US" w:eastAsia="zh-CN"/>
        </w:rPr>
        <w:t>2.</w:t>
      </w:r>
      <w:r>
        <w:rPr>
          <w:rFonts w:hint="default" w:asciiTheme="minorEastAsia" w:hAnsiTheme="minorEastAsia" w:cstheme="minorEastAsia"/>
          <w:b/>
          <w:bCs w:val="0"/>
          <w:color w:val="FF0000"/>
          <w:lang w:val="en-US" w:eastAsia="zh-CN"/>
        </w:rPr>
        <w:t>社会采购代理机构已纳入深圳市社会采购代理机构从业名录（提供系统截图），符合《政府采购代理机构管理暂行办法》《深圳市政府采购代理机构监督管理实施办法》要求。</w:t>
      </w:r>
    </w:p>
    <w:p w14:paraId="5C26960B">
      <w:pPr>
        <w:widowControl w:val="0"/>
        <w:adjustRightInd w:val="0"/>
        <w:snapToGrid w:val="0"/>
        <w:spacing w:line="460" w:lineRule="atLeast"/>
        <w:jc w:val="both"/>
        <w:rPr>
          <w:rFonts w:hint="eastAsia" w:ascii="宋体" w:hAnsi="宋体" w:cs="宋体"/>
        </w:rPr>
      </w:pPr>
      <w:r>
        <w:rPr>
          <w:rFonts w:hint="eastAsia" w:asciiTheme="minorEastAsia" w:hAnsiTheme="minorEastAsia" w:cstheme="minorEastAsia"/>
          <w:b/>
          <w:bCs w:val="0"/>
          <w:color w:val="FF0000"/>
          <w:lang w:val="en-US" w:eastAsia="zh-CN"/>
        </w:rPr>
        <w:t>3.</w:t>
      </w:r>
      <w:r>
        <w:rPr>
          <w:rFonts w:hint="default" w:asciiTheme="minorEastAsia" w:hAnsiTheme="minorEastAsia" w:cstheme="minorEastAsia"/>
          <w:b/>
          <w:bCs w:val="0"/>
          <w:color w:val="FF0000"/>
          <w:lang w:val="en-US" w:eastAsia="zh-CN"/>
        </w:rPr>
        <w:t>社会采购代理机构在中国国际招标网登记备案（提供截图），具备国际招标代理能力。</w:t>
      </w: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6"/>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42BA2191">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p w14:paraId="086388A9">
      <w:pPr>
        <w:spacing w:line="360" w:lineRule="auto"/>
        <w:ind w:firstLine="482" w:firstLineChars="200"/>
        <w:jc w:val="left"/>
        <w:rPr>
          <w:rFonts w:hint="eastAsia" w:ascii="宋体" w:hAnsi="宋体" w:eastAsia="宋体" w:cs="宋体"/>
          <w:b/>
          <w:bCs/>
          <w:sz w:val="24"/>
          <w:szCs w:val="24"/>
          <w:highlight w:val="none"/>
          <w:lang w:val="en-US" w:eastAsia="zh-CN"/>
        </w:rPr>
      </w:pPr>
    </w:p>
    <w:tbl>
      <w:tblPr>
        <w:tblStyle w:val="27"/>
        <w:tblW w:w="9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257"/>
        <w:gridCol w:w="2111"/>
        <w:gridCol w:w="1804"/>
      </w:tblGrid>
      <w:tr w14:paraId="6BDBA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847" w:type="dxa"/>
            <w:tcBorders>
              <w:top w:val="single" w:color="auto" w:sz="4" w:space="0"/>
              <w:left w:val="single" w:color="auto" w:sz="4" w:space="0"/>
              <w:bottom w:val="single" w:color="auto" w:sz="4" w:space="0"/>
            </w:tcBorders>
            <w:shd w:val="clear" w:color="auto" w:fill="EEECE1"/>
            <w:vAlign w:val="center"/>
          </w:tcPr>
          <w:p w14:paraId="61D22387">
            <w:pPr>
              <w:adjustRightInd w:val="0"/>
              <w:snapToGrid w:val="0"/>
              <w:jc w:val="center"/>
              <w:rPr>
                <w:rFonts w:ascii="宋体" w:hAnsi="Times New Roman" w:eastAsia="宋体" w:cs="Times New Roman"/>
                <w:b/>
                <w:color w:val="auto"/>
                <w:szCs w:val="21"/>
                <w:highlight w:val="none"/>
              </w:rPr>
            </w:pPr>
            <w:r>
              <w:rPr>
                <w:rFonts w:hint="eastAsia" w:ascii="宋体"/>
                <w:b/>
                <w:color w:val="auto"/>
                <w:szCs w:val="21"/>
                <w:highlight w:val="none"/>
                <w:lang w:eastAsia="zh-CN"/>
              </w:rPr>
              <w:t>项目名称</w:t>
            </w:r>
          </w:p>
        </w:tc>
        <w:tc>
          <w:tcPr>
            <w:tcW w:w="2257" w:type="dxa"/>
            <w:tcBorders>
              <w:top w:val="single" w:color="auto" w:sz="4" w:space="0"/>
              <w:left w:val="single" w:color="auto" w:sz="4" w:space="0"/>
              <w:bottom w:val="single" w:color="auto" w:sz="4" w:space="0"/>
            </w:tcBorders>
            <w:shd w:val="clear" w:color="auto" w:fill="EEECE1"/>
            <w:vAlign w:val="center"/>
          </w:tcPr>
          <w:p w14:paraId="105F8745">
            <w:pPr>
              <w:adjustRightInd w:val="0"/>
              <w:snapToGrid w:val="0"/>
              <w:jc w:val="center"/>
              <w:rPr>
                <w:rFonts w:hint="eastAsia" w:ascii="宋体"/>
                <w:b/>
                <w:color w:val="auto"/>
                <w:szCs w:val="21"/>
                <w:highlight w:val="none"/>
                <w:lang w:eastAsia="zh-CN"/>
              </w:rPr>
            </w:pPr>
            <w:r>
              <w:rPr>
                <w:rFonts w:hint="eastAsia" w:ascii="仿宋" w:hAnsi="仿宋" w:eastAsia="仿宋" w:cs="仿宋"/>
                <w:b/>
                <w:bCs/>
                <w:color w:val="auto"/>
                <w:sz w:val="24"/>
                <w:szCs w:val="24"/>
                <w:highlight w:val="none"/>
              </w:rPr>
              <w:t>招标代理服务收费</w:t>
            </w:r>
            <w:r>
              <w:rPr>
                <w:rFonts w:hint="eastAsia" w:ascii="仿宋" w:hAnsi="仿宋" w:eastAsia="仿宋" w:cs="仿宋"/>
                <w:b/>
                <w:bCs/>
                <w:color w:val="auto"/>
                <w:sz w:val="24"/>
                <w:szCs w:val="24"/>
                <w:highlight w:val="none"/>
                <w:lang w:eastAsia="zh-CN"/>
              </w:rPr>
              <w:t>折扣率上限</w:t>
            </w:r>
          </w:p>
        </w:tc>
        <w:tc>
          <w:tcPr>
            <w:tcW w:w="2111" w:type="dxa"/>
            <w:tcBorders>
              <w:top w:val="single" w:color="auto" w:sz="4" w:space="0"/>
              <w:bottom w:val="single" w:color="auto" w:sz="4" w:space="0"/>
              <w:right w:val="single" w:color="auto" w:sz="4" w:space="0"/>
            </w:tcBorders>
            <w:shd w:val="clear" w:color="auto" w:fill="EEECE1"/>
            <w:vAlign w:val="center"/>
          </w:tcPr>
          <w:p w14:paraId="72B4AB10">
            <w:pPr>
              <w:adjustRightInd w:val="0"/>
              <w:snapToGrid w:val="0"/>
              <w:jc w:val="center"/>
              <w:rPr>
                <w:rFonts w:hint="eastAsia" w:ascii="宋体" w:hAnsi="Times New Roman" w:eastAsia="宋体" w:cs="Times New Roman"/>
                <w:b/>
                <w:color w:val="auto"/>
                <w:kern w:val="2"/>
                <w:sz w:val="21"/>
                <w:szCs w:val="21"/>
                <w:highlight w:val="none"/>
                <w:lang w:val="en-US" w:eastAsia="zh-CN" w:bidi="ar-SA"/>
              </w:rPr>
            </w:pPr>
            <w:r>
              <w:rPr>
                <w:rFonts w:hint="eastAsia" w:ascii="仿宋" w:hAnsi="仿宋" w:eastAsia="仿宋" w:cs="仿宋"/>
                <w:b/>
                <w:bCs/>
                <w:color w:val="auto"/>
                <w:sz w:val="24"/>
                <w:szCs w:val="24"/>
                <w:highlight w:val="none"/>
              </w:rPr>
              <w:t>招标代理服务收费</w:t>
            </w:r>
            <w:r>
              <w:rPr>
                <w:rFonts w:hint="eastAsia" w:ascii="仿宋" w:hAnsi="仿宋" w:eastAsia="仿宋" w:cs="仿宋"/>
                <w:b/>
                <w:bCs/>
                <w:color w:val="auto"/>
                <w:sz w:val="24"/>
                <w:szCs w:val="24"/>
                <w:highlight w:val="none"/>
                <w:lang w:eastAsia="zh-CN"/>
              </w:rPr>
              <w:t>折扣率报价</w:t>
            </w:r>
          </w:p>
        </w:tc>
        <w:tc>
          <w:tcPr>
            <w:tcW w:w="1804" w:type="dxa"/>
            <w:tcBorders>
              <w:top w:val="single" w:color="auto" w:sz="4" w:space="0"/>
              <w:bottom w:val="single" w:color="auto" w:sz="4" w:space="0"/>
              <w:right w:val="single" w:color="auto" w:sz="4" w:space="0"/>
            </w:tcBorders>
            <w:shd w:val="clear" w:color="auto" w:fill="EEECE1"/>
            <w:vAlign w:val="center"/>
          </w:tcPr>
          <w:p w14:paraId="7FF132C8">
            <w:pPr>
              <w:adjustRightInd w:val="0"/>
              <w:snapToGrid w:val="0"/>
              <w:jc w:val="center"/>
              <w:rPr>
                <w:rFonts w:hint="eastAsia" w:ascii="宋体" w:cs="Times New Roman"/>
                <w:b/>
                <w:color w:val="auto"/>
                <w:szCs w:val="21"/>
                <w:highlight w:val="none"/>
                <w:lang w:eastAsia="zh-CN"/>
              </w:rPr>
            </w:pPr>
            <w:r>
              <w:rPr>
                <w:rFonts w:hint="eastAsia" w:ascii="宋体" w:cs="Times New Roman"/>
                <w:b/>
                <w:color w:val="auto"/>
                <w:szCs w:val="21"/>
                <w:highlight w:val="none"/>
                <w:lang w:eastAsia="zh-CN"/>
              </w:rPr>
              <w:t>备注</w:t>
            </w:r>
          </w:p>
        </w:tc>
      </w:tr>
      <w:tr w14:paraId="79B9B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2847" w:type="dxa"/>
            <w:tcBorders>
              <w:top w:val="single" w:color="auto" w:sz="4" w:space="0"/>
              <w:left w:val="single" w:color="auto" w:sz="4" w:space="0"/>
              <w:bottom w:val="single" w:color="auto" w:sz="4" w:space="0"/>
            </w:tcBorders>
            <w:vAlign w:val="center"/>
          </w:tcPr>
          <w:p w14:paraId="54BD1358">
            <w:pPr>
              <w:jc w:val="center"/>
              <w:rPr>
                <w:rFonts w:hint="eastAsia" w:ascii="宋体" w:hAnsi="宋体" w:eastAsia="宋体" w:cs="宋体"/>
                <w:bCs/>
                <w:color w:val="auto"/>
                <w:szCs w:val="21"/>
                <w:highlight w:val="none"/>
                <w:lang w:val="en-US" w:eastAsia="zh-CN"/>
              </w:rPr>
            </w:pPr>
            <w:r>
              <w:rPr>
                <w:rFonts w:hint="eastAsia" w:ascii="宋体" w:hAnsi="宋体" w:cs="宋体"/>
                <w:b w:val="0"/>
                <w:bCs w:val="0"/>
                <w:color w:val="auto"/>
                <w:sz w:val="24"/>
                <w:szCs w:val="24"/>
                <w:highlight w:val="none"/>
                <w:lang w:val="zh-CN"/>
              </w:rPr>
              <w:t>社会采购代理机构遴选</w:t>
            </w:r>
          </w:p>
        </w:tc>
        <w:tc>
          <w:tcPr>
            <w:tcW w:w="2257" w:type="dxa"/>
            <w:tcBorders>
              <w:top w:val="single" w:color="auto" w:sz="4" w:space="0"/>
              <w:left w:val="single" w:color="auto" w:sz="4" w:space="0"/>
              <w:bottom w:val="single" w:color="auto" w:sz="4" w:space="0"/>
            </w:tcBorders>
            <w:vAlign w:val="center"/>
          </w:tcPr>
          <w:p w14:paraId="2900D95B">
            <w:pPr>
              <w:jc w:val="center"/>
              <w:rPr>
                <w:rFonts w:hint="default" w:ascii="宋体" w:hAnsi="宋体" w:cs="宋体"/>
                <w:color w:val="auto"/>
                <w:highlight w:val="none"/>
                <w:lang w:val="en-US" w:eastAsia="zh-CN"/>
              </w:rPr>
            </w:pPr>
            <w:r>
              <w:rPr>
                <w:rFonts w:hint="eastAsia" w:ascii="宋体" w:hAnsi="宋体" w:cs="宋体"/>
                <w:kern w:val="0"/>
                <w:sz w:val="21"/>
                <w:szCs w:val="21"/>
                <w:highlight w:val="none"/>
                <w:lang w:val="en-US" w:eastAsia="zh-CN" w:bidi="ar-SA"/>
              </w:rPr>
              <w:t>0.8</w:t>
            </w:r>
          </w:p>
        </w:tc>
        <w:tc>
          <w:tcPr>
            <w:tcW w:w="2111" w:type="dxa"/>
            <w:tcBorders>
              <w:top w:val="single" w:color="auto" w:sz="4" w:space="0"/>
              <w:bottom w:val="single" w:color="auto" w:sz="4" w:space="0"/>
              <w:right w:val="single" w:color="auto" w:sz="4" w:space="0"/>
            </w:tcBorders>
            <w:vAlign w:val="center"/>
          </w:tcPr>
          <w:p w14:paraId="2C4B4758">
            <w:pPr>
              <w:adjustRightInd w:val="0"/>
              <w:snapToGrid w:val="0"/>
              <w:jc w:val="center"/>
              <w:rPr>
                <w:rFonts w:hint="default" w:ascii="宋体" w:hAnsi="Times New Roman" w:eastAsia="宋体" w:cs="Times New Roman"/>
                <w:bCs/>
                <w:color w:val="auto"/>
                <w:kern w:val="2"/>
                <w:sz w:val="21"/>
                <w:szCs w:val="21"/>
                <w:highlight w:val="none"/>
                <w:u w:val="single"/>
                <w:lang w:val="en-US" w:eastAsia="zh-CN" w:bidi="ar-SA"/>
              </w:rPr>
            </w:pPr>
          </w:p>
        </w:tc>
        <w:tc>
          <w:tcPr>
            <w:tcW w:w="1804" w:type="dxa"/>
            <w:tcBorders>
              <w:top w:val="single" w:color="auto" w:sz="4" w:space="0"/>
              <w:bottom w:val="single" w:color="auto" w:sz="4" w:space="0"/>
              <w:right w:val="single" w:color="auto" w:sz="4" w:space="0"/>
            </w:tcBorders>
            <w:vAlign w:val="center"/>
          </w:tcPr>
          <w:p w14:paraId="0C0964C5">
            <w:pPr>
              <w:adjustRightInd w:val="0"/>
              <w:snapToGrid w:val="0"/>
              <w:rPr>
                <w:rFonts w:hint="eastAsia"/>
                <w:highlight w:val="none"/>
                <w:u w:val="none"/>
                <w:lang w:val="en-US" w:eastAsia="zh-CN"/>
              </w:rPr>
            </w:pPr>
          </w:p>
        </w:tc>
      </w:tr>
    </w:tbl>
    <w:p w14:paraId="11967DAF">
      <w:pPr>
        <w:spacing w:line="360" w:lineRule="auto"/>
        <w:rPr>
          <w:rFonts w:hint="eastAsia"/>
          <w:b/>
          <w:bCs/>
          <w:sz w:val="24"/>
        </w:rPr>
      </w:pPr>
    </w:p>
    <w:p w14:paraId="6FF2EA27">
      <w:pPr>
        <w:spacing w:line="360" w:lineRule="auto"/>
        <w:rPr>
          <w:rFonts w:hint="eastAsia"/>
          <w:sz w:val="24"/>
        </w:rPr>
      </w:pPr>
      <w:r>
        <w:rPr>
          <w:rFonts w:hint="eastAsia"/>
          <w:b/>
          <w:bCs/>
          <w:sz w:val="24"/>
        </w:rPr>
        <w:t>投标人单位名称：</w:t>
      </w:r>
      <w:r>
        <w:rPr>
          <w:rFonts w:hint="eastAsia"/>
          <w:sz w:val="24"/>
          <w:u w:val="single"/>
        </w:rPr>
        <w:t xml:space="preserve">                            </w:t>
      </w:r>
      <w:r>
        <w:rPr>
          <w:rFonts w:hint="eastAsia"/>
          <w:sz w:val="24"/>
        </w:rPr>
        <w:t xml:space="preserve"> </w:t>
      </w:r>
    </w:p>
    <w:p w14:paraId="3153B51F">
      <w:pPr>
        <w:spacing w:line="360" w:lineRule="auto"/>
        <w:rPr>
          <w:rFonts w:hint="eastAsia"/>
          <w:b/>
          <w:bCs/>
          <w:sz w:val="24"/>
        </w:rPr>
      </w:pPr>
      <w:r>
        <w:rPr>
          <w:rFonts w:hint="eastAsia"/>
          <w:b/>
          <w:bCs/>
          <w:sz w:val="24"/>
        </w:rPr>
        <w:t xml:space="preserve">法定代表人或投标人授权代表（签名或盖章）：                </w:t>
      </w:r>
    </w:p>
    <w:p w14:paraId="24D7A0FA">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4ACA2AD">
      <w:pPr>
        <w:spacing w:line="360" w:lineRule="auto"/>
        <w:rPr>
          <w:sz w:val="24"/>
        </w:rPr>
      </w:pPr>
      <w:r>
        <w:rPr>
          <w:rFonts w:hint="eastAsia"/>
          <w:b/>
          <w:sz w:val="24"/>
        </w:rPr>
        <w:t>（此处加盖投标人单位公章）</w:t>
      </w:r>
    </w:p>
    <w:p w14:paraId="6BAE6358">
      <w:pPr>
        <w:spacing w:line="400" w:lineRule="exact"/>
        <w:rPr>
          <w:rFonts w:ascii="宋体" w:hAnsi="宋体"/>
          <w:szCs w:val="21"/>
        </w:rPr>
      </w:pPr>
      <w:r>
        <w:rPr>
          <w:rFonts w:hint="eastAsia" w:ascii="宋体" w:hAnsi="宋体"/>
          <w:szCs w:val="21"/>
        </w:rPr>
        <w:t>备注：</w:t>
      </w:r>
    </w:p>
    <w:p w14:paraId="4648FF1F">
      <w:pPr>
        <w:numPr>
          <w:ilvl w:val="0"/>
          <w:numId w:val="0"/>
        </w:numPr>
        <w:tabs>
          <w:tab w:val="left" w:pos="360"/>
        </w:tabs>
        <w:snapToGrid w:val="0"/>
        <w:spacing w:line="360" w:lineRule="auto"/>
        <w:ind w:leftChars="0"/>
        <w:rPr>
          <w:rFonts w:ascii="宋体" w:hAnsi="宋体"/>
          <w:szCs w:val="21"/>
        </w:rPr>
      </w:pPr>
      <w:r>
        <w:rPr>
          <w:rFonts w:hint="eastAsia" w:ascii="宋体" w:hAnsi="宋体"/>
          <w:lang w:val="en-US" w:eastAsia="zh-CN"/>
        </w:rPr>
        <w:t>1、</w:t>
      </w:r>
      <w:r>
        <w:rPr>
          <w:rFonts w:hint="eastAsia" w:ascii="宋体" w:hAnsi="宋体"/>
        </w:rPr>
        <w:t>投标报价的小数点后保留两位有效数</w:t>
      </w:r>
      <w:r>
        <w:rPr>
          <w:rFonts w:hint="eastAsia" w:ascii="宋体" w:hAnsi="宋体"/>
          <w:szCs w:val="21"/>
        </w:rPr>
        <w:t>。</w:t>
      </w:r>
    </w:p>
    <w:p w14:paraId="55F63757">
      <w:pPr>
        <w:numPr>
          <w:ilvl w:val="0"/>
          <w:numId w:val="0"/>
        </w:numPr>
        <w:tabs>
          <w:tab w:val="left" w:pos="360"/>
          <w:tab w:val="left" w:pos="840"/>
        </w:tabs>
        <w:snapToGrid w:val="0"/>
        <w:spacing w:line="360" w:lineRule="auto"/>
        <w:ind w:leftChars="0"/>
        <w:rPr>
          <w:rFonts w:hint="eastAsia"/>
        </w:rPr>
      </w:pPr>
      <w:r>
        <w:rPr>
          <w:rFonts w:hint="eastAsia"/>
          <w:lang w:val="en-US" w:eastAsia="zh-CN"/>
        </w:rPr>
        <w:t>2、</w:t>
      </w:r>
      <w:r>
        <w:rPr>
          <w:rFonts w:hint="eastAsia"/>
        </w:rPr>
        <w:t>除</w:t>
      </w:r>
      <w:r>
        <w:rPr>
          <w:rFonts w:hint="eastAsia"/>
          <w:lang w:eastAsia="zh-CN"/>
        </w:rPr>
        <w:t>采购</w:t>
      </w:r>
      <w:r>
        <w:rPr>
          <w:rFonts w:hint="eastAsia"/>
        </w:rPr>
        <w:t>文件另有规定外，投标文件内不得含有任何对本报价进行价格折扣的说明或资料，否则为无效投标。</w:t>
      </w:r>
    </w:p>
    <w:p w14:paraId="7FA1653A">
      <w:pPr>
        <w:spacing w:line="360" w:lineRule="auto"/>
        <w:ind w:firstLine="482" w:firstLineChars="200"/>
        <w:jc w:val="left"/>
        <w:rPr>
          <w:rFonts w:hint="eastAsia" w:ascii="仿宋" w:hAnsi="仿宋" w:eastAsia="仿宋" w:cs="仿宋"/>
          <w:b/>
          <w:bCs/>
          <w:sz w:val="28"/>
          <w:szCs w:val="28"/>
          <w:highlight w:val="none"/>
          <w:lang w:val="en-US" w:eastAsia="zh-CN"/>
        </w:rPr>
      </w:pPr>
      <w:r>
        <w:rPr>
          <w:rFonts w:hint="eastAsia" w:ascii="宋体" w:hAnsi="宋体" w:eastAsia="宋体" w:cs="宋体"/>
          <w:b/>
          <w:bCs/>
          <w:sz w:val="24"/>
          <w:szCs w:val="24"/>
          <w:highlight w:val="none"/>
          <w:lang w:val="en-US" w:eastAsia="zh-CN"/>
        </w:rPr>
        <w:t xml:space="preserve">        </w:t>
      </w:r>
      <w:r>
        <w:rPr>
          <w:rFonts w:hint="eastAsia" w:ascii="仿宋" w:hAnsi="仿宋" w:eastAsia="仿宋" w:cs="仿宋"/>
          <w:b/>
          <w:bCs/>
          <w:sz w:val="28"/>
          <w:szCs w:val="28"/>
          <w:highlight w:val="none"/>
          <w:lang w:val="en-US" w:eastAsia="zh-CN"/>
        </w:rPr>
        <w:br w:type="page"/>
      </w:r>
    </w:p>
    <w:p w14:paraId="509422FC">
      <w:pPr>
        <w:pStyle w:val="3"/>
        <w:rPr>
          <w:rFonts w:hint="eastAsia"/>
        </w:rPr>
      </w:pPr>
    </w:p>
    <w:p w14:paraId="4582CB85">
      <w:pPr>
        <w:rPr>
          <w:rFonts w:hint="eastAsia" w:asciiTheme="minorEastAsia" w:hAnsiTheme="minorEastAsia" w:cstheme="minorEastAsia"/>
          <w:b/>
          <w:bCs/>
          <w:lang w:val="en-US" w:eastAsia="zh-CN"/>
        </w:rPr>
      </w:pPr>
      <w:r>
        <w:rPr>
          <w:rFonts w:hint="eastAsia" w:asciiTheme="minorEastAsia" w:hAnsiTheme="minorEastAsia" w:cstheme="minorEastAsia"/>
          <w:b/>
          <w:bCs/>
        </w:rPr>
        <w:t>八、实质性条款</w:t>
      </w:r>
      <w:r>
        <w:rPr>
          <w:rFonts w:hint="eastAsia" w:asciiTheme="minorEastAsia" w:hAnsiTheme="minorEastAsia" w:cstheme="minorEastAsia"/>
          <w:b/>
          <w:bCs/>
          <w:lang w:val="en-US" w:eastAsia="zh-CN"/>
        </w:rPr>
        <w:t>响应</w:t>
      </w:r>
    </w:p>
    <w:p w14:paraId="2DDEB5E5">
      <w:pPr>
        <w:spacing w:line="400" w:lineRule="exact"/>
        <w:rPr>
          <w:rFonts w:hint="eastAsia" w:ascii="宋体" w:hAnsi="宋体" w:eastAsia="宋体" w:cs="Times New Roman"/>
          <w:b/>
          <w:bCs/>
          <w:color w:val="FF0000"/>
          <w:lang w:val="en-US" w:eastAsia="zh-CN"/>
        </w:rPr>
      </w:pPr>
      <w:r>
        <w:rPr>
          <w:rFonts w:hint="eastAsia" w:ascii="宋体" w:hAnsi="宋体"/>
          <w:b/>
          <w:bCs/>
          <w:color w:val="FF0000"/>
        </w:rPr>
        <w:t>说明：投标人必须对应采购文件第三章</w:t>
      </w:r>
      <w:r>
        <w:rPr>
          <w:rFonts w:hint="eastAsia" w:ascii="宋体" w:hAnsi="宋体"/>
          <w:b/>
          <w:bCs/>
          <w:color w:val="FF0000"/>
          <w:lang w:eastAsia="zh-CN"/>
        </w:rPr>
        <w:t>“</w:t>
      </w:r>
      <w:r>
        <w:rPr>
          <w:rFonts w:hint="eastAsia" w:ascii="宋体" w:hAnsi="宋体"/>
          <w:b/>
          <w:bCs/>
          <w:color w:val="FF0000"/>
        </w:rPr>
        <w:t>项目需求</w:t>
      </w:r>
      <w:r>
        <w:rPr>
          <w:rFonts w:hint="eastAsia" w:ascii="宋体" w:hAnsi="宋体"/>
          <w:b/>
          <w:bCs/>
          <w:color w:val="FF0000"/>
          <w:lang w:eastAsia="zh-CN"/>
        </w:rPr>
        <w:t>”中</w:t>
      </w:r>
      <w:r>
        <w:rPr>
          <w:rFonts w:hint="eastAsia" w:ascii="宋体" w:hAnsi="宋体"/>
          <w:b/>
          <w:bCs/>
          <w:color w:val="FF0000"/>
          <w:highlight w:val="yellow"/>
        </w:rPr>
        <w:t>所有</w:t>
      </w:r>
      <w:r>
        <w:rPr>
          <w:rFonts w:hint="eastAsia" w:ascii="宋体" w:hAnsi="宋体"/>
          <w:b/>
          <w:bCs/>
          <w:color w:val="FF0000"/>
        </w:rPr>
        <w:t>带“★”的实质性条款逐条应答并按要求填写下表</w:t>
      </w:r>
      <w:r>
        <w:rPr>
          <w:rFonts w:hint="eastAsia" w:ascii="宋体" w:hAnsi="宋体"/>
          <w:b/>
          <w:bCs/>
          <w:color w:val="FF0000"/>
          <w:lang w:eastAsia="zh-CN"/>
        </w:rPr>
        <w:t>，如有缺漏则为实质性条款未响应，视为无效投标</w:t>
      </w:r>
      <w:r>
        <w:rPr>
          <w:rFonts w:hint="eastAsia" w:ascii="宋体" w:hAnsi="宋体"/>
          <w:b/>
          <w:bCs/>
          <w:color w:val="FF0000"/>
        </w:rPr>
        <w:t>。</w:t>
      </w:r>
    </w:p>
    <w:tbl>
      <w:tblPr>
        <w:tblStyle w:val="2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4070C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3CD234B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148F463">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lang w:eastAsia="zh-CN"/>
              </w:rPr>
              <w:t>采购</w:t>
            </w:r>
            <w:r>
              <w:rPr>
                <w:rFonts w:hint="eastAsia" w:ascii="宋体" w:hAnsi="宋体"/>
                <w:color w:val="auto"/>
                <w:highlight w:val="none"/>
              </w:rPr>
              <w:t>文件条款描述</w:t>
            </w:r>
          </w:p>
        </w:tc>
        <w:tc>
          <w:tcPr>
            <w:tcW w:w="2341" w:type="dxa"/>
            <w:shd w:val="clear" w:color="auto" w:fill="EAF1DD" w:themeFill="accent3" w:themeFillTint="33"/>
            <w:vAlign w:val="center"/>
          </w:tcPr>
          <w:p w14:paraId="6DE1EE5A">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rPr>
              <w:t>投标人响应描述</w:t>
            </w:r>
          </w:p>
        </w:tc>
        <w:tc>
          <w:tcPr>
            <w:tcW w:w="1750" w:type="dxa"/>
            <w:shd w:val="clear" w:color="auto" w:fill="EAF1DD" w:themeFill="accent3" w:themeFillTint="33"/>
            <w:vAlign w:val="center"/>
          </w:tcPr>
          <w:p w14:paraId="15F7C46A">
            <w:pPr>
              <w:adjustRightInd w:val="0"/>
              <w:snapToGrid w:val="0"/>
              <w:ind w:left="-82" w:leftChars="-34" w:right="-84" w:rightChars="-35"/>
              <w:jc w:val="center"/>
              <w:rPr>
                <w:rFonts w:ascii="宋体" w:hAnsi="宋体"/>
                <w:color w:val="auto"/>
                <w:highlight w:val="none"/>
              </w:rPr>
            </w:pPr>
            <w:r>
              <w:rPr>
                <w:rFonts w:hint="eastAsia" w:ascii="宋体" w:hAnsi="宋体"/>
                <w:color w:val="auto"/>
                <w:highlight w:val="none"/>
              </w:rPr>
              <w:t>偏离情况说明</w:t>
            </w:r>
          </w:p>
          <w:p w14:paraId="613CC8C4">
            <w:pPr>
              <w:jc w:val="center"/>
              <w:rPr>
                <w:rFonts w:asciiTheme="minorEastAsia" w:hAnsiTheme="minorEastAsia" w:eastAsiaTheme="minorEastAsia"/>
                <w:color w:val="auto"/>
                <w:szCs w:val="21"/>
              </w:rPr>
            </w:pPr>
            <w:r>
              <w:rPr>
                <w:rFonts w:hint="eastAsia" w:ascii="宋体" w:hAnsi="宋体"/>
                <w:b/>
                <w:color w:val="auto"/>
                <w:highlight w:val="none"/>
              </w:rPr>
              <w:t>（</w:t>
            </w:r>
            <w:r>
              <w:rPr>
                <w:rFonts w:hint="eastAsia"/>
                <w:b/>
                <w:color w:val="auto"/>
                <w:highlight w:val="none"/>
              </w:rPr>
              <w:t>正偏离/</w:t>
            </w:r>
            <w:r>
              <w:rPr>
                <w:rFonts w:hint="eastAsia"/>
                <w:b/>
                <w:color w:val="auto"/>
                <w:highlight w:val="none"/>
                <w:lang w:eastAsia="zh-CN"/>
              </w:rPr>
              <w:t>无偏离</w:t>
            </w:r>
            <w:r>
              <w:rPr>
                <w:rFonts w:hint="eastAsia"/>
                <w:b/>
                <w:color w:val="auto"/>
                <w:highlight w:val="none"/>
              </w:rPr>
              <w:t>/负偏离</w:t>
            </w:r>
            <w:r>
              <w:rPr>
                <w:rFonts w:hint="eastAsia" w:ascii="宋体" w:hAnsi="宋体"/>
                <w:b/>
                <w:color w:val="auto"/>
                <w:highlight w:val="none"/>
              </w:rPr>
              <w:t>）</w:t>
            </w:r>
          </w:p>
        </w:tc>
        <w:tc>
          <w:tcPr>
            <w:tcW w:w="1623" w:type="dxa"/>
            <w:shd w:val="clear" w:color="auto" w:fill="EAF1DD" w:themeFill="accent3" w:themeFillTint="33"/>
            <w:vAlign w:val="center"/>
          </w:tcPr>
          <w:p w14:paraId="545107E3">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说明</w:t>
            </w:r>
            <w:r>
              <w:rPr>
                <w:rFonts w:hint="eastAsia" w:asciiTheme="minorEastAsia" w:hAnsiTheme="minorEastAsia" w:eastAsiaTheme="minorEastAsia"/>
                <w:color w:val="auto"/>
                <w:szCs w:val="21"/>
                <w:highlight w:val="yellow"/>
                <w:lang w:eastAsia="zh-CN"/>
              </w:rPr>
              <w:t>（有佐证资料的请附上页码）</w:t>
            </w:r>
          </w:p>
        </w:tc>
      </w:tr>
      <w:tr w14:paraId="2247F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7D06A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515" w:type="dxa"/>
            <w:vAlign w:val="center"/>
          </w:tcPr>
          <w:p w14:paraId="42FAEDED">
            <w:pPr>
              <w:rPr>
                <w:rFonts w:asciiTheme="minorEastAsia" w:hAnsiTheme="minorEastAsia" w:eastAsiaTheme="minorEastAsia"/>
                <w:color w:val="auto"/>
                <w:szCs w:val="21"/>
              </w:rPr>
            </w:pPr>
          </w:p>
        </w:tc>
        <w:tc>
          <w:tcPr>
            <w:tcW w:w="2341" w:type="dxa"/>
            <w:vAlign w:val="center"/>
          </w:tcPr>
          <w:p w14:paraId="1FB51687">
            <w:pPr>
              <w:rPr>
                <w:rFonts w:asciiTheme="minorEastAsia" w:hAnsiTheme="minorEastAsia" w:eastAsiaTheme="minorEastAsia"/>
                <w:color w:val="auto"/>
                <w:szCs w:val="21"/>
              </w:rPr>
            </w:pPr>
          </w:p>
        </w:tc>
        <w:tc>
          <w:tcPr>
            <w:tcW w:w="1750" w:type="dxa"/>
            <w:vAlign w:val="center"/>
          </w:tcPr>
          <w:p w14:paraId="37D71FE0">
            <w:pPr>
              <w:rPr>
                <w:rFonts w:asciiTheme="minorEastAsia" w:hAnsiTheme="minorEastAsia" w:eastAsiaTheme="minorEastAsia"/>
                <w:color w:val="auto"/>
                <w:szCs w:val="21"/>
              </w:rPr>
            </w:pPr>
          </w:p>
        </w:tc>
        <w:tc>
          <w:tcPr>
            <w:tcW w:w="1623" w:type="dxa"/>
            <w:vAlign w:val="center"/>
          </w:tcPr>
          <w:p w14:paraId="57AE8E60">
            <w:pPr>
              <w:rPr>
                <w:rFonts w:asciiTheme="minorEastAsia" w:hAnsiTheme="minorEastAsia" w:eastAsiaTheme="minorEastAsia"/>
                <w:color w:val="auto"/>
                <w:szCs w:val="21"/>
              </w:rPr>
            </w:pPr>
          </w:p>
        </w:tc>
      </w:tr>
      <w:tr w14:paraId="6A25C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2B0C762">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515" w:type="dxa"/>
            <w:vAlign w:val="center"/>
          </w:tcPr>
          <w:p w14:paraId="073EBC2F">
            <w:pPr>
              <w:rPr>
                <w:rFonts w:asciiTheme="minorEastAsia" w:hAnsiTheme="minorEastAsia" w:eastAsiaTheme="minorEastAsia"/>
                <w:color w:val="auto"/>
                <w:szCs w:val="21"/>
              </w:rPr>
            </w:pPr>
          </w:p>
        </w:tc>
        <w:tc>
          <w:tcPr>
            <w:tcW w:w="2341" w:type="dxa"/>
            <w:vAlign w:val="center"/>
          </w:tcPr>
          <w:p w14:paraId="0A6AFD68">
            <w:pPr>
              <w:rPr>
                <w:rFonts w:asciiTheme="minorEastAsia" w:hAnsiTheme="minorEastAsia" w:eastAsiaTheme="minorEastAsia"/>
                <w:color w:val="auto"/>
                <w:szCs w:val="21"/>
              </w:rPr>
            </w:pPr>
          </w:p>
        </w:tc>
        <w:tc>
          <w:tcPr>
            <w:tcW w:w="1750" w:type="dxa"/>
            <w:vAlign w:val="center"/>
          </w:tcPr>
          <w:p w14:paraId="56652D59">
            <w:pPr>
              <w:rPr>
                <w:rFonts w:asciiTheme="minorEastAsia" w:hAnsiTheme="minorEastAsia" w:eastAsiaTheme="minorEastAsia"/>
                <w:color w:val="auto"/>
                <w:szCs w:val="21"/>
              </w:rPr>
            </w:pPr>
          </w:p>
        </w:tc>
        <w:tc>
          <w:tcPr>
            <w:tcW w:w="1623" w:type="dxa"/>
            <w:vAlign w:val="center"/>
          </w:tcPr>
          <w:p w14:paraId="6EAC1173">
            <w:pPr>
              <w:rPr>
                <w:rFonts w:asciiTheme="minorEastAsia" w:hAnsiTheme="minorEastAsia" w:eastAsiaTheme="minorEastAsia"/>
                <w:color w:val="auto"/>
                <w:szCs w:val="21"/>
              </w:rPr>
            </w:pPr>
          </w:p>
        </w:tc>
      </w:tr>
      <w:tr w14:paraId="7BF99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A20BACB">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2515" w:type="dxa"/>
            <w:vAlign w:val="center"/>
          </w:tcPr>
          <w:p w14:paraId="3E28F22F">
            <w:pPr>
              <w:rPr>
                <w:rFonts w:asciiTheme="minorEastAsia" w:hAnsiTheme="minorEastAsia" w:eastAsiaTheme="minorEastAsia"/>
                <w:color w:val="auto"/>
                <w:szCs w:val="21"/>
              </w:rPr>
            </w:pPr>
          </w:p>
        </w:tc>
        <w:tc>
          <w:tcPr>
            <w:tcW w:w="2341" w:type="dxa"/>
            <w:vAlign w:val="center"/>
          </w:tcPr>
          <w:p w14:paraId="7888AA0A">
            <w:pPr>
              <w:rPr>
                <w:rFonts w:asciiTheme="minorEastAsia" w:hAnsiTheme="minorEastAsia" w:eastAsiaTheme="minorEastAsia"/>
                <w:color w:val="auto"/>
                <w:szCs w:val="21"/>
              </w:rPr>
            </w:pPr>
          </w:p>
        </w:tc>
        <w:tc>
          <w:tcPr>
            <w:tcW w:w="1750" w:type="dxa"/>
            <w:vAlign w:val="center"/>
          </w:tcPr>
          <w:p w14:paraId="72BFAF9D">
            <w:pPr>
              <w:rPr>
                <w:rFonts w:asciiTheme="minorEastAsia" w:hAnsiTheme="minorEastAsia" w:eastAsiaTheme="minorEastAsia"/>
                <w:color w:val="auto"/>
                <w:szCs w:val="21"/>
              </w:rPr>
            </w:pPr>
          </w:p>
        </w:tc>
        <w:tc>
          <w:tcPr>
            <w:tcW w:w="1623" w:type="dxa"/>
            <w:vAlign w:val="center"/>
          </w:tcPr>
          <w:p w14:paraId="743ED23F">
            <w:pPr>
              <w:rPr>
                <w:rFonts w:asciiTheme="minorEastAsia" w:hAnsiTheme="minorEastAsia" w:eastAsiaTheme="minorEastAsia"/>
                <w:color w:val="auto"/>
                <w:szCs w:val="21"/>
              </w:rPr>
            </w:pPr>
          </w:p>
        </w:tc>
      </w:tr>
      <w:tr w14:paraId="0CD4C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1B6B2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450623F1">
            <w:pPr>
              <w:rPr>
                <w:rFonts w:asciiTheme="minorEastAsia" w:hAnsiTheme="minorEastAsia" w:eastAsiaTheme="minorEastAsia"/>
                <w:color w:val="auto"/>
                <w:szCs w:val="21"/>
              </w:rPr>
            </w:pPr>
          </w:p>
        </w:tc>
        <w:tc>
          <w:tcPr>
            <w:tcW w:w="2341" w:type="dxa"/>
            <w:vAlign w:val="center"/>
          </w:tcPr>
          <w:p w14:paraId="240B3B2D">
            <w:pPr>
              <w:rPr>
                <w:rFonts w:asciiTheme="minorEastAsia" w:hAnsiTheme="minorEastAsia" w:eastAsiaTheme="minorEastAsia"/>
                <w:color w:val="auto"/>
                <w:szCs w:val="21"/>
              </w:rPr>
            </w:pPr>
          </w:p>
        </w:tc>
        <w:tc>
          <w:tcPr>
            <w:tcW w:w="1750" w:type="dxa"/>
            <w:vAlign w:val="center"/>
          </w:tcPr>
          <w:p w14:paraId="02A82503">
            <w:pPr>
              <w:rPr>
                <w:rFonts w:asciiTheme="minorEastAsia" w:hAnsiTheme="minorEastAsia" w:eastAsiaTheme="minorEastAsia"/>
                <w:color w:val="auto"/>
                <w:szCs w:val="21"/>
              </w:rPr>
            </w:pPr>
          </w:p>
        </w:tc>
        <w:tc>
          <w:tcPr>
            <w:tcW w:w="1623" w:type="dxa"/>
            <w:vAlign w:val="center"/>
          </w:tcPr>
          <w:p w14:paraId="393CC2B9">
            <w:pPr>
              <w:rPr>
                <w:rFonts w:asciiTheme="minorEastAsia" w:hAnsiTheme="minorEastAsia" w:eastAsiaTheme="minorEastAsia"/>
                <w:color w:val="auto"/>
                <w:szCs w:val="21"/>
              </w:rPr>
            </w:pPr>
          </w:p>
        </w:tc>
      </w:tr>
    </w:tbl>
    <w:p w14:paraId="353B4BD5">
      <w:pPr>
        <w:spacing w:line="500" w:lineRule="exact"/>
        <w:rPr>
          <w:u w:val="single"/>
        </w:rPr>
      </w:pPr>
      <w:r>
        <w:rPr>
          <w:rFonts w:hint="eastAsia"/>
          <w:spacing w:val="4"/>
        </w:rPr>
        <w:t>投标人名称（盖公章）：</w:t>
      </w:r>
      <w:r>
        <w:rPr>
          <w:rFonts w:hint="eastAsia"/>
          <w:spacing w:val="4"/>
          <w:u w:val="single"/>
        </w:rPr>
        <w:t xml:space="preserve">                                      </w:t>
      </w:r>
    </w:p>
    <w:p w14:paraId="182BB1D7">
      <w:pPr>
        <w:spacing w:line="360" w:lineRule="auto"/>
        <w:ind w:right="96" w:rightChars="40"/>
        <w:rPr>
          <w:rFonts w:hint="eastAsia"/>
          <w:spacing w:val="4"/>
          <w:u w:val="single"/>
        </w:rPr>
      </w:pPr>
      <w:r>
        <w:rPr>
          <w:rFonts w:hint="eastAsia"/>
        </w:rPr>
        <w:t>法定代表人或投标人授权代表（签名或盖章）：</w:t>
      </w:r>
      <w:r>
        <w:rPr>
          <w:spacing w:val="4"/>
          <w:u w:val="single"/>
        </w:rPr>
        <w:t xml:space="preserve">       </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14:paraId="4F231D7A">
      <w:pPr>
        <w:spacing w:line="360" w:lineRule="auto"/>
        <w:ind w:right="96" w:rightChars="4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职务：</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日期</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p>
    <w:p w14:paraId="2ABB1386">
      <w:pPr>
        <w:spacing w:line="360" w:lineRule="auto"/>
        <w:ind w:right="96" w:rightChars="40"/>
        <w:rPr>
          <w:rFonts w:hint="eastAsia" w:ascii="宋体" w:hAnsi="宋体"/>
          <w:szCs w:val="21"/>
          <w:highlight w:val="none"/>
        </w:rPr>
      </w:pPr>
    </w:p>
    <w:p w14:paraId="61BE1899">
      <w:pPr>
        <w:spacing w:line="360" w:lineRule="auto"/>
        <w:ind w:right="96" w:rightChars="40"/>
        <w:rPr>
          <w:rFonts w:hint="eastAsia" w:ascii="宋体" w:hAnsi="宋体"/>
          <w:szCs w:val="21"/>
          <w:highlight w:val="none"/>
        </w:rPr>
      </w:pPr>
      <w:r>
        <w:rPr>
          <w:rFonts w:hint="eastAsia" w:ascii="宋体" w:hAnsi="宋体"/>
          <w:szCs w:val="21"/>
          <w:highlight w:val="none"/>
        </w:rPr>
        <w:t>备注：</w:t>
      </w:r>
    </w:p>
    <w:p w14:paraId="461683C0">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1、本表中“采购文件条款描述”的条款与用户需求中的条款描述不一致的以用户需求中规定的为准。</w:t>
      </w:r>
    </w:p>
    <w:p w14:paraId="3AA6197C">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2、投标人必须按采购文件要求附相关证明文件，如未按采购件要求提供相关证明资料或有任何一条负偏离则导致无效投标。</w:t>
      </w:r>
    </w:p>
    <w:p w14:paraId="63E51123">
      <w:pPr>
        <w:jc w:val="both"/>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投标人所填写的“投标人响应描述”</w:t>
      </w:r>
      <w:r>
        <w:rPr>
          <w:rFonts w:hint="eastAsia" w:ascii="宋体" w:hAnsi="宋体" w:eastAsia="宋体" w:cs="Times New Roman"/>
          <w:szCs w:val="21"/>
          <w:highlight w:val="none"/>
          <w:lang w:val="en-US" w:eastAsia="zh-CN"/>
        </w:rPr>
        <w:t>及“偏离情况说明”</w:t>
      </w:r>
      <w:r>
        <w:rPr>
          <w:rFonts w:hint="eastAsia" w:ascii="宋体" w:hAnsi="宋体" w:eastAsia="宋体" w:cs="Times New Roman"/>
          <w:szCs w:val="21"/>
          <w:highlight w:val="none"/>
        </w:rPr>
        <w:t>必须与客观事实相一致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响应不实且情节严重的，</w:t>
      </w:r>
      <w:r>
        <w:rPr>
          <w:rFonts w:hint="eastAsia" w:ascii="宋体" w:hAnsi="宋体" w:eastAsia="宋体" w:cs="Times New Roman"/>
          <w:szCs w:val="21"/>
          <w:highlight w:val="none"/>
          <w:lang w:eastAsia="zh-CN"/>
        </w:rPr>
        <w:t>将上报</w:t>
      </w:r>
      <w:r>
        <w:rPr>
          <w:rFonts w:hint="eastAsia" w:ascii="宋体" w:hAnsi="宋体" w:eastAsia="宋体" w:cs="Times New Roman"/>
          <w:szCs w:val="21"/>
          <w:highlight w:val="none"/>
        </w:rPr>
        <w:t>主管部门</w:t>
      </w:r>
      <w:r>
        <w:rPr>
          <w:rFonts w:hint="eastAsia" w:ascii="宋体" w:hAnsi="宋体" w:eastAsia="宋体" w:cs="Times New Roman"/>
          <w:szCs w:val="21"/>
          <w:highlight w:val="none"/>
          <w:lang w:eastAsia="zh-CN"/>
        </w:rPr>
        <w:t>依法处理。</w:t>
      </w:r>
    </w:p>
    <w:p w14:paraId="7256CB20">
      <w:pPr>
        <w:jc w:val="both"/>
        <w:rPr>
          <w:rFonts w:hint="eastAsia" w:ascii="宋体" w:hAnsi="宋体" w:eastAsia="宋体" w:cs="Times New Roman"/>
          <w:szCs w:val="21"/>
          <w:highlight w:val="none"/>
          <w:lang w:eastAsia="zh-CN"/>
        </w:rPr>
      </w:pPr>
    </w:p>
    <w:p w14:paraId="4F43D132">
      <w:pPr>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br w:type="page"/>
      </w:r>
    </w:p>
    <w:p w14:paraId="68DDE819">
      <w:pPr>
        <w:jc w:val="both"/>
        <w:rPr>
          <w:rFonts w:hint="eastAsia" w:asciiTheme="minorEastAsia" w:hAnsiTheme="minorEastAsia" w:cstheme="minorEastAsia"/>
          <w:b/>
          <w:bCs/>
          <w:kern w:val="2"/>
        </w:rPr>
      </w:pPr>
      <w:r>
        <w:rPr>
          <w:rFonts w:hint="eastAsia" w:asciiTheme="minorEastAsia" w:hAnsiTheme="minorEastAsia" w:cstheme="minorEastAsia"/>
          <w:b/>
          <w:bCs/>
          <w:lang w:val="en-US" w:eastAsia="zh-CN"/>
        </w:rPr>
        <w:t>九</w:t>
      </w:r>
      <w:r>
        <w:rPr>
          <w:rFonts w:hint="eastAsia" w:asciiTheme="minorEastAsia" w:hAnsiTheme="minorEastAsia" w:cstheme="minorEastAsia"/>
          <w:b/>
          <w:bCs/>
        </w:rPr>
        <w:t>、</w:t>
      </w:r>
      <w:r>
        <w:rPr>
          <w:rFonts w:hint="eastAsia" w:asciiTheme="minorEastAsia" w:hAnsiTheme="minorEastAsia" w:cstheme="minorEastAsia"/>
          <w:b/>
          <w:bCs/>
          <w:kern w:val="2"/>
        </w:rPr>
        <w:t>其他响应评分的内容及佐证材料</w:t>
      </w:r>
    </w:p>
    <w:p w14:paraId="2E393711">
      <w:pPr>
        <w:pStyle w:val="36"/>
        <w:numPr>
          <w:ilvl w:val="0"/>
          <w:numId w:val="0"/>
        </w:numPr>
        <w:spacing w:line="360" w:lineRule="auto"/>
        <w:ind w:firstLine="0" w:firstLineChars="0"/>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cs="宋体"/>
          <w:b/>
          <w:bCs/>
          <w:color w:val="auto"/>
          <w:spacing w:val="0"/>
          <w:kern w:val="2"/>
          <w:sz w:val="24"/>
          <w:szCs w:val="24"/>
          <w:lang w:val="en-US" w:eastAsia="zh-CN" w:bidi="ar-SA"/>
        </w:rPr>
        <w:t>（一）项目服务方案</w:t>
      </w:r>
    </w:p>
    <w:p w14:paraId="447DB23D">
      <w:pPr>
        <w:pStyle w:val="36"/>
        <w:numPr>
          <w:ilvl w:val="0"/>
          <w:numId w:val="0"/>
        </w:numPr>
        <w:spacing w:line="360" w:lineRule="auto"/>
        <w:ind w:firstLine="0" w:firstLineChars="0"/>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5EAAFCC8">
      <w:pPr>
        <w:pStyle w:val="3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9"/>
        <w:rPr>
          <w:rFonts w:hint="default" w:ascii="宋体" w:hAnsi="宋体" w:eastAsia="宋体" w:cs="宋体"/>
          <w:b/>
          <w:bCs/>
          <w:color w:val="auto"/>
          <w:spacing w:val="0"/>
          <w:kern w:val="2"/>
          <w:sz w:val="24"/>
          <w:szCs w:val="24"/>
          <w:highlight w:val="none"/>
          <w:lang w:val="en-US" w:eastAsia="zh-CN" w:bidi="ar-SA"/>
        </w:rPr>
      </w:pPr>
    </w:p>
    <w:p w14:paraId="27A64AA4">
      <w:pPr>
        <w:pStyle w:val="36"/>
        <w:numPr>
          <w:ilvl w:val="0"/>
          <w:numId w:val="0"/>
        </w:numPr>
        <w:spacing w:line="360" w:lineRule="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（二）培训方案</w:t>
      </w:r>
    </w:p>
    <w:p w14:paraId="5E6E2D8E">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08B53AD5">
      <w:pPr>
        <w:pStyle w:val="36"/>
        <w:numPr>
          <w:ilvl w:val="0"/>
          <w:numId w:val="0"/>
        </w:numPr>
        <w:spacing w:line="360" w:lineRule="auto"/>
        <w:rPr>
          <w:rFonts w:hint="eastAsia" w:ascii="宋体" w:hAnsi="宋体" w:eastAsia="宋体" w:cs="宋体"/>
          <w:color w:val="auto"/>
          <w:sz w:val="22"/>
          <w:szCs w:val="20"/>
          <w:lang w:val="en-US" w:eastAsia="zh-CN"/>
        </w:rPr>
      </w:pPr>
    </w:p>
    <w:p w14:paraId="4E413331">
      <w:pPr>
        <w:pStyle w:val="36"/>
        <w:numPr>
          <w:ilvl w:val="0"/>
          <w:numId w:val="0"/>
        </w:numPr>
        <w:spacing w:line="360" w:lineRule="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（三）质疑、投诉处理能力</w:t>
      </w:r>
    </w:p>
    <w:p w14:paraId="2593BC03">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1CDB7CD1">
      <w:pPr>
        <w:pStyle w:val="36"/>
        <w:numPr>
          <w:ilvl w:val="0"/>
          <w:numId w:val="0"/>
        </w:numPr>
        <w:spacing w:line="360" w:lineRule="auto"/>
        <w:rPr>
          <w:rFonts w:hint="eastAsia" w:ascii="宋体" w:hAnsi="宋体" w:eastAsia="宋体" w:cs="宋体"/>
          <w:color w:val="auto"/>
          <w:sz w:val="22"/>
          <w:szCs w:val="20"/>
          <w:lang w:val="en-US" w:eastAsia="zh-CN"/>
        </w:rPr>
      </w:pPr>
    </w:p>
    <w:p w14:paraId="1D94E7ED">
      <w:pPr>
        <w:pStyle w:val="36"/>
        <w:numPr>
          <w:ilvl w:val="0"/>
          <w:numId w:val="0"/>
        </w:numPr>
        <w:spacing w:line="360" w:lineRule="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（四）拟安排的项目负责人（仅限一人）</w:t>
      </w:r>
    </w:p>
    <w:p w14:paraId="4592B6BA">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2CE0FCE2">
      <w:pPr>
        <w:pStyle w:val="3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default" w:ascii="宋体" w:hAnsi="宋体" w:eastAsia="宋体" w:cs="宋体"/>
          <w:b/>
          <w:bCs/>
          <w:color w:val="auto"/>
          <w:spacing w:val="0"/>
          <w:kern w:val="2"/>
          <w:sz w:val="24"/>
          <w:szCs w:val="24"/>
          <w:highlight w:val="none"/>
          <w:lang w:val="en-US" w:eastAsia="zh-CN" w:bidi="ar-SA"/>
        </w:rPr>
      </w:pPr>
    </w:p>
    <w:p w14:paraId="0EDB6684">
      <w:pPr>
        <w:pStyle w:val="36"/>
        <w:numPr>
          <w:ilvl w:val="0"/>
          <w:numId w:val="0"/>
        </w:numPr>
        <w:spacing w:line="360" w:lineRule="auto"/>
        <w:ind w:left="0" w:leftChars="0" w:firstLine="0" w:firstLineChars="0"/>
        <w:rPr>
          <w:rFonts w:hint="eastAsia"/>
          <w:b/>
          <w:sz w:val="24"/>
          <w:lang w:val="en-US" w:eastAsia="zh-CN"/>
        </w:rPr>
      </w:pPr>
      <w:bookmarkStart w:id="25" w:name="_Toc14950"/>
      <w:bookmarkStart w:id="26" w:name="_Toc30803"/>
      <w:r>
        <w:rPr>
          <w:rFonts w:hint="eastAsia" w:cs="Times New Roman"/>
          <w:b/>
          <w:spacing w:val="10"/>
          <w:kern w:val="0"/>
          <w:sz w:val="24"/>
          <w:szCs w:val="24"/>
          <w:lang w:val="en-US" w:eastAsia="zh-CN" w:bidi="ar-SA"/>
        </w:rPr>
        <w:t>（五）</w:t>
      </w:r>
      <w:r>
        <w:rPr>
          <w:rFonts w:hint="eastAsia"/>
          <w:b/>
          <w:sz w:val="24"/>
          <w:lang w:val="en-US" w:eastAsia="zh-CN"/>
        </w:rPr>
        <w:t>拟安排的团队成员（项目负责人除外）</w:t>
      </w:r>
    </w:p>
    <w:p w14:paraId="18AF6491">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0AFB9C54">
      <w:pPr>
        <w:pStyle w:val="36"/>
        <w:numPr>
          <w:ilvl w:val="0"/>
          <w:numId w:val="0"/>
        </w:numPr>
        <w:spacing w:line="360" w:lineRule="auto"/>
        <w:ind w:leftChars="0"/>
        <w:rPr>
          <w:rFonts w:hint="eastAsia"/>
          <w:b/>
          <w:sz w:val="24"/>
          <w:lang w:val="en-US" w:eastAsia="zh-CN"/>
        </w:rPr>
      </w:pPr>
    </w:p>
    <w:p w14:paraId="645C7A08">
      <w:pPr>
        <w:pStyle w:val="36"/>
        <w:numPr>
          <w:ilvl w:val="0"/>
          <w:numId w:val="0"/>
        </w:numPr>
        <w:spacing w:line="360" w:lineRule="auto"/>
        <w:ind w:left="0" w:leftChars="0" w:firstLine="0" w:firstLineChars="0"/>
        <w:rPr>
          <w:rFonts w:hint="eastAsia" w:eastAsia="宋体" w:cs="Times New Roman"/>
          <w:b/>
          <w:sz w:val="24"/>
          <w:lang w:val="en-US" w:eastAsia="zh-CN"/>
        </w:rPr>
      </w:pPr>
      <w:r>
        <w:rPr>
          <w:rFonts w:hint="eastAsia" w:eastAsia="宋体" w:cs="Times New Roman"/>
          <w:b/>
          <w:spacing w:val="10"/>
          <w:kern w:val="0"/>
          <w:sz w:val="24"/>
          <w:szCs w:val="24"/>
          <w:lang w:val="en-US" w:eastAsia="zh-CN" w:bidi="ar-SA"/>
        </w:rPr>
        <w:t>（六）</w:t>
      </w:r>
      <w:r>
        <w:rPr>
          <w:rFonts w:hint="eastAsia" w:eastAsia="宋体" w:cs="Times New Roman"/>
          <w:b/>
          <w:sz w:val="24"/>
          <w:lang w:val="en-US" w:eastAsia="zh-CN"/>
        </w:rPr>
        <w:t>自有电子评标系统情况</w:t>
      </w:r>
    </w:p>
    <w:p w14:paraId="4715A364">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54D4535B">
      <w:pPr>
        <w:pStyle w:val="36"/>
        <w:numPr>
          <w:ilvl w:val="0"/>
          <w:numId w:val="0"/>
        </w:numPr>
        <w:spacing w:line="360" w:lineRule="auto"/>
        <w:ind w:left="0" w:leftChars="0" w:firstLine="0" w:firstLineChars="0"/>
        <w:rPr>
          <w:rFonts w:hint="eastAsia" w:eastAsia="宋体" w:cs="Times New Roman"/>
          <w:b/>
          <w:spacing w:val="10"/>
          <w:kern w:val="0"/>
          <w:sz w:val="24"/>
          <w:szCs w:val="24"/>
          <w:lang w:val="en-US" w:eastAsia="zh-CN" w:bidi="ar-SA"/>
        </w:rPr>
      </w:pPr>
    </w:p>
    <w:p w14:paraId="4C73ED0A">
      <w:pPr>
        <w:pStyle w:val="36"/>
        <w:numPr>
          <w:ilvl w:val="0"/>
          <w:numId w:val="0"/>
        </w:numPr>
        <w:spacing w:line="360" w:lineRule="auto"/>
        <w:ind w:left="0" w:leftChars="0" w:firstLine="0" w:firstLineChars="0"/>
        <w:rPr>
          <w:rFonts w:hint="eastAsia" w:eastAsia="宋体" w:cs="Times New Roman"/>
          <w:b/>
          <w:sz w:val="24"/>
          <w:lang w:val="en-US" w:eastAsia="zh-CN"/>
        </w:rPr>
      </w:pPr>
      <w:r>
        <w:rPr>
          <w:rFonts w:hint="eastAsia" w:eastAsia="宋体" w:cs="Times New Roman"/>
          <w:b/>
          <w:spacing w:val="10"/>
          <w:kern w:val="0"/>
          <w:sz w:val="24"/>
          <w:szCs w:val="24"/>
          <w:lang w:val="en-US" w:eastAsia="zh-CN" w:bidi="ar-SA"/>
        </w:rPr>
        <w:t>（七）</w:t>
      </w:r>
      <w:r>
        <w:rPr>
          <w:rFonts w:hint="eastAsia" w:eastAsia="宋体" w:cs="Times New Roman"/>
          <w:b/>
          <w:sz w:val="24"/>
          <w:lang w:val="en-US" w:eastAsia="zh-CN"/>
        </w:rPr>
        <w:t>市场信息化调研平台情况</w:t>
      </w:r>
    </w:p>
    <w:p w14:paraId="4CE0BEB8">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6592DB78">
      <w:pPr>
        <w:pStyle w:val="36"/>
        <w:numPr>
          <w:ilvl w:val="0"/>
          <w:numId w:val="0"/>
        </w:numPr>
        <w:spacing w:line="360" w:lineRule="auto"/>
        <w:rPr>
          <w:rFonts w:hint="eastAsia" w:ascii="宋体" w:hAnsi="宋体" w:eastAsia="宋体" w:cs="宋体"/>
          <w:color w:val="auto"/>
          <w:sz w:val="22"/>
          <w:szCs w:val="20"/>
          <w:lang w:val="en-US" w:eastAsia="zh-CN"/>
        </w:rPr>
      </w:pPr>
    </w:p>
    <w:p w14:paraId="2298555C">
      <w:pPr>
        <w:pStyle w:val="36"/>
        <w:numPr>
          <w:ilvl w:val="0"/>
          <w:numId w:val="0"/>
        </w:numPr>
        <w:spacing w:line="360" w:lineRule="auto"/>
        <w:ind w:left="0" w:leftChars="0" w:firstLine="0" w:firstLineChars="0"/>
        <w:rPr>
          <w:rFonts w:hint="eastAsia" w:eastAsia="宋体" w:cs="Times New Roman"/>
          <w:b/>
          <w:sz w:val="24"/>
          <w:lang w:val="en-US" w:eastAsia="zh-CN"/>
        </w:rPr>
      </w:pPr>
      <w:r>
        <w:rPr>
          <w:rFonts w:hint="eastAsia" w:eastAsia="宋体" w:cs="Times New Roman"/>
          <w:b/>
          <w:spacing w:val="10"/>
          <w:kern w:val="0"/>
          <w:sz w:val="24"/>
          <w:szCs w:val="24"/>
          <w:lang w:val="en-US" w:eastAsia="zh-CN" w:bidi="ar-SA"/>
        </w:rPr>
        <w:t>（八）</w:t>
      </w:r>
      <w:r>
        <w:rPr>
          <w:rFonts w:hint="eastAsia" w:eastAsia="宋体" w:cs="Times New Roman"/>
          <w:b/>
          <w:sz w:val="24"/>
          <w:lang w:val="en-US" w:eastAsia="zh-CN"/>
        </w:rPr>
        <w:t>服务便利性</w:t>
      </w:r>
    </w:p>
    <w:p w14:paraId="456AE1C1">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71E0EF0A">
      <w:pPr>
        <w:pStyle w:val="36"/>
        <w:numPr>
          <w:ilvl w:val="0"/>
          <w:numId w:val="0"/>
        </w:numPr>
        <w:spacing w:line="360" w:lineRule="auto"/>
        <w:ind w:left="0" w:leftChars="0" w:firstLine="0" w:firstLineChars="0"/>
        <w:rPr>
          <w:rFonts w:hint="eastAsia" w:eastAsia="宋体" w:cs="Times New Roman"/>
          <w:b/>
          <w:spacing w:val="10"/>
          <w:kern w:val="0"/>
          <w:sz w:val="24"/>
          <w:szCs w:val="24"/>
          <w:lang w:val="en-US" w:eastAsia="zh-CN" w:bidi="ar-SA"/>
        </w:rPr>
      </w:pPr>
    </w:p>
    <w:p w14:paraId="3EAB2096">
      <w:pPr>
        <w:pStyle w:val="36"/>
        <w:numPr>
          <w:ilvl w:val="0"/>
          <w:numId w:val="0"/>
        </w:numPr>
        <w:spacing w:line="360" w:lineRule="auto"/>
        <w:ind w:left="0" w:leftChars="0" w:firstLine="0" w:firstLineChars="0"/>
        <w:rPr>
          <w:rFonts w:hint="eastAsia" w:eastAsia="宋体" w:cs="Times New Roman"/>
          <w:b/>
          <w:sz w:val="24"/>
          <w:lang w:val="en-US" w:eastAsia="zh-CN"/>
        </w:rPr>
      </w:pPr>
      <w:r>
        <w:rPr>
          <w:rFonts w:hint="eastAsia" w:eastAsia="宋体" w:cs="Times New Roman"/>
          <w:b/>
          <w:spacing w:val="10"/>
          <w:kern w:val="0"/>
          <w:sz w:val="24"/>
          <w:szCs w:val="24"/>
          <w:lang w:val="en-US" w:eastAsia="zh-CN" w:bidi="ar-SA"/>
        </w:rPr>
        <w:t>（九）</w:t>
      </w:r>
      <w:r>
        <w:rPr>
          <w:rFonts w:hint="eastAsia" w:eastAsia="宋体" w:cs="Times New Roman"/>
          <w:b/>
          <w:sz w:val="24"/>
          <w:lang w:val="en-US" w:eastAsia="zh-CN"/>
        </w:rPr>
        <w:t>货物类招标业绩</w:t>
      </w:r>
    </w:p>
    <w:p w14:paraId="622C00F6">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2A331524">
      <w:pPr>
        <w:pStyle w:val="36"/>
        <w:numPr>
          <w:ilvl w:val="0"/>
          <w:numId w:val="0"/>
        </w:numPr>
        <w:spacing w:line="360" w:lineRule="auto"/>
        <w:ind w:left="0" w:leftChars="0" w:firstLine="0" w:firstLineChars="0"/>
        <w:rPr>
          <w:rFonts w:hint="eastAsia" w:eastAsia="宋体" w:cs="Times New Roman"/>
          <w:b/>
          <w:spacing w:val="10"/>
          <w:kern w:val="0"/>
          <w:sz w:val="24"/>
          <w:szCs w:val="24"/>
          <w:lang w:val="en-US" w:eastAsia="zh-CN" w:bidi="ar-SA"/>
        </w:rPr>
      </w:pPr>
    </w:p>
    <w:p w14:paraId="71140C83">
      <w:pPr>
        <w:pStyle w:val="36"/>
        <w:numPr>
          <w:ilvl w:val="0"/>
          <w:numId w:val="0"/>
        </w:numPr>
        <w:spacing w:line="360" w:lineRule="auto"/>
        <w:ind w:left="0" w:leftChars="0" w:firstLine="0" w:firstLineChars="0"/>
        <w:rPr>
          <w:rFonts w:hint="eastAsia" w:eastAsia="宋体" w:cs="Times New Roman"/>
          <w:b/>
          <w:sz w:val="24"/>
          <w:lang w:val="en-US" w:eastAsia="zh-CN"/>
        </w:rPr>
      </w:pPr>
      <w:r>
        <w:rPr>
          <w:rFonts w:hint="eastAsia" w:eastAsia="宋体" w:cs="Times New Roman"/>
          <w:b/>
          <w:spacing w:val="10"/>
          <w:kern w:val="0"/>
          <w:sz w:val="24"/>
          <w:szCs w:val="24"/>
          <w:lang w:val="en-US" w:eastAsia="zh-CN" w:bidi="ar-SA"/>
        </w:rPr>
        <w:t>（十）</w:t>
      </w:r>
      <w:r>
        <w:rPr>
          <w:rFonts w:hint="eastAsia" w:eastAsia="宋体" w:cs="Times New Roman"/>
          <w:b/>
          <w:sz w:val="24"/>
          <w:lang w:val="en-US" w:eastAsia="zh-CN"/>
        </w:rPr>
        <w:t>服务类招标业绩</w:t>
      </w:r>
    </w:p>
    <w:p w14:paraId="22889794">
      <w:pPr>
        <w:pStyle w:val="36"/>
        <w:numPr>
          <w:ilvl w:val="0"/>
          <w:numId w:val="0"/>
        </w:numPr>
        <w:spacing w:line="360" w:lineRule="auto"/>
        <w:rPr>
          <w:rFonts w:hint="eastAsia" w:ascii="宋体" w:hAnsi="宋体" w:eastAsia="宋体" w:cs="宋体"/>
          <w:color w:val="auto"/>
          <w:sz w:val="22"/>
          <w:szCs w:val="20"/>
          <w:lang w:val="en-US" w:eastAsia="zh-CN"/>
        </w:rPr>
      </w:pPr>
      <w:r>
        <w:rPr>
          <w:rFonts w:hint="eastAsia" w:ascii="宋体" w:hAnsi="宋体" w:eastAsia="宋体" w:cs="宋体"/>
          <w:color w:val="auto"/>
          <w:sz w:val="22"/>
          <w:szCs w:val="20"/>
          <w:lang w:val="en-US" w:eastAsia="zh-CN"/>
        </w:rPr>
        <w:t>（根据评分准则提供内容，格式自拟）</w:t>
      </w:r>
    </w:p>
    <w:p w14:paraId="72A68299">
      <w:pPr>
        <w:spacing w:line="560" w:lineRule="exact"/>
        <w:jc w:val="both"/>
        <w:rPr>
          <w:rFonts w:hint="eastAsia"/>
          <w:b/>
          <w:sz w:val="24"/>
          <w:lang w:eastAsia="zh-CN"/>
        </w:rPr>
      </w:pPr>
    </w:p>
    <w:p w14:paraId="510623F7">
      <w:pPr>
        <w:rPr>
          <w:rFonts w:hint="eastAsia"/>
          <w:b/>
          <w:sz w:val="24"/>
          <w:lang w:eastAsia="zh-CN"/>
        </w:rPr>
      </w:pPr>
      <w:r>
        <w:rPr>
          <w:rFonts w:hint="eastAsia"/>
          <w:b/>
          <w:sz w:val="24"/>
          <w:lang w:eastAsia="zh-CN"/>
        </w:rPr>
        <w:br w:type="page"/>
      </w:r>
    </w:p>
    <w:p w14:paraId="3AAE304B">
      <w:pPr>
        <w:spacing w:line="560" w:lineRule="exact"/>
        <w:jc w:val="both"/>
      </w:pPr>
      <w:r>
        <w:rPr>
          <w:rFonts w:hint="eastAsia"/>
          <w:b/>
          <w:sz w:val="24"/>
          <w:lang w:eastAsia="zh-CN"/>
        </w:rPr>
        <w:t>十、采购文件</w:t>
      </w:r>
      <w:r>
        <w:rPr>
          <w:rFonts w:hint="eastAsia"/>
          <w:b/>
          <w:sz w:val="24"/>
        </w:rPr>
        <w:t>要求的其他内容及投标人认为需要加以说明的其他内容</w:t>
      </w:r>
      <w:bookmarkEnd w:id="25"/>
      <w:bookmarkEnd w:id="26"/>
    </w:p>
    <w:sectPr>
      <w:headerReference r:id="rId7" w:type="default"/>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A27B">
    <w:pPr>
      <w:rPr>
        <w:rFonts w:hint="eastAsia"/>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E413E">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yrx8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Syrx8oBAACaAwAADgAAAAAAAAABACAAAAAeAQAAZHJzL2Uyb0Rv&#10;Yy54bWxQSwUGAAAAAAYABgBZAQAAWgUAAAAA&#10;">
              <v:fill on="f" focussize="0,0"/>
              <v:stroke on="f"/>
              <v:imagedata o:title=""/>
              <o:lock v:ext="edit" aspectratio="f"/>
              <v:textbox inset="0mm,0mm,0mm,0mm" style="mso-fit-shape-to-text:t;">
                <w:txbxContent>
                  <w:p w14:paraId="72CE413E">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3171">
    <w:pPr>
      <w:pStyle w:val="20"/>
      <w:pBdr>
        <w:bottom w:val="none" w:color="auto" w:sz="0" w:space="1"/>
      </w:pBdr>
      <w:rPr>
        <w:rFonts w:hint="eastAsia"/>
        <w:u w:val="single" w:color="FFFFFF" w:themeColor="background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2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D946F3AE"/>
    <w:multiLevelType w:val="singleLevel"/>
    <w:tmpl w:val="D946F3AE"/>
    <w:lvl w:ilvl="0" w:tentative="0">
      <w:start w:val="1"/>
      <w:numFmt w:val="chineseCounting"/>
      <w:suff w:val="nothing"/>
      <w:lvlText w:val="（%1）"/>
      <w:lvlJc w:val="left"/>
      <w:rPr>
        <w:rFonts w:hint="eastAsia"/>
      </w:rPr>
    </w:lvl>
  </w:abstractNum>
  <w:abstractNum w:abstractNumId="4">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363EF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9E71B2"/>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7FF3DAA"/>
    <w:rsid w:val="08005083"/>
    <w:rsid w:val="08150A61"/>
    <w:rsid w:val="08162D8B"/>
    <w:rsid w:val="081D70DE"/>
    <w:rsid w:val="084837A5"/>
    <w:rsid w:val="08533F11"/>
    <w:rsid w:val="08646E76"/>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9FC4E8C"/>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725EA8"/>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172FEE"/>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39719B"/>
    <w:rsid w:val="174B3633"/>
    <w:rsid w:val="174E114A"/>
    <w:rsid w:val="176C18A3"/>
    <w:rsid w:val="17707100"/>
    <w:rsid w:val="177E790E"/>
    <w:rsid w:val="17A10E21"/>
    <w:rsid w:val="17A90DEF"/>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5F2073"/>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C47E64"/>
    <w:rsid w:val="1DCC31FE"/>
    <w:rsid w:val="1DE70AB5"/>
    <w:rsid w:val="1DF21FF2"/>
    <w:rsid w:val="1E0B1B21"/>
    <w:rsid w:val="1E4829FC"/>
    <w:rsid w:val="1E746983"/>
    <w:rsid w:val="1E9E304B"/>
    <w:rsid w:val="1EAF0D67"/>
    <w:rsid w:val="1ED61AE4"/>
    <w:rsid w:val="1EDB5833"/>
    <w:rsid w:val="1EED7DAE"/>
    <w:rsid w:val="1F1115FD"/>
    <w:rsid w:val="1F167376"/>
    <w:rsid w:val="1F271DA9"/>
    <w:rsid w:val="1F333B1E"/>
    <w:rsid w:val="1F387F65"/>
    <w:rsid w:val="1F3E16E6"/>
    <w:rsid w:val="1F4D1FBA"/>
    <w:rsid w:val="1F5B7EF1"/>
    <w:rsid w:val="1F6A3BED"/>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87B36"/>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100E46"/>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04C54"/>
    <w:rsid w:val="2602389A"/>
    <w:rsid w:val="261455E0"/>
    <w:rsid w:val="26151588"/>
    <w:rsid w:val="2620319C"/>
    <w:rsid w:val="262F7F34"/>
    <w:rsid w:val="2642284C"/>
    <w:rsid w:val="264473DF"/>
    <w:rsid w:val="264B2DA6"/>
    <w:rsid w:val="264C0596"/>
    <w:rsid w:val="264D4F65"/>
    <w:rsid w:val="2651396B"/>
    <w:rsid w:val="265C403C"/>
    <w:rsid w:val="26914CE6"/>
    <w:rsid w:val="26C32B62"/>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31DA"/>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AFD71FE"/>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981DC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327B4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367F1D"/>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47603F"/>
    <w:rsid w:val="426C5343"/>
    <w:rsid w:val="428F35C1"/>
    <w:rsid w:val="42A868A9"/>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7620D"/>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6F37769"/>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813263"/>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475971"/>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2A56F1"/>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9A7982"/>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43EAB"/>
    <w:rsid w:val="520E31AE"/>
    <w:rsid w:val="524349D3"/>
    <w:rsid w:val="526130AB"/>
    <w:rsid w:val="52722ED3"/>
    <w:rsid w:val="528278EA"/>
    <w:rsid w:val="52884ADC"/>
    <w:rsid w:val="528A34C2"/>
    <w:rsid w:val="52B64958"/>
    <w:rsid w:val="52BA2DC0"/>
    <w:rsid w:val="52C12C52"/>
    <w:rsid w:val="52D15024"/>
    <w:rsid w:val="52E26A0A"/>
    <w:rsid w:val="53010C0B"/>
    <w:rsid w:val="531F2506"/>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0074C"/>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13209"/>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2E0FA1"/>
    <w:rsid w:val="60513B15"/>
    <w:rsid w:val="605A0420"/>
    <w:rsid w:val="60624F0A"/>
    <w:rsid w:val="60705E47"/>
    <w:rsid w:val="607B1C59"/>
    <w:rsid w:val="60851A34"/>
    <w:rsid w:val="60852569"/>
    <w:rsid w:val="60991209"/>
    <w:rsid w:val="60C70EC5"/>
    <w:rsid w:val="60CF5688"/>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14188"/>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45464E"/>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D19FF"/>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0809C9"/>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33A26"/>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9"/>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38"/>
    <w:qFormat/>
    <w:uiPriority w:val="0"/>
    <w:pPr>
      <w:adjustRightInd w:val="0"/>
      <w:jc w:val="center"/>
      <w:textAlignment w:val="baseline"/>
      <w:outlineLvl w:val="1"/>
    </w:pPr>
    <w:rPr>
      <w:szCs w:val="20"/>
    </w:rPr>
  </w:style>
  <w:style w:type="paragraph" w:styleId="6">
    <w:name w:val="heading 3"/>
    <w:basedOn w:val="7"/>
    <w:next w:val="1"/>
    <w:link w:val="53"/>
    <w:qFormat/>
    <w:uiPriority w:val="9"/>
    <w:pPr>
      <w:spacing w:before="260" w:after="260"/>
      <w:outlineLvl w:val="2"/>
    </w:pPr>
    <w:rPr>
      <w:rFonts w:ascii="宋体" w:hAnsi="宋体" w:eastAsia="宋体"/>
      <w:szCs w:val="32"/>
    </w:rPr>
  </w:style>
  <w:style w:type="paragraph" w:styleId="7">
    <w:name w:val="heading 4"/>
    <w:basedOn w:val="1"/>
    <w:next w:val="1"/>
    <w:link w:val="41"/>
    <w:qFormat/>
    <w:uiPriority w:val="9"/>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unhideWhenUsed/>
    <w:qFormat/>
    <w:uiPriority w:val="99"/>
    <w:rPr>
      <w:rFonts w:asciiTheme="minorHAnsi" w:hAnsiTheme="minorHAnsi" w:cstheme="minorBidi"/>
      <w:szCs w:val="22"/>
    </w:rPr>
  </w:style>
  <w:style w:type="paragraph" w:styleId="8">
    <w:name w:val="table of authorities"/>
    <w:basedOn w:val="1"/>
    <w:next w:val="1"/>
    <w:qFormat/>
    <w:uiPriority w:val="0"/>
    <w:pPr>
      <w:ind w:left="420" w:left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next w:val="11"/>
    <w:link w:val="46"/>
    <w:qFormat/>
    <w:uiPriority w:val="0"/>
  </w:style>
  <w:style w:type="paragraph" w:styleId="11">
    <w:name w:val="toc 5"/>
    <w:basedOn w:val="1"/>
    <w:next w:val="1"/>
    <w:semiHidden/>
    <w:qFormat/>
    <w:uiPriority w:val="0"/>
    <w:pPr>
      <w:ind w:left="840"/>
      <w:jc w:val="left"/>
    </w:pPr>
    <w:rPr>
      <w:rFonts w:ascii="Times New Roman" w:hAnsi="Times New Roman" w:eastAsia="宋体" w:cs="Times New Roman"/>
      <w:szCs w:val="21"/>
    </w:rPr>
  </w:style>
  <w:style w:type="paragraph" w:styleId="12">
    <w:name w:val="index 6"/>
    <w:basedOn w:val="1"/>
    <w:next w:val="1"/>
    <w:qFormat/>
    <w:uiPriority w:val="0"/>
    <w:pPr>
      <w:ind w:left="2100"/>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spacing w:line="360" w:lineRule="auto"/>
      <w:ind w:firstLine="420" w:firstLineChars="200"/>
    </w:pPr>
  </w:style>
  <w:style w:type="paragraph" w:styleId="15">
    <w:name w:val="Block Text"/>
    <w:basedOn w:val="1"/>
    <w:qFormat/>
    <w:uiPriority w:val="99"/>
    <w:pPr>
      <w:spacing w:line="360" w:lineRule="auto"/>
      <w:ind w:left="-85" w:right="-244" w:firstLine="435"/>
    </w:pPr>
  </w:style>
  <w:style w:type="paragraph" w:styleId="16">
    <w:name w:val="Plain Text"/>
    <w:basedOn w:val="1"/>
    <w:link w:val="48"/>
    <w:unhideWhenUsed/>
    <w:qFormat/>
    <w:uiPriority w:val="0"/>
    <w:pPr>
      <w:widowControl w:val="0"/>
      <w:jc w:val="both"/>
    </w:pPr>
    <w:rPr>
      <w:rFonts w:ascii="宋体" w:hAnsi="Courier New" w:eastAsia="宋体"/>
      <w:kern w:val="2"/>
      <w:sz w:val="21"/>
      <w:szCs w:val="20"/>
    </w:rPr>
  </w:style>
  <w:style w:type="paragraph" w:styleId="17">
    <w:name w:val="Balloon Text"/>
    <w:basedOn w:val="1"/>
    <w:link w:val="43"/>
    <w:qFormat/>
    <w:uiPriority w:val="0"/>
    <w:rPr>
      <w:sz w:val="18"/>
      <w:szCs w:val="18"/>
    </w:rPr>
  </w:style>
  <w:style w:type="paragraph" w:styleId="18">
    <w:name w:val="footer"/>
    <w:basedOn w:val="1"/>
    <w:link w:val="45"/>
    <w:qFormat/>
    <w:uiPriority w:val="0"/>
    <w:pPr>
      <w:tabs>
        <w:tab w:val="center" w:pos="4153"/>
        <w:tab w:val="right" w:pos="8306"/>
      </w:tabs>
      <w:snapToGrid w:val="0"/>
    </w:pPr>
    <w:rPr>
      <w:sz w:val="18"/>
      <w:szCs w:val="18"/>
    </w:rPr>
  </w:style>
  <w:style w:type="paragraph" w:styleId="19">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2">
    <w:name w:val="Body Text 2"/>
    <w:basedOn w:val="1"/>
    <w:qFormat/>
    <w:uiPriority w:val="0"/>
    <w:pPr>
      <w:spacing w:line="360" w:lineRule="auto"/>
    </w:pPr>
  </w:style>
  <w:style w:type="paragraph" w:styleId="23">
    <w:name w:val="Normal (Web)"/>
    <w:basedOn w:val="1"/>
    <w:link w:val="40"/>
    <w:qFormat/>
    <w:uiPriority w:val="99"/>
  </w:style>
  <w:style w:type="paragraph" w:styleId="2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5">
    <w:name w:val="annotation subject"/>
    <w:basedOn w:val="10"/>
    <w:next w:val="10"/>
    <w:link w:val="47"/>
    <w:qFormat/>
    <w:uiPriority w:val="0"/>
    <w:rPr>
      <w:b/>
      <w:bCs/>
    </w:rPr>
  </w:style>
  <w:style w:type="paragraph" w:styleId="26">
    <w:name w:val="Body Text First Indent 2"/>
    <w:basedOn w:val="14"/>
    <w:semiHidden/>
    <w:unhideWhenUsed/>
    <w:qFormat/>
    <w:uiPriority w:val="99"/>
    <w:pPr>
      <w:spacing w:afterLines="25"/>
    </w:pPr>
  </w:style>
  <w:style w:type="table" w:styleId="28">
    <w:name w:val="Table Grid"/>
    <w:basedOn w:val="27"/>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ascii="Tahoma" w:hAnsi="Tahoma" w:eastAsia="宋体"/>
      <w:b/>
      <w:bCs/>
      <w:spacing w:val="10"/>
      <w:kern w:val="2"/>
      <w:sz w:val="24"/>
      <w:szCs w:val="24"/>
      <w:lang w:val="en-US" w:eastAsia="zh-CN" w:bidi="ar-SA"/>
    </w:rPr>
  </w:style>
  <w:style w:type="character" w:styleId="31">
    <w:name w:val="page number"/>
    <w:basedOn w:val="29"/>
    <w:qFormat/>
    <w:uiPriority w:val="0"/>
  </w:style>
  <w:style w:type="character" w:styleId="32">
    <w:name w:val="FollowedHyperlink"/>
    <w:basedOn w:val="29"/>
    <w:semiHidden/>
    <w:unhideWhenUsed/>
    <w:qFormat/>
    <w:uiPriority w:val="0"/>
    <w:rPr>
      <w:rFonts w:hint="eastAsia" w:ascii="微软雅黑" w:hAnsi="微软雅黑" w:eastAsia="微软雅黑" w:cs="微软雅黑"/>
      <w:color w:val="02396F"/>
      <w:u w:val="single"/>
    </w:rPr>
  </w:style>
  <w:style w:type="character" w:styleId="33">
    <w:name w:val="Hyperlink"/>
    <w:basedOn w:val="29"/>
    <w:semiHidden/>
    <w:unhideWhenUsed/>
    <w:qFormat/>
    <w:uiPriority w:val="0"/>
    <w:rPr>
      <w:rFonts w:hint="eastAsia" w:ascii="微软雅黑" w:hAnsi="微软雅黑" w:eastAsia="微软雅黑" w:cs="微软雅黑"/>
      <w:color w:val="02396F"/>
      <w:u w:val="single"/>
    </w:rPr>
  </w:style>
  <w:style w:type="character" w:styleId="34">
    <w:name w:val="annotation reference"/>
    <w:basedOn w:val="29"/>
    <w:qFormat/>
    <w:uiPriority w:val="0"/>
    <w:rPr>
      <w:sz w:val="21"/>
      <w:szCs w:val="21"/>
    </w:rPr>
  </w:style>
  <w:style w:type="paragraph" w:styleId="35">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6">
    <w:name w:val="表格文字"/>
    <w:basedOn w:val="37"/>
    <w:qFormat/>
    <w:uiPriority w:val="99"/>
    <w:pPr>
      <w:spacing w:before="25" w:after="25"/>
    </w:pPr>
    <w:rPr>
      <w:spacing w:val="10"/>
    </w:rPr>
  </w:style>
  <w:style w:type="paragraph" w:customStyle="1" w:styleId="37">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38">
    <w:name w:val="标题 2 字符"/>
    <w:link w:val="5"/>
    <w:qFormat/>
    <w:uiPriority w:val="0"/>
    <w:rPr>
      <w:rFonts w:ascii="宋体" w:hAnsi="宋体" w:eastAsia="宋体"/>
      <w:b/>
      <w:bCs/>
      <w:sz w:val="24"/>
      <w:lang w:val="en-US" w:eastAsia="zh-CN" w:bidi="ar-SA"/>
    </w:rPr>
  </w:style>
  <w:style w:type="character" w:customStyle="1" w:styleId="39">
    <w:name w:val="标题 1 字符"/>
    <w:link w:val="4"/>
    <w:qFormat/>
    <w:uiPriority w:val="9"/>
    <w:rPr>
      <w:rFonts w:ascii="宋体" w:hAnsi="宋体" w:eastAsia="黑体"/>
      <w:b/>
      <w:bCs/>
      <w:kern w:val="44"/>
      <w:sz w:val="28"/>
      <w:szCs w:val="44"/>
      <w:lang w:val="en-US" w:eastAsia="zh-CN" w:bidi="ar-SA"/>
    </w:rPr>
  </w:style>
  <w:style w:type="character" w:customStyle="1" w:styleId="40">
    <w:name w:val="普通(网站) 字符"/>
    <w:link w:val="23"/>
    <w:qFormat/>
    <w:uiPriority w:val="0"/>
    <w:rPr>
      <w:kern w:val="2"/>
      <w:sz w:val="24"/>
      <w:szCs w:val="24"/>
    </w:rPr>
  </w:style>
  <w:style w:type="character" w:customStyle="1" w:styleId="41">
    <w:name w:val="标题 4 字符"/>
    <w:link w:val="7"/>
    <w:qFormat/>
    <w:uiPriority w:val="9"/>
    <w:rPr>
      <w:rFonts w:ascii="Arial" w:hAnsi="Arial" w:eastAsia="黑体"/>
      <w:b/>
      <w:bCs/>
      <w:kern w:val="2"/>
      <w:sz w:val="28"/>
      <w:szCs w:val="28"/>
      <w:lang w:val="en-US" w:eastAsia="zh-CN" w:bidi="ar-SA"/>
    </w:rPr>
  </w:style>
  <w:style w:type="character" w:customStyle="1" w:styleId="42">
    <w:name w:val="标题 3 Char1"/>
    <w:qFormat/>
    <w:uiPriority w:val="9"/>
    <w:rPr>
      <w:rFonts w:ascii="宋体" w:hAnsi="宋体" w:eastAsia="宋体"/>
      <w:b/>
      <w:bCs/>
      <w:kern w:val="2"/>
      <w:sz w:val="28"/>
      <w:szCs w:val="32"/>
      <w:lang w:val="en-US" w:eastAsia="zh-CN" w:bidi="ar-SA"/>
    </w:rPr>
  </w:style>
  <w:style w:type="character" w:customStyle="1" w:styleId="43">
    <w:name w:val="批注框文本 字符"/>
    <w:basedOn w:val="29"/>
    <w:link w:val="17"/>
    <w:qFormat/>
    <w:uiPriority w:val="0"/>
    <w:rPr>
      <w:sz w:val="18"/>
      <w:szCs w:val="18"/>
    </w:rPr>
  </w:style>
  <w:style w:type="character" w:customStyle="1" w:styleId="44">
    <w:name w:val="页眉 字符"/>
    <w:basedOn w:val="29"/>
    <w:link w:val="20"/>
    <w:qFormat/>
    <w:uiPriority w:val="0"/>
    <w:rPr>
      <w:sz w:val="18"/>
      <w:szCs w:val="18"/>
    </w:rPr>
  </w:style>
  <w:style w:type="character" w:customStyle="1" w:styleId="45">
    <w:name w:val="页脚 字符"/>
    <w:basedOn w:val="29"/>
    <w:link w:val="18"/>
    <w:qFormat/>
    <w:uiPriority w:val="0"/>
    <w:rPr>
      <w:sz w:val="18"/>
      <w:szCs w:val="18"/>
    </w:rPr>
  </w:style>
  <w:style w:type="character" w:customStyle="1" w:styleId="46">
    <w:name w:val="批注文字 字符"/>
    <w:basedOn w:val="29"/>
    <w:link w:val="10"/>
    <w:qFormat/>
    <w:uiPriority w:val="0"/>
    <w:rPr>
      <w:sz w:val="24"/>
      <w:szCs w:val="24"/>
    </w:rPr>
  </w:style>
  <w:style w:type="character" w:customStyle="1" w:styleId="47">
    <w:name w:val="批注主题 字符"/>
    <w:basedOn w:val="46"/>
    <w:link w:val="25"/>
    <w:qFormat/>
    <w:uiPriority w:val="0"/>
    <w:rPr>
      <w:b/>
      <w:bCs/>
      <w:sz w:val="24"/>
      <w:szCs w:val="24"/>
    </w:rPr>
  </w:style>
  <w:style w:type="character" w:customStyle="1" w:styleId="48">
    <w:name w:val="纯文本 字符1"/>
    <w:basedOn w:val="29"/>
    <w:link w:val="16"/>
    <w:semiHidden/>
    <w:qFormat/>
    <w:uiPriority w:val="99"/>
    <w:rPr>
      <w:rFonts w:ascii="宋体" w:hAnsi="Courier New" w:eastAsia="宋体"/>
      <w:kern w:val="2"/>
      <w:sz w:val="21"/>
    </w:rPr>
  </w:style>
  <w:style w:type="paragraph" w:styleId="49">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50">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51">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52">
    <w:name w:val="NormalCharacter"/>
    <w:semiHidden/>
    <w:qFormat/>
    <w:uiPriority w:val="0"/>
    <w:rPr>
      <w:kern w:val="2"/>
      <w:sz w:val="21"/>
      <w:szCs w:val="24"/>
      <w:lang w:val="en-US" w:eastAsia="zh-CN" w:bidi="ar-SA"/>
    </w:rPr>
  </w:style>
  <w:style w:type="character" w:customStyle="1" w:styleId="53">
    <w:name w:val="标题 3 字符"/>
    <w:link w:val="6"/>
    <w:qFormat/>
    <w:uiPriority w:val="0"/>
    <w:rPr>
      <w:rFonts w:ascii="宋体" w:hAnsi="宋体" w:eastAsia="宋体"/>
      <w:b/>
      <w:kern w:val="2"/>
      <w:sz w:val="28"/>
    </w:rPr>
  </w:style>
  <w:style w:type="paragraph" w:customStyle="1" w:styleId="54">
    <w:name w:val="Default"/>
    <w:next w:val="12"/>
    <w:qFormat/>
    <w:uiPriority w:val="0"/>
    <w:pPr>
      <w:widowControl w:val="0"/>
    </w:pPr>
    <w:rPr>
      <w:rFonts w:ascii="Arial Narrow" w:hAnsi="Arial Narrow" w:eastAsia="宋体" w:cs="Arial Narrow"/>
      <w:color w:val="000000"/>
      <w:kern w:val="2"/>
      <w:sz w:val="24"/>
      <w:lang w:val="en-US" w:eastAsia="zh-CN" w:bidi="ar-SA"/>
    </w:rPr>
  </w:style>
  <w:style w:type="paragraph" w:customStyle="1" w:styleId="55">
    <w:name w:val="题注4"/>
    <w:basedOn w:val="1"/>
    <w:next w:val="9"/>
    <w:qFormat/>
    <w:uiPriority w:val="0"/>
    <w:pPr>
      <w:ind w:left="-132" w:leftChars="-64" w:right="-105" w:rightChars="-50" w:hanging="2"/>
      <w:jc w:val="center"/>
    </w:pPr>
    <w:rPr>
      <w:b/>
      <w:color w:val="FF0000"/>
      <w:szCs w:val="21"/>
      <w:lang w:val="en-GB"/>
    </w:rPr>
  </w:style>
  <w:style w:type="paragraph" w:customStyle="1" w:styleId="56">
    <w:name w:val="*正文"/>
    <w:basedOn w:val="1"/>
    <w:qFormat/>
    <w:uiPriority w:val="0"/>
    <w:pPr>
      <w:spacing w:line="360" w:lineRule="auto"/>
      <w:ind w:firstLine="200" w:firstLineChars="200"/>
    </w:pPr>
    <w:rPr>
      <w:rFonts w:ascii="仿宋_GB2312" w:hAnsi="Calibri"/>
      <w:szCs w:val="28"/>
      <w:lang w:val="zh-CN"/>
    </w:rPr>
  </w:style>
  <w:style w:type="paragraph" w:customStyle="1" w:styleId="57">
    <w:name w:val="二号标题"/>
    <w:basedOn w:val="1"/>
    <w:qFormat/>
    <w:uiPriority w:val="0"/>
    <w:pPr>
      <w:tabs>
        <w:tab w:val="left" w:pos="663"/>
      </w:tabs>
      <w:spacing w:before="200"/>
      <w:outlineLvl w:val="1"/>
    </w:pPr>
    <w:rPr>
      <w:rFonts w:eastAsia="黑体"/>
      <w:b/>
      <w:bCs/>
      <w:sz w:val="28"/>
      <w:szCs w:val="28"/>
    </w:rPr>
  </w:style>
  <w:style w:type="paragraph" w:customStyle="1" w:styleId="58">
    <w:name w:val="王越的表格"/>
    <w:basedOn w:val="1"/>
    <w:qFormat/>
    <w:uiPriority w:val="0"/>
    <w:pPr>
      <w:widowControl w:val="0"/>
    </w:pPr>
    <w:rPr>
      <w:kern w:val="2"/>
    </w:rPr>
  </w:style>
  <w:style w:type="character" w:customStyle="1" w:styleId="59">
    <w:name w:val="qxdate"/>
    <w:basedOn w:val="29"/>
    <w:qFormat/>
    <w:uiPriority w:val="0"/>
    <w:rPr>
      <w:color w:val="333333"/>
      <w:sz w:val="18"/>
      <w:szCs w:val="18"/>
    </w:rPr>
  </w:style>
  <w:style w:type="character" w:customStyle="1" w:styleId="60">
    <w:name w:val="cfdate"/>
    <w:basedOn w:val="29"/>
    <w:qFormat/>
    <w:uiPriority w:val="0"/>
    <w:rPr>
      <w:color w:val="333333"/>
      <w:sz w:val="18"/>
      <w:szCs w:val="18"/>
    </w:rPr>
  </w:style>
  <w:style w:type="character" w:customStyle="1" w:styleId="61">
    <w:name w:val="redfilefwwh"/>
    <w:basedOn w:val="29"/>
    <w:qFormat/>
    <w:uiPriority w:val="0"/>
    <w:rPr>
      <w:color w:val="BA2636"/>
      <w:sz w:val="18"/>
      <w:szCs w:val="18"/>
    </w:rPr>
  </w:style>
  <w:style w:type="character" w:customStyle="1" w:styleId="62">
    <w:name w:val="redfilenumber"/>
    <w:basedOn w:val="29"/>
    <w:qFormat/>
    <w:uiPriority w:val="0"/>
    <w:rPr>
      <w:color w:val="BA2636"/>
      <w:sz w:val="18"/>
      <w:szCs w:val="18"/>
    </w:rPr>
  </w:style>
  <w:style w:type="character" w:customStyle="1" w:styleId="63">
    <w:name w:val="gjfg"/>
    <w:basedOn w:val="29"/>
    <w:qFormat/>
    <w:uiPriority w:val="0"/>
  </w:style>
  <w:style w:type="character" w:customStyle="1" w:styleId="64">
    <w:name w:val="prev"/>
    <w:basedOn w:val="29"/>
    <w:qFormat/>
    <w:uiPriority w:val="0"/>
    <w:rPr>
      <w:rFonts w:ascii="微软雅黑" w:hAnsi="微软雅黑" w:eastAsia="微软雅黑" w:cs="微软雅黑"/>
      <w:sz w:val="21"/>
      <w:szCs w:val="21"/>
    </w:rPr>
  </w:style>
  <w:style w:type="character" w:customStyle="1" w:styleId="65">
    <w:name w:val="next"/>
    <w:basedOn w:val="29"/>
    <w:qFormat/>
    <w:uiPriority w:val="0"/>
    <w:rPr>
      <w:rFonts w:hint="eastAsia" w:ascii="微软雅黑" w:hAnsi="微软雅黑" w:eastAsia="微软雅黑" w:cs="微软雅黑"/>
      <w:sz w:val="21"/>
      <w:szCs w:val="21"/>
    </w:rPr>
  </w:style>
  <w:style w:type="character" w:customStyle="1" w:styleId="66">
    <w:name w:val="next1"/>
    <w:basedOn w:val="29"/>
    <w:qFormat/>
    <w:uiPriority w:val="0"/>
    <w:rPr>
      <w:color w:val="888888"/>
    </w:rPr>
  </w:style>
  <w:style w:type="character" w:customStyle="1" w:styleId="67">
    <w:name w:val="displayarti"/>
    <w:basedOn w:val="29"/>
    <w:qFormat/>
    <w:uiPriority w:val="0"/>
    <w:rPr>
      <w:color w:val="FFFFFF"/>
      <w:shd w:val="clear" w:color="auto" w:fill="A00000"/>
    </w:rPr>
  </w:style>
  <w:style w:type="character" w:customStyle="1" w:styleId="68">
    <w:name w:val="纯文本 字符"/>
    <w:qFormat/>
    <w:uiPriority w:val="0"/>
    <w:rPr>
      <w:rFonts w:ascii="宋体" w:hAnsi="Courier New" w:eastAsia="宋体"/>
      <w:kern w:val="2"/>
      <w:sz w:val="21"/>
      <w:lang w:val="en-US" w:eastAsia="zh-CN" w:bidi="ar-SA"/>
    </w:rPr>
  </w:style>
  <w:style w:type="paragraph" w:customStyle="1" w:styleId="69">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70">
    <w:name w:val="￥正文"/>
    <w:basedOn w:val="1"/>
    <w:qFormat/>
    <w:uiPriority w:val="0"/>
    <w:pPr>
      <w:tabs>
        <w:tab w:val="left" w:pos="426"/>
      </w:tabs>
      <w:ind w:firstLine="200" w:firstLineChars="200"/>
    </w:pPr>
    <w:rPr>
      <w:rFonts w:ascii="Calibri" w:hAnsi="Calibri"/>
      <w:kern w:val="2"/>
      <w:szCs w:val="20"/>
    </w:rPr>
  </w:style>
  <w:style w:type="paragraph" w:styleId="7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2">
    <w:name w:val="Table Text"/>
    <w:basedOn w:val="1"/>
    <w:semiHidden/>
    <w:qFormat/>
    <w:uiPriority w:val="0"/>
    <w:rPr>
      <w:rFonts w:ascii="微软雅黑" w:hAnsi="微软雅黑" w:eastAsia="微软雅黑" w:cs="微软雅黑"/>
      <w:lang w:eastAsia="en-US"/>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正文"/>
    <w:basedOn w:val="1"/>
    <w:qFormat/>
    <w:uiPriority w:val="0"/>
    <w:pPr>
      <w:spacing w:beforeLines="50"/>
      <w:ind w:firstLine="200" w:firstLineChars="200"/>
    </w:pPr>
    <w:rPr>
      <w:rFonts w:ascii="Calibri" w:hAnsi="Calibri" w:eastAsia="华文仿宋"/>
      <w:szCs w:val="22"/>
    </w:rPr>
  </w:style>
  <w:style w:type="paragraph" w:customStyle="1" w:styleId="7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6">
    <w:name w:val="Body Text Indent Char"/>
    <w:link w:val="77"/>
    <w:qFormat/>
    <w:uiPriority w:val="0"/>
    <w:rPr>
      <w:rFonts w:ascii="仿宋_GB2312" w:eastAsia="仿宋_GB2312"/>
      <w:sz w:val="32"/>
    </w:rPr>
  </w:style>
  <w:style w:type="paragraph" w:customStyle="1" w:styleId="77">
    <w:name w:val="正文文本缩进1"/>
    <w:basedOn w:val="1"/>
    <w:link w:val="76"/>
    <w:qFormat/>
    <w:uiPriority w:val="0"/>
    <w:pPr>
      <w:ind w:firstLine="830" w:firstLineChars="352"/>
    </w:pPr>
    <w:rPr>
      <w:rFonts w:ascii="仿宋_GB2312" w:eastAsia="仿宋_GB2312"/>
      <w:sz w:val="32"/>
    </w:rPr>
  </w:style>
  <w:style w:type="paragraph" w:customStyle="1" w:styleId="78">
    <w:name w:val="样式2"/>
    <w:basedOn w:val="5"/>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145</Words>
  <Characters>145</Characters>
  <Lines>103</Lines>
  <Paragraphs>29</Paragraphs>
  <TotalTime>1369</TotalTime>
  <ScaleCrop>false</ScaleCrop>
  <LinksUpToDate>false</LinksUpToDate>
  <CharactersWithSpaces>184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2026-01-15T01:41:00Z</cp:lastPrinted>
  <dcterms:modified xsi:type="dcterms:W3CDTF">2026-01-19T08:54:55Z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