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深圳市龙岗区城市管理和综合执法局2025年政府信息公开年度报告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本年报根据《中华人民共和国政府信息公开条例》要求编制，本报告所列数据统计期限为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年，我局严格按照《中华人民共和国政府信息公开条例》要求，紧紧围绕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龙岗</w:t>
      </w:r>
      <w:r>
        <w:rPr>
          <w:rFonts w:hint="default" w:ascii="仿宋_GB2312" w:hAnsi="仿宋_GB2312" w:eastAsia="仿宋_GB2312" w:cs="仿宋_GB2312"/>
          <w:sz w:val="32"/>
          <w:szCs w:val="32"/>
        </w:rPr>
        <w:t>区委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区政府中心工作，及时制定全年工作计划，深入宣传发动，加强沟通交流，主动接受社会各界的监督，以积极的态度和有力的措施，全面推动政府信息公开工作，取得了一定成效。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（一）加强组织领导。</w:t>
      </w:r>
      <w:r>
        <w:rPr>
          <w:rFonts w:hint="eastAsia" w:ascii="仿宋_GB2312" w:hAnsi="宋体" w:eastAsia="仿宋_GB2312"/>
          <w:sz w:val="32"/>
          <w:szCs w:val="32"/>
        </w:rPr>
        <w:t>我局高度重视政府信息公开工作，成立了以局长为组长，局分管领导为副组长的政府信息公开工作领导小组。信息公开工作由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分管领导指导</w:t>
      </w:r>
      <w:r>
        <w:rPr>
          <w:rFonts w:hint="eastAsia" w:ascii="仿宋_GB2312" w:hAnsi="宋体" w:eastAsia="仿宋_GB2312"/>
          <w:sz w:val="32"/>
          <w:szCs w:val="32"/>
        </w:rPr>
        <w:t>，局办公室负责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具体</w:t>
      </w:r>
      <w:r>
        <w:rPr>
          <w:rFonts w:hint="eastAsia" w:ascii="仿宋_GB2312" w:hAnsi="宋体" w:eastAsia="仿宋_GB2312"/>
          <w:sz w:val="32"/>
          <w:szCs w:val="32"/>
        </w:rPr>
        <w:t>处理，并由专人负责信息梳理和信息公开工作，形成一把手负总责、分管领导具体负责、办公室专人抓落实的良好工作格局，确保工作落实。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</w:t>
      </w:r>
      <w:r>
        <w:rPr>
          <w:rFonts w:hint="default" w:ascii="楷体_GB2312" w:hAnsi="宋体" w:eastAsia="楷体_GB2312"/>
          <w:sz w:val="32"/>
          <w:szCs w:val="32"/>
        </w:rPr>
        <w:t>二</w:t>
      </w:r>
      <w:r>
        <w:rPr>
          <w:rFonts w:hint="eastAsia" w:ascii="楷体_GB2312" w:hAnsi="宋体" w:eastAsia="楷体_GB2312"/>
          <w:sz w:val="32"/>
          <w:szCs w:val="32"/>
        </w:rPr>
        <w:t>）及时主动公开信息。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我局及时编制、发布政府信息公开指南和目录，对单位领导分工、机构职能、内设机构等组织机构信息和政务动态信息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（其中包括工作动态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35条、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通知公告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条、人事信息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业务知识库1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条、养犬服务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、年度工作总结以及所涉及的政策法规等内容都主动进行了公开。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现行有效件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18"/>
                <w:szCs w:val="18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186" w:tblpY="26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31"/>
        <w:gridCol w:w="690"/>
        <w:gridCol w:w="690"/>
        <w:gridCol w:w="690"/>
        <w:gridCol w:w="690"/>
        <w:gridCol w:w="690"/>
        <w:gridCol w:w="690"/>
        <w:gridCol w:w="6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9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48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53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 xml:space="preserve">  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</w:t>
            </w:r>
            <w:r>
              <w:rPr>
                <w:rFonts w:hint="default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</w:t>
            </w:r>
            <w:r>
              <w:rPr>
                <w:rFonts w:hint="default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宋体"/>
                <w:sz w:val="18"/>
                <w:szCs w:val="18"/>
                <w:lang w:eastAsia="zh-CN"/>
              </w:rPr>
              <w:t>4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6"/>
        <w:gridCol w:w="646"/>
        <w:gridCol w:w="646"/>
        <w:gridCol w:w="7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2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</w:rPr>
        <w:t>局</w:t>
      </w:r>
      <w:r>
        <w:rPr>
          <w:rFonts w:ascii="Times New Roman" w:hAnsi="Times New Roman" w:eastAsia="仿宋_GB2312"/>
          <w:sz w:val="32"/>
          <w:szCs w:val="32"/>
        </w:rPr>
        <w:t>虽在政府信息公开内容、程序、考核等方面取得了一定成效，但与市民群众日益增长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信息公开需求还存在一定的差距，主要表现在信息公开</w:t>
      </w:r>
      <w:r>
        <w:rPr>
          <w:rFonts w:hint="eastAsia" w:ascii="Times New Roman" w:hAnsi="Times New Roman" w:eastAsia="仿宋_GB2312"/>
          <w:sz w:val="32"/>
          <w:szCs w:val="32"/>
        </w:rPr>
        <w:t>宣传工作有待增强、</w:t>
      </w:r>
      <w:r>
        <w:rPr>
          <w:rFonts w:ascii="Times New Roman" w:hAnsi="Times New Roman" w:eastAsia="仿宋_GB2312"/>
          <w:sz w:val="32"/>
          <w:szCs w:val="32"/>
        </w:rPr>
        <w:t>相关配套措施有待进一步完善、信息公开内容有待进一步深化等。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对此，我局将从以下几个方面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改进：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提升政府信息公开业务能力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。正确处理好公开与保密、主动公开与依申请公开的关系，及时全面地对主动公开的政府信息进行披露，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加强政务公开办理的培训和学习，进一步提高干部职工对</w:t>
      </w:r>
      <w:r>
        <w:rPr>
          <w:rFonts w:hint="eastAsia" w:eastAsia="仿宋_GB2312"/>
          <w:sz w:val="32"/>
          <w:szCs w:val="32"/>
          <w:lang w:val="en-US" w:eastAsia="zh-CN"/>
        </w:rPr>
        <w:t>政府信息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公开申请办理、答复的规范性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完善工作环节，积极梳理公开信息，确保专人定期维护、更新，以方便公众能够阅读、查询。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加大宣传力度，全力营造公开氛围。多渠道、多形式向社会和广大群众深入宣传政府信息公开的重要意义，诠释解读好《中华人民共和国政府信息公开条例》，努力形成群众积极关心政府信息公开的社会氛围。进一步丰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提高政府信息公开的公众知晓率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及时受理市民群众关于城市管理工作的诉求及意见建议，做好服务保障工作。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本年度我局未产生政府信息公开信息处理费收取情况。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深圳市龙岗区城市管理和综合执法局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202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月9日</w:t>
      </w:r>
    </w:p>
    <w:sectPr>
      <w:footerReference r:id="rId5" w:type="first"/>
      <w:footerReference r:id="rId3" w:type="default"/>
      <w:footerReference r:id="rId4" w:type="even"/>
      <w:pgSz w:w="11906" w:h="16838"/>
      <w:pgMar w:top="2324" w:right="1474" w:bottom="1587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x5e1z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KVIP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F1B8F"/>
    <w:multiLevelType w:val="singleLevel"/>
    <w:tmpl w:val="3FCF1B8F"/>
    <w:lvl w:ilvl="0" w:tentative="0">
      <w:start w:val="1"/>
      <w:numFmt w:val="chineseCounting"/>
      <w:suff w:val="nothing"/>
      <w:lvlText w:val="（%1）"/>
      <w:lvlJc w:val="left"/>
      <w:pPr>
        <w:ind w:left="-20"/>
      </w:pPr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49CCD3FE"/>
    <w:multiLevelType w:val="singleLevel"/>
    <w:tmpl w:val="49CCD3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4777D"/>
    <w:rsid w:val="018701F1"/>
    <w:rsid w:val="01AD57EF"/>
    <w:rsid w:val="032453ED"/>
    <w:rsid w:val="033925F0"/>
    <w:rsid w:val="03AD534B"/>
    <w:rsid w:val="04557723"/>
    <w:rsid w:val="07515DA4"/>
    <w:rsid w:val="082D2B54"/>
    <w:rsid w:val="0BF2689B"/>
    <w:rsid w:val="15907CFB"/>
    <w:rsid w:val="16B5728E"/>
    <w:rsid w:val="175E219A"/>
    <w:rsid w:val="17FA4D41"/>
    <w:rsid w:val="19060F17"/>
    <w:rsid w:val="1B053E75"/>
    <w:rsid w:val="1FCC383C"/>
    <w:rsid w:val="204959CF"/>
    <w:rsid w:val="204E6975"/>
    <w:rsid w:val="20B4777D"/>
    <w:rsid w:val="2235630A"/>
    <w:rsid w:val="23C92208"/>
    <w:rsid w:val="243F887E"/>
    <w:rsid w:val="257B4D3B"/>
    <w:rsid w:val="277A3DEB"/>
    <w:rsid w:val="27CC4B64"/>
    <w:rsid w:val="2A062B83"/>
    <w:rsid w:val="2BE62F8A"/>
    <w:rsid w:val="2DD74E0C"/>
    <w:rsid w:val="2DFC5E04"/>
    <w:rsid w:val="30310796"/>
    <w:rsid w:val="38992648"/>
    <w:rsid w:val="38EA34B9"/>
    <w:rsid w:val="3DFF0E46"/>
    <w:rsid w:val="3F081253"/>
    <w:rsid w:val="43E9655D"/>
    <w:rsid w:val="451F5436"/>
    <w:rsid w:val="451F6FBE"/>
    <w:rsid w:val="45FF283B"/>
    <w:rsid w:val="47492934"/>
    <w:rsid w:val="49A16A8E"/>
    <w:rsid w:val="49E80EBF"/>
    <w:rsid w:val="4C8F03A0"/>
    <w:rsid w:val="4E3A234C"/>
    <w:rsid w:val="4FDE7D66"/>
    <w:rsid w:val="575D4CA7"/>
    <w:rsid w:val="57FE80E6"/>
    <w:rsid w:val="583168FE"/>
    <w:rsid w:val="5B660E98"/>
    <w:rsid w:val="5C7D250E"/>
    <w:rsid w:val="5EFF41FA"/>
    <w:rsid w:val="61E0566A"/>
    <w:rsid w:val="6303517F"/>
    <w:rsid w:val="67FE9AA5"/>
    <w:rsid w:val="6B7C0078"/>
    <w:rsid w:val="6E7F6310"/>
    <w:rsid w:val="6F625D58"/>
    <w:rsid w:val="6F7A9107"/>
    <w:rsid w:val="70C04767"/>
    <w:rsid w:val="73AFEC86"/>
    <w:rsid w:val="74217F02"/>
    <w:rsid w:val="75BC7DAC"/>
    <w:rsid w:val="75E456A2"/>
    <w:rsid w:val="76187A03"/>
    <w:rsid w:val="769644AC"/>
    <w:rsid w:val="776D483E"/>
    <w:rsid w:val="776FC6DE"/>
    <w:rsid w:val="77973EF7"/>
    <w:rsid w:val="77C016F6"/>
    <w:rsid w:val="7AFF1169"/>
    <w:rsid w:val="7BF5BACF"/>
    <w:rsid w:val="7DFFB6AA"/>
    <w:rsid w:val="7E335B22"/>
    <w:rsid w:val="7F2A6BC8"/>
    <w:rsid w:val="A2E88271"/>
    <w:rsid w:val="ABAFE007"/>
    <w:rsid w:val="ADFF2370"/>
    <w:rsid w:val="B75F0290"/>
    <w:rsid w:val="BBFD647E"/>
    <w:rsid w:val="C3689854"/>
    <w:rsid w:val="DA338C2C"/>
    <w:rsid w:val="DA4B6426"/>
    <w:rsid w:val="DD8DF984"/>
    <w:rsid w:val="DEFE2BB3"/>
    <w:rsid w:val="E93FE834"/>
    <w:rsid w:val="ECFD9294"/>
    <w:rsid w:val="EEBB9952"/>
    <w:rsid w:val="F5BDBB23"/>
    <w:rsid w:val="F7FA8F49"/>
    <w:rsid w:val="FAF7455E"/>
    <w:rsid w:val="FBAEA8B9"/>
    <w:rsid w:val="FBB38368"/>
    <w:rsid w:val="FDF96B0E"/>
    <w:rsid w:val="FDFF3CC7"/>
    <w:rsid w:val="FF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2451</Words>
  <Characters>2499</Characters>
  <Lines>0</Lines>
  <Paragraphs>0</Paragraphs>
  <TotalTime>16</TotalTime>
  <ScaleCrop>false</ScaleCrop>
  <LinksUpToDate>false</LinksUpToDate>
  <CharactersWithSpaces>2679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2021-12-27T11:01:00Z</dcterms:created>
  <dc:creator>谭阳洋</dc:creator>
  <cp:lastModifiedBy>夏兴</cp:lastModifiedBy>
  <dcterms:modified xsi:type="dcterms:W3CDTF">2026-01-20T11:26:31Z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F08D59D3FDCAA61F4EAB4369C4CCE35D</vt:lpwstr>
  </property>
</Properties>
</file>