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深圳市生态环境局龙岗管理局2025年政府信息公开工作年度报告</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i w:val="0"/>
          <w:caps w:val="0"/>
          <w:color w:val="333333"/>
          <w:spacing w:val="0"/>
          <w:kern w:val="0"/>
          <w:sz w:val="24"/>
          <w:szCs w:val="24"/>
          <w:shd w:val="clear" w:fill="FFFFFF"/>
          <w:lang w:val="en-US" w:eastAsia="zh-CN" w:bidi="ar"/>
        </w:rPr>
      </w:pP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根据《</w:t>
      </w:r>
      <w:r>
        <w:rPr>
          <w:rFonts w:hint="eastAsia" w:ascii="仿宋_GB2312" w:hAnsi="Dotum" w:eastAsia="仿宋_GB2312" w:cs="Times New Roman"/>
          <w:i w:val="0"/>
          <w:caps w:val="0"/>
          <w:color w:val="000000" w:themeColor="text1"/>
          <w:spacing w:val="0"/>
          <w:kern w:val="2"/>
          <w:sz w:val="32"/>
          <w:szCs w:val="32"/>
          <w:shd w:val="clear" w:fill="auto"/>
          <w:lang w:val="en-US" w:eastAsia="zh-CN" w:bidi="ar"/>
          <w14:textFill>
            <w14:solidFill>
              <w14:schemeClr w14:val="tx1"/>
            </w14:solidFill>
          </w14:textFill>
        </w:rPr>
        <w:t>中华人民共和国</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政府信息公开条例》(国务院令第711号）和《国务院办公厅政府信息与政务公开办公室关于政府信息公开工作年度报告有关事项的通知》（国办公开办函〔2019〕60号）要求，现公布深圳市生态环境局龙岗管理局2025年度政府信息公开工作年度报告。本报告由总体情况、主动公开政府信息情况、收到和处理政府信息公开申请情况、政府信息公开行政复议和行政诉讼情况、政府信息公开工作存在的主要问题及改进情况、其他需要报告的事项六部分内容组成。</w:t>
      </w:r>
      <w:r>
        <w:rPr>
          <w:rFonts w:hint="eastAsia" w:ascii="仿宋_GB2312" w:hAnsi="仿宋_GB2312" w:eastAsia="仿宋_GB2312" w:cs="仿宋_GB2312"/>
          <w:sz w:val="32"/>
          <w:szCs w:val="32"/>
          <w:lang w:eastAsia="zh-CN"/>
        </w:rPr>
        <w:t>本报告中所列数据的统计期限</w:t>
      </w:r>
      <w:r>
        <w:rPr>
          <w:rFonts w:hint="eastAsia" w:ascii="仿宋_GB2312" w:hAnsi="仿宋_GB2312" w:eastAsia="仿宋_GB2312" w:cs="仿宋_GB2312"/>
          <w:sz w:val="32"/>
          <w:szCs w:val="32"/>
        </w:rPr>
        <w:t>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2025年，我局坚持以习近平新时代中国特色社会主义思想为指导，深入贯彻党的二十大精神，严格遵循《中华人民共和国政府信息公开条例》及相关文件要求，扎实推进主动公开与依申请公开工作，推动全局政府信息公开水平稳步提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t>（一）持续深化政务主动公开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强化生态环境信息公开，做好生态环境专项规划、部门预决算、污染防治攻坚战信息、生态环境质量信息等全方位的主动公开。2025年，依托深圳市生态环境局、龙岗政府在线以及本单位网站等平台共发布信息1016条。通过网站平台积极与公众互动，</w:t>
      </w:r>
      <w:r>
        <w:rPr>
          <w:rFonts w:hint="eastAsia" w:ascii="仿宋_GB2312" w:hAnsi="仿宋_GB2312" w:eastAsia="仿宋_GB2312" w:cs="仿宋_GB2312"/>
          <w:i w:val="0"/>
          <w:iCs w:val="0"/>
          <w:caps w:val="0"/>
          <w:color w:val="040404"/>
          <w:spacing w:val="0"/>
          <w:kern w:val="0"/>
          <w:sz w:val="32"/>
          <w:szCs w:val="32"/>
          <w:shd w:val="clear" w:fill="FFFFFF"/>
          <w:lang w:bidi="ar"/>
        </w:rPr>
        <w:t>及时回应</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群众关注事项</w:t>
      </w:r>
      <w:r>
        <w:rPr>
          <w:rFonts w:hint="eastAsia" w:ascii="仿宋_GB2312" w:hAnsi="仿宋_GB2312" w:eastAsia="仿宋_GB2312" w:cs="仿宋_GB2312"/>
          <w:i w:val="0"/>
          <w:iCs w:val="0"/>
          <w:caps w:val="0"/>
          <w:color w:val="000000" w:themeColor="text1"/>
          <w:spacing w:val="0"/>
          <w:kern w:val="0"/>
          <w:sz w:val="32"/>
          <w:szCs w:val="32"/>
          <w:shd w:val="clear" w:fill="FFFFFF"/>
          <w:lang w:eastAsia="zh-CN" w:bidi="ar"/>
          <w14:textFill>
            <w14:solidFill>
              <w14:schemeClr w14:val="tx1"/>
            </w14:solidFill>
          </w14:textFill>
        </w:rPr>
        <w:t>，</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全年开展民意征集2期，在线访谈1期。围绕污染防治、营商环境等重点任务，在各级媒体平台发布报道85篇次，其中市级及以上媒体46篇次，涵盖中国环境报、凤凰网、中国商报、深圳特区报等平台。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按法定程序办理并公开行政审批信息。2025年我局共办理建设项目环境影响报告表审批3宗，建设项目环境影响报告表备案项目389宗，城市噪声敏感建筑集中区域内夜间连续施工作业审批1157宗，排污许可证核发327宗、排污许可证注销65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t>（二）依法做好依申请公开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依申请公开工作规范有序开展，建立健全的依申请公开受理、审查、答复等流程，明确各环节主体和办理时限。2025年我局收到政府信息公开申请主办8件（其中市生态环境局转主办件2件、我局自行受理6件），协办件20件，上年结转政府信息公开申请数量0件，全部依法依规按时办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t>（三）加强政府信息管理工作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一是‌</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规范信息发布机制</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严格执行“先审查、后公开”原则，落实保密审查与“三审三校”制度，确保信息内容合法、准确。</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二是</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‌压实主体责任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明确信息产生、审核、发布各环节责任主体，建立审查台账，实现全流程可追溯、风险可防控。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t>（四）继续完善政务公开平台建设</w:t>
      </w:r>
    </w:p>
    <w:p>
      <w:pPr>
        <w:pStyle w:val="7"/>
        <w:keepNext w:val="0"/>
        <w:keepLines w:val="0"/>
        <w:widowControl/>
        <w:suppressLineNumbers w:val="0"/>
        <w:spacing w:before="0" w:beforeAutospacing="0" w:after="0" w:afterAutospacing="0" w:line="560" w:lineRule="exact"/>
        <w:ind w:left="0" w:right="0" w:firstLine="420"/>
        <w:jc w:val="both"/>
        <w:rPr>
          <w:rFonts w:hint="default" w:ascii="仿宋_GB2312" w:hAnsi="仿宋_GB2312"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不断完善政府网站平台集约化建设，建立政府信息公开监管机制，加强对门户网站信息发布的审查。充分发挥政府网站平台作用，围绕强化政府网站信息发布、政策解读、便民服务等重点功能，着力提高政务公开集约化、信息化水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0"/>
          <w:sz w:val="32"/>
          <w:szCs w:val="32"/>
          <w:shd w:val="clear" w:fill="FFFFFF"/>
          <w:lang w:val="en-US" w:eastAsia="zh-CN" w:bidi="ar"/>
          <w14:textFill>
            <w14:solidFill>
              <w14:schemeClr w14:val="tx1"/>
            </w14:solidFill>
          </w14:textFill>
        </w:rPr>
        <w:t>（五）提升政务公开指导监督效能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一是指定专人负责政务公开工作，确保责任落实到位，及时依法公开。</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二是建立政务公开工作督办机制，高质量完成国家、省、市</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及区</w:t>
      </w:r>
      <w:r>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关于政务公开工作的各项工作任务。</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三是强化学习，组织人员积极参与政务公开培训，提升工作效能，确保本单位政务公开规范、有序、真实、实效，全面提高政务公开的质量。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74"/>
        <w:gridCol w:w="2374"/>
        <w:gridCol w:w="237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720" w:type="dxa"/>
            <w:gridSpan w:val="4"/>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信息内容</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kern w:val="0"/>
                <w:sz w:val="21"/>
                <w:szCs w:val="21"/>
                <w:lang w:val="en-US" w:eastAsia="zh-CN" w:bidi="ar"/>
              </w:rPr>
              <w:t>制发件数</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本年废止件数</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kern w:val="0"/>
                <w:sz w:val="21"/>
                <w:szCs w:val="21"/>
                <w:lang w:val="en-US" w:eastAsia="zh-CN"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规章</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0</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行政规范性文件</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0</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0</w:t>
            </w:r>
          </w:p>
        </w:tc>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9720" w:type="dxa"/>
            <w:gridSpan w:val="4"/>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信息内容</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行政许可</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9720" w:type="dxa"/>
            <w:gridSpan w:val="4"/>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信息内容</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行政处罚</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行政强制</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9720" w:type="dxa"/>
            <w:gridSpan w:val="4"/>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信息内容</w:t>
            </w:r>
          </w:p>
        </w:tc>
        <w:tc>
          <w:tcPr>
            <w:tcW w:w="7290" w:type="dxa"/>
            <w:gridSpan w:val="3"/>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exact"/>
          <w:jc w:val="center"/>
        </w:trPr>
        <w:tc>
          <w:tcPr>
            <w:tcW w:w="2430" w:type="dxa"/>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行政事业性收费</w:t>
            </w:r>
          </w:p>
        </w:tc>
        <w:tc>
          <w:tcPr>
            <w:tcW w:w="7290" w:type="dxa"/>
            <w:gridSpan w:val="3"/>
            <w:shd w:val="clear" w:color="auto" w:fill="auto"/>
            <w:tcMar>
              <w:left w:w="57" w:type="dxa"/>
              <w:right w:w="57" w:type="dxa"/>
            </w:tcMar>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31"/>
        <w:gridCol w:w="690"/>
        <w:gridCol w:w="690"/>
        <w:gridCol w:w="690"/>
        <w:gridCol w:w="690"/>
        <w:gridCol w:w="690"/>
        <w:gridCol w:w="690"/>
        <w:gridCol w:w="6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494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（本列数据的勾稽关系为：第一项加第二项之和，等于第三项加第四项之和）</w:t>
            </w:r>
          </w:p>
        </w:tc>
        <w:tc>
          <w:tcPr>
            <w:tcW w:w="480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240" w:lineRule="auto"/>
              <w:jc w:val="both"/>
              <w:rPr>
                <w:rFonts w:hint="eastAsia" w:ascii="宋体" w:hAnsi="宋体" w:eastAsia="宋体" w:cs="宋体"/>
                <w:sz w:val="21"/>
                <w:szCs w:val="21"/>
              </w:rPr>
            </w:pPr>
          </w:p>
        </w:tc>
        <w:tc>
          <w:tcPr>
            <w:tcW w:w="69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自然人</w:t>
            </w:r>
          </w:p>
        </w:tc>
        <w:tc>
          <w:tcPr>
            <w:tcW w:w="345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法人或其他组织</w:t>
            </w:r>
          </w:p>
        </w:tc>
        <w:tc>
          <w:tcPr>
            <w:tcW w:w="66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jc w:val="center"/>
        </w:trPr>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240" w:lineRule="auto"/>
              <w:jc w:val="both"/>
              <w:rPr>
                <w:rFonts w:hint="eastAsia" w:ascii="宋体" w:hAnsi="宋体" w:eastAsia="宋体" w:cs="宋体"/>
                <w:sz w:val="21"/>
                <w:szCs w:val="21"/>
              </w:rPr>
            </w:pPr>
          </w:p>
        </w:tc>
        <w:tc>
          <w:tcPr>
            <w:tcW w:w="69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spacing w:line="240" w:lineRule="auto"/>
              <w:jc w:val="center"/>
              <w:rPr>
                <w:rFonts w:hint="eastAsia" w:ascii="宋体" w:hAnsi="宋体" w:eastAsia="宋体" w:cs="宋体"/>
                <w:sz w:val="21"/>
                <w:szCs w:val="21"/>
              </w:rPr>
            </w:pP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企业</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社会公益组织</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法律服务机构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其他</w:t>
            </w:r>
          </w:p>
        </w:tc>
        <w:tc>
          <w:tcPr>
            <w:tcW w:w="66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spacing w:line="240" w:lineRule="auto"/>
              <w:jc w:val="center"/>
              <w:rPr>
                <w:rFonts w:hint="eastAsia" w:ascii="宋体" w:hAnsi="宋体" w:eastAsia="宋体" w:cs="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7"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一、本年新收政府信息公开申请数量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7"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二、上年结转政府信息公开申请数量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三、本年度办理结果</w:t>
            </w: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（一）予以公开</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（二）部分公开（区分处理的，只计这一情形，不计其他情形）</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2</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（三）不予公开</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1.属于国家秘密</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2.其他法律行政法规禁止公开</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3.危及“三安全一稳定”</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4.保护第三方合法权益</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5.属于三类内部事务信息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6.属于四类过程性信息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7.属于行政执法案卷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8.属于行政查询事项</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（四）无法提供</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1.本机关不掌握相关政府信息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2.没有现成信息需要另行制作</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3.补正后申请内容仍不明确</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（五）不予处理</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1.信访举报投诉类申请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2.重复申请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3.要求提供公开出版物</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4.无正当理由大量反复申请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5.要求行政机关确认或重新出具已获取信息</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（六）其他处理</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1.申请人无正当理由逾期不补正、行政机关不再处理其政府信息公开申请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2.申请人逾期未按收费通知要求缴纳费用、行政机关不再处理其政府信息公开申请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3.其他</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240" w:lineRule="auto"/>
              <w:jc w:val="both"/>
              <w:rPr>
                <w:rFonts w:hint="eastAsia" w:ascii="宋体" w:hAnsi="宋体" w:eastAsia="宋体" w:cs="宋体"/>
                <w:sz w:val="21"/>
                <w:szCs w:val="21"/>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（七）总计</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2"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szCs w:val="21"/>
              </w:rPr>
            </w:pPr>
            <w:r>
              <w:rPr>
                <w:rFonts w:hint="eastAsia" w:ascii="宋体" w:hAnsi="宋体" w:eastAsia="宋体" w:cs="宋体"/>
                <w:kern w:val="0"/>
                <w:sz w:val="21"/>
                <w:szCs w:val="21"/>
                <w:lang w:val="en-US" w:eastAsia="zh-CN" w:bidi="ar"/>
              </w:rPr>
              <w:t>四、结转下年度继续办理</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4"/>
        <w:gridCol w:w="644"/>
        <w:gridCol w:w="644"/>
        <w:gridCol w:w="644"/>
        <w:gridCol w:w="644"/>
        <w:gridCol w:w="644"/>
        <w:gridCol w:w="644"/>
        <w:gridCol w:w="645"/>
        <w:gridCol w:w="645"/>
        <w:gridCol w:w="645"/>
        <w:gridCol w:w="645"/>
        <w:gridCol w:w="646"/>
        <w:gridCol w:w="646"/>
        <w:gridCol w:w="646"/>
        <w:gridCol w:w="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32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jc w:val="center"/>
        </w:trPr>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结果维持</w:t>
            </w:r>
          </w:p>
        </w:tc>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纠正</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其他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结果</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尚未</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审结</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未经复议直接起诉</w:t>
            </w:r>
          </w:p>
        </w:tc>
        <w:tc>
          <w:tcPr>
            <w:tcW w:w="330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9" w:hRule="atLeast"/>
          <w:jc w:val="center"/>
        </w:trPr>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hint="eastAsia" w:ascii="宋体" w:hAnsi="宋体" w:eastAsia="宋体" w:cs="宋体"/>
                <w:sz w:val="21"/>
                <w:szCs w:val="21"/>
              </w:rPr>
            </w:pPr>
          </w:p>
        </w:tc>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hint="eastAsia" w:ascii="宋体" w:hAnsi="宋体" w:eastAsia="宋体" w:cs="宋体"/>
                <w:sz w:val="21"/>
                <w:szCs w:val="21"/>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hint="eastAsia" w:ascii="宋体" w:hAnsi="宋体" w:eastAsia="宋体" w:cs="宋体"/>
                <w:sz w:val="21"/>
                <w:szCs w:val="21"/>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hint="eastAsia" w:ascii="宋体" w:hAnsi="宋体" w:eastAsia="宋体" w:cs="宋体"/>
                <w:sz w:val="21"/>
                <w:szCs w:val="21"/>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hint="eastAsia" w:ascii="宋体" w:hAnsi="宋体" w:eastAsia="宋体" w:cs="宋体"/>
                <w:sz w:val="21"/>
                <w:szCs w:val="21"/>
              </w:rPr>
            </w:pP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维持</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纠正</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其他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结果</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尚未</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审结</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总计</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维持</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结果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纠正</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结果</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尚未</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审结</w:t>
            </w:r>
          </w:p>
        </w:tc>
        <w:tc>
          <w:tcPr>
            <w:tcW w:w="7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1</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Cs w:val="21"/>
              </w:rPr>
            </w:pPr>
            <w:r>
              <w:rPr>
                <w:rFonts w:hint="eastAsia" w:ascii="宋体" w:hAnsi="宋体" w:eastAsia="宋体" w:cs="宋体"/>
                <w:kern w:val="0"/>
                <w:sz w:val="21"/>
                <w:szCs w:val="21"/>
                <w:lang w:val="en-US" w:eastAsia="zh-CN" w:bidi="ar"/>
              </w:rPr>
              <w:t>0</w:t>
            </w:r>
          </w:p>
        </w:tc>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2025年，我局政府信息公开工作取得积极进展，但与社会期待仍有差距：一是信息公开范围、内容和形式需进一步拓展；二是政策解读方式不够丰富，效果有待提升。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2026年，我局将严格遵循《中华人民共和国政府信息公开条例》要求，切实履行政府信息公开职责，一是坚持“以公开为常态、不公开为例外”原则‌，贯彻公正、公平、合法、便民理念，持续深化政府信息公开工作，全面提升公开质效与服务水平。二是深化主动公开内容建设‌，创新信息公开载体形式，拓宽公众参与互动渠道，强化信息公开平台功能优化与运维保障，推动政府信息更广泛、更高效地服务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我局严格按照《国务院办公厅关于印发〈政府信息公开信息处理费管理办法〉的通知》（国办函〔2020〕109 号）规定的按件、按量收费标准，本年度未产生信息处理费。</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otum">
    <w:altName w:val="方正书宋_GBK"/>
    <w:panose1 w:val="020B0600000101010101"/>
    <w:charset w:val="81"/>
    <w:family w:val="swiss"/>
    <w:pitch w:val="default"/>
    <w:sig w:usb0="00000000" w:usb1="00000000" w:usb2="00000030" w:usb3="00000000" w:csb0="4008009F" w:csb1="DFD70000"/>
  </w:font>
  <w:font w:name="华文细黑">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NWRjMTUzNjk0NDYzYzNlMGFhYjY2NzU3ODQwMmYifQ=="/>
  </w:docVars>
  <w:rsids>
    <w:rsidRoot w:val="37F7EDE9"/>
    <w:rsid w:val="17BB10CC"/>
    <w:rsid w:val="1C6F008D"/>
    <w:rsid w:val="1FB97503"/>
    <w:rsid w:val="27DF4D17"/>
    <w:rsid w:val="27FE612F"/>
    <w:rsid w:val="2D2F4113"/>
    <w:rsid w:val="2D637F4A"/>
    <w:rsid w:val="2EB47605"/>
    <w:rsid w:val="32632A06"/>
    <w:rsid w:val="37F7EDE9"/>
    <w:rsid w:val="3CAC498E"/>
    <w:rsid w:val="3F5FC13F"/>
    <w:rsid w:val="41061AAE"/>
    <w:rsid w:val="43B95CEA"/>
    <w:rsid w:val="4EFF2652"/>
    <w:rsid w:val="4FBA24A4"/>
    <w:rsid w:val="57DB8519"/>
    <w:rsid w:val="58951DE3"/>
    <w:rsid w:val="5F7CC557"/>
    <w:rsid w:val="5FF9E223"/>
    <w:rsid w:val="62D71C18"/>
    <w:rsid w:val="64CD26B5"/>
    <w:rsid w:val="677BA9B6"/>
    <w:rsid w:val="6CDD896B"/>
    <w:rsid w:val="6D6FA898"/>
    <w:rsid w:val="748131B6"/>
    <w:rsid w:val="75EEAD2B"/>
    <w:rsid w:val="77BFD7DA"/>
    <w:rsid w:val="77F78889"/>
    <w:rsid w:val="7DE4EBCD"/>
    <w:rsid w:val="7E6E0D97"/>
    <w:rsid w:val="7F751F19"/>
    <w:rsid w:val="7FBDBDA1"/>
    <w:rsid w:val="7FDBE6EE"/>
    <w:rsid w:val="7FEE4832"/>
    <w:rsid w:val="7FFD0153"/>
    <w:rsid w:val="B6BFB63D"/>
    <w:rsid w:val="C77E7ABA"/>
    <w:rsid w:val="CD09E708"/>
    <w:rsid w:val="DB6580EB"/>
    <w:rsid w:val="DBFB4FD1"/>
    <w:rsid w:val="DFFF7B16"/>
    <w:rsid w:val="E77F572E"/>
    <w:rsid w:val="E7A71D41"/>
    <w:rsid w:val="E7FC66A2"/>
    <w:rsid w:val="EFCEAA34"/>
    <w:rsid w:val="F77F7BCF"/>
    <w:rsid w:val="F7BF34B1"/>
    <w:rsid w:val="FAF5417F"/>
    <w:rsid w:val="FBFF3E8B"/>
    <w:rsid w:val="FEFFFFBF"/>
    <w:rsid w:val="FFB3A3AE"/>
    <w:rsid w:val="FFFDB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4">
    <w:name w:val="Normal Indent"/>
    <w:basedOn w:val="1"/>
    <w:unhideWhenUsed/>
    <w:qFormat/>
    <w:uiPriority w:val="99"/>
    <w:pPr>
      <w:ind w:firstLine="42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vertAlign w:val="baseli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3333"/>
      <w:u w:val="none"/>
      <w:vertAlign w:val="baseli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customStyle="1" w:styleId="18">
    <w:name w:val="nth-of-type(1)"/>
    <w:basedOn w:val="9"/>
    <w:qFormat/>
    <w:uiPriority w:val="0"/>
  </w:style>
  <w:style w:type="character" w:customStyle="1" w:styleId="19">
    <w:name w:val="widthsp"/>
    <w:basedOn w:val="9"/>
    <w:qFormat/>
    <w:uiPriority w:val="0"/>
  </w:style>
  <w:style w:type="character" w:customStyle="1" w:styleId="20">
    <w:name w:val="nth-of-type(2)"/>
    <w:basedOn w:val="9"/>
    <w:qFormat/>
    <w:uiPriority w:val="0"/>
  </w:style>
  <w:style w:type="character" w:customStyle="1" w:styleId="21">
    <w:name w:val="nth-of-type(3)"/>
    <w:basedOn w:val="9"/>
    <w:qFormat/>
    <w:uiPriority w:val="0"/>
  </w:style>
  <w:style w:type="character" w:customStyle="1" w:styleId="22">
    <w:name w:val="timebox"/>
    <w:basedOn w:val="9"/>
    <w:qFormat/>
    <w:uiPriority w:val="0"/>
  </w:style>
  <w:style w:type="character" w:customStyle="1" w:styleId="23">
    <w:name w:val="timebox1"/>
    <w:basedOn w:val="9"/>
    <w:qFormat/>
    <w:uiPriority w:val="0"/>
    <w:rPr>
      <w:color w:val="999999"/>
      <w:sz w:val="16"/>
      <w:szCs w:val="16"/>
    </w:rPr>
  </w:style>
  <w:style w:type="character" w:customStyle="1" w:styleId="24">
    <w:name w:val="nth-child(4)"/>
    <w:basedOn w:val="9"/>
    <w:qFormat/>
    <w:uiPriority w:val="0"/>
    <w:rPr>
      <w:color w:val="317DC6"/>
    </w:rPr>
  </w:style>
  <w:style w:type="character" w:customStyle="1" w:styleId="25">
    <w:name w:val="f-fl2"/>
    <w:basedOn w:val="9"/>
    <w:qFormat/>
    <w:uiPriority w:val="0"/>
  </w:style>
  <w:style w:type="character" w:customStyle="1" w:styleId="26">
    <w:name w:val="f-fl3"/>
    <w:basedOn w:val="9"/>
    <w:qFormat/>
    <w:uiPriority w:val="0"/>
    <w:rPr>
      <w:color w:val="FFFFFF"/>
      <w:sz w:val="19"/>
      <w:szCs w:val="19"/>
      <w:shd w:val="clear" w:fill="63D267"/>
    </w:rPr>
  </w:style>
  <w:style w:type="character" w:customStyle="1" w:styleId="27">
    <w:name w:val="nth-child(1)"/>
    <w:basedOn w:val="9"/>
    <w:qFormat/>
    <w:uiPriority w:val="0"/>
  </w:style>
  <w:style w:type="character" w:customStyle="1" w:styleId="28">
    <w:name w:val="f-fr2"/>
    <w:basedOn w:val="9"/>
    <w:qFormat/>
    <w:uiPriority w:val="0"/>
  </w:style>
  <w:style w:type="character" w:customStyle="1" w:styleId="29">
    <w:name w:val="liston"/>
    <w:basedOn w:val="9"/>
    <w:qFormat/>
    <w:uiPriority w:val="0"/>
    <w:rPr>
      <w:color w:val="4285F4"/>
      <w:sz w:val="13"/>
      <w:szCs w:val="13"/>
      <w:bdr w:val="single" w:color="4285F4" w:sz="4" w:space="0"/>
    </w:rPr>
  </w:style>
  <w:style w:type="character" w:customStyle="1" w:styleId="30">
    <w:name w:val="nth-child(2)"/>
    <w:basedOn w:val="9"/>
    <w:qFormat/>
    <w:uiPriority w:val="0"/>
  </w:style>
  <w:style w:type="character" w:customStyle="1" w:styleId="31">
    <w:name w:val="nth-child(3)"/>
    <w:basedOn w:val="9"/>
    <w:qFormat/>
    <w:uiPriority w:val="0"/>
    <w:rPr>
      <w:color w:val="999999"/>
    </w:rPr>
  </w:style>
  <w:style w:type="character" w:customStyle="1" w:styleId="32">
    <w:name w:val="f-fr"/>
    <w:basedOn w:val="9"/>
    <w:qFormat/>
    <w:uiPriority w:val="0"/>
  </w:style>
  <w:style w:type="character" w:customStyle="1" w:styleId="33">
    <w:name w:val="active"/>
    <w:basedOn w:val="9"/>
    <w:qFormat/>
    <w:uiPriority w:val="0"/>
    <w:rPr>
      <w:color w:val="333333"/>
    </w:rPr>
  </w:style>
  <w:style w:type="character" w:customStyle="1" w:styleId="34">
    <w:name w:val="calendar-head__year-range"/>
    <w:basedOn w:val="9"/>
    <w:qFormat/>
    <w:uiPriority w:val="0"/>
    <w:rPr>
      <w:vanish/>
    </w:rPr>
  </w:style>
  <w:style w:type="character" w:customStyle="1" w:styleId="35">
    <w:name w:val="calendar-head__prev-range-btn"/>
    <w:basedOn w:val="9"/>
    <w:qFormat/>
    <w:uiPriority w:val="0"/>
    <w:rPr>
      <w:vanish/>
    </w:rPr>
  </w:style>
  <w:style w:type="character" w:customStyle="1" w:styleId="36">
    <w:name w:val="calendar-head__text-display"/>
    <w:basedOn w:val="9"/>
    <w:qFormat/>
    <w:uiPriority w:val="0"/>
    <w:rPr>
      <w:vanish/>
    </w:rPr>
  </w:style>
  <w:style w:type="character" w:customStyle="1" w:styleId="37">
    <w:name w:val="calendar-head__next-month-btn"/>
    <w:basedOn w:val="9"/>
    <w:qFormat/>
    <w:uiPriority w:val="0"/>
  </w:style>
  <w:style w:type="character" w:customStyle="1" w:styleId="38">
    <w:name w:val="hover"/>
    <w:basedOn w:val="9"/>
    <w:qFormat/>
    <w:uiPriority w:val="0"/>
    <w:rPr>
      <w:color w:val="2F6EA2"/>
    </w:rPr>
  </w:style>
  <w:style w:type="character" w:customStyle="1" w:styleId="39">
    <w:name w:val="calendar-head__next-range-btn"/>
    <w:basedOn w:val="9"/>
    <w:qFormat/>
    <w:uiPriority w:val="0"/>
    <w:rPr>
      <w:vanish/>
    </w:rPr>
  </w:style>
  <w:style w:type="character" w:customStyle="1" w:styleId="40">
    <w:name w:val="calendar-head__next-year-btn"/>
    <w:basedOn w:val="9"/>
    <w:qFormat/>
    <w:uiPriority w:val="0"/>
  </w:style>
  <w:style w:type="character" w:customStyle="1" w:styleId="41">
    <w:name w:val="cur3"/>
    <w:basedOn w:val="9"/>
    <w:qFormat/>
    <w:uiPriority w:val="0"/>
    <w:rPr>
      <w:shd w:val="clear" w:fill="843046"/>
    </w:rPr>
  </w:style>
  <w:style w:type="character" w:customStyle="1" w:styleId="42">
    <w:name w:val="cur4"/>
    <w:basedOn w:val="9"/>
    <w:qFormat/>
    <w:uiPriority w:val="0"/>
    <w:rPr>
      <w:shd w:val="clear" w:fill="0062B1"/>
    </w:rPr>
  </w:style>
  <w:style w:type="character" w:customStyle="1" w:styleId="43">
    <w:name w:val="cur5"/>
    <w:basedOn w:val="9"/>
    <w:qFormat/>
    <w:uiPriority w:val="0"/>
    <w:rPr>
      <w:color w:val="FFFFFF"/>
    </w:rPr>
  </w:style>
  <w:style w:type="character" w:customStyle="1" w:styleId="44">
    <w:name w:val="cur6"/>
    <w:basedOn w:val="9"/>
    <w:qFormat/>
    <w:uiPriority w:val="0"/>
    <w:rPr>
      <w:color w:val="FFFFFF"/>
    </w:rPr>
  </w:style>
  <w:style w:type="character" w:customStyle="1" w:styleId="45">
    <w:name w:val="cur7"/>
    <w:basedOn w:val="9"/>
    <w:qFormat/>
    <w:uiPriority w:val="0"/>
    <w:rPr>
      <w:shd w:val="clear" w:fill="0062B1"/>
    </w:rPr>
  </w:style>
  <w:style w:type="character" w:customStyle="1" w:styleId="46">
    <w:name w:val="hover2"/>
    <w:basedOn w:val="9"/>
    <w:qFormat/>
    <w:uiPriority w:val="0"/>
    <w:rPr>
      <w:color w:val="0062B1"/>
    </w:rPr>
  </w:style>
  <w:style w:type="character" w:customStyle="1" w:styleId="47">
    <w:name w:val="hover3"/>
    <w:basedOn w:val="9"/>
    <w:qFormat/>
    <w:uiPriority w:val="0"/>
    <w:rPr>
      <w:color w:val="0062B1"/>
    </w:rPr>
  </w:style>
  <w:style w:type="character" w:customStyle="1" w:styleId="48">
    <w:name w:val="letter"/>
    <w:basedOn w:val="9"/>
    <w:qFormat/>
    <w:uiPriority w:val="0"/>
    <w:rPr>
      <w:spacing w:val="-15"/>
    </w:rPr>
  </w:style>
  <w:style w:type="character" w:customStyle="1" w:styleId="49">
    <w:name w:val="left"/>
    <w:basedOn w:val="9"/>
    <w:qFormat/>
    <w:uiPriority w:val="0"/>
  </w:style>
  <w:style w:type="character" w:customStyle="1" w:styleId="50">
    <w:name w:val="right"/>
    <w:basedOn w:val="9"/>
    <w:qFormat/>
    <w:uiPriority w:val="0"/>
  </w:style>
  <w:style w:type="character" w:customStyle="1" w:styleId="51">
    <w:name w:val="right1"/>
    <w:basedOn w:val="9"/>
    <w:qFormat/>
    <w:uiPriority w:val="0"/>
  </w:style>
  <w:style w:type="character" w:customStyle="1" w:styleId="52">
    <w:name w:val="br"/>
    <w:basedOn w:val="9"/>
    <w:qFormat/>
    <w:uiPriority w:val="0"/>
  </w:style>
  <w:style w:type="character" w:customStyle="1" w:styleId="53">
    <w:name w:val="first-child4"/>
    <w:basedOn w:val="9"/>
    <w:qFormat/>
    <w:uiPriority w:val="0"/>
  </w:style>
  <w:style w:type="character" w:customStyle="1" w:styleId="54">
    <w:name w:val="tit14"/>
    <w:basedOn w:val="9"/>
    <w:qFormat/>
    <w:uiPriority w:val="0"/>
    <w:rPr>
      <w:b/>
      <w:bCs/>
    </w:rPr>
  </w:style>
  <w:style w:type="character" w:customStyle="1" w:styleId="55">
    <w:name w:val="hover34"/>
    <w:basedOn w:val="9"/>
    <w:qFormat/>
    <w:uiPriority w:val="0"/>
    <w:rPr>
      <w:color w:val="0062B1"/>
    </w:rPr>
  </w:style>
  <w:style w:type="character" w:customStyle="1" w:styleId="56">
    <w:name w:val="hover35"/>
    <w:basedOn w:val="9"/>
    <w:qFormat/>
    <w:uiPriority w:val="0"/>
    <w:rPr>
      <w:color w:val="0062B1"/>
    </w:rPr>
  </w:style>
  <w:style w:type="character" w:customStyle="1" w:styleId="57">
    <w:name w:val="tit"/>
    <w:basedOn w:val="9"/>
    <w:qFormat/>
    <w:uiPriority w:val="0"/>
    <w:rPr>
      <w:b/>
      <w:bCs/>
    </w:rPr>
  </w:style>
  <w:style w:type="character" w:customStyle="1" w:styleId="58">
    <w:name w:val="cur"/>
    <w:basedOn w:val="9"/>
    <w:qFormat/>
    <w:uiPriority w:val="0"/>
    <w:rPr>
      <w:color w:val="FFFFFF"/>
    </w:rPr>
  </w:style>
  <w:style w:type="character" w:customStyle="1" w:styleId="59">
    <w:name w:val="cur1"/>
    <w:basedOn w:val="9"/>
    <w:qFormat/>
    <w:uiPriority w:val="0"/>
    <w:rPr>
      <w:shd w:val="clear" w:fill="843046"/>
    </w:rPr>
  </w:style>
  <w:style w:type="character" w:customStyle="1" w:styleId="60">
    <w:name w:val="cur2"/>
    <w:basedOn w:val="9"/>
    <w:qFormat/>
    <w:uiPriority w:val="0"/>
    <w:rPr>
      <w:shd w:val="clear" w:fill="0062B1"/>
    </w:rPr>
  </w:style>
  <w:style w:type="character" w:customStyle="1" w:styleId="61">
    <w:name w:val="cur8"/>
    <w:basedOn w:val="9"/>
    <w:qFormat/>
    <w:uiPriority w:val="0"/>
    <w:rPr>
      <w:color w:val="FFFFFF"/>
    </w:rPr>
  </w:style>
  <w:style w:type="character" w:customStyle="1" w:styleId="62">
    <w:name w:val="cur9"/>
    <w:basedOn w:val="9"/>
    <w:qFormat/>
    <w:uiPriority w:val="0"/>
    <w:rPr>
      <w:shd w:val="clear" w:fill="0062B1"/>
    </w:rPr>
  </w:style>
  <w:style w:type="character" w:customStyle="1" w:styleId="63">
    <w:name w:val="hover36"/>
    <w:basedOn w:val="9"/>
    <w:qFormat/>
    <w:uiPriority w:val="0"/>
    <w:rPr>
      <w:color w:val="0062B1"/>
    </w:rPr>
  </w:style>
  <w:style w:type="character" w:customStyle="1" w:styleId="64">
    <w:name w:val="hover37"/>
    <w:basedOn w:val="9"/>
    <w:qFormat/>
    <w:uiPriority w:val="0"/>
    <w:rPr>
      <w:color w:val="0062B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2023-01-15T01:21:00Z</dcterms:created>
  <dc:creator>stlgj</dc:creator>
  <cp:lastModifiedBy>stlgg</cp:lastModifiedBy>
  <dcterms:modified xsi:type="dcterms:W3CDTF">2026-01-13T15:00:12Z</dcterms:modified>
  <dc:title>关于审定《深圳市生态环境局龙岗管理局2023年政府信息公开工作年度报告》的请示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EB0A3161B9DBA285B95E5F697135D962</vt:lpwstr>
  </property>
</Properties>
</file>