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城投集团智慧家园4台扶手梯维修和3台电梯钢丝绳更换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维修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报价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5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78"/>
        <w:gridCol w:w="1181"/>
        <w:gridCol w:w="1667"/>
        <w:gridCol w:w="1366"/>
        <w:gridCol w:w="1239"/>
        <w:gridCol w:w="133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项目描述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金额（元）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梳齿板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断裂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1栋A座楼康力扶梯（设备尾号：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0311/0312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上机舱大散热风扇损坏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损坏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AB项光电开关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损坏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扶手带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开裂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4条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扶梯桁架除锈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除锈机粉刷防锈漆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梳齿板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断裂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4块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2栋B座楼蒂森扶梯（设备尾号：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6112/6113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蒂森扶梯传感器损坏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损坏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蒂森扶梯梯级传感器缺失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损坏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相序继电器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损坏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扶手带导轨上弯位磨损</w:t>
            </w:r>
          </w:p>
        </w:tc>
        <w:tc>
          <w:tcPr>
            <w:tcW w:w="166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磨损有异响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4个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扶手带导轨直行段磨损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磨损有异响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24米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钢丝绳（原品牌：高盛，规格13mm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，每条长345米，每台梯4条）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生锈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4140米（每条长345米，每台梯4条，共12条）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3栋A座楼（梯号1/5/6）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安全措施：防护措施，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搭建检修平台、加注润滑油、线路整理、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辅助工具、辅材、清洁现场等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安装调试费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color w:val="00B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管理费、利润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color w:val="00B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税前合计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税收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税率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9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注：1、所更换材料质保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2、付款方式：维修完成后，经现场调试查验合格，支付至合同金额的70%；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一年后，对本项目进行履约评价，评价结果合格的，支付至合同金额的95%；剩余5%为质量保证金，在质保期满后支付。</w:t>
            </w:r>
          </w:p>
          <w:p>
            <w:pPr>
              <w:spacing w:line="360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3、工期约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天（非我司原因或天气等原因时间顺延）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4、更换的机械活动部件品质等同或高于原配件。</w:t>
            </w:r>
          </w:p>
        </w:tc>
      </w:tr>
    </w:tbl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57455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16EE69AE"/>
    <w:rsid w:val="18672979"/>
    <w:rsid w:val="18B92B11"/>
    <w:rsid w:val="1E586A50"/>
    <w:rsid w:val="22E36FD7"/>
    <w:rsid w:val="29D63B87"/>
    <w:rsid w:val="31E21762"/>
    <w:rsid w:val="472B159D"/>
    <w:rsid w:val="54C03EE9"/>
    <w:rsid w:val="5FF3320D"/>
    <w:rsid w:val="66B20AF6"/>
    <w:rsid w:val="6B2E3BA7"/>
    <w:rsid w:val="7B3A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1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1086</Characters>
  <Lines>12</Lines>
  <Paragraphs>3</Paragraphs>
  <TotalTime>1</TotalTime>
  <ScaleCrop>false</ScaleCrop>
  <LinksUpToDate>false</LinksUpToDate>
  <CharactersWithSpaces>1140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卢明星</cp:lastModifiedBy>
  <cp:lastPrinted>2022-07-14T12:40:00Z</cp:lastPrinted>
  <dcterms:modified xsi:type="dcterms:W3CDTF">2025-12-23T01:27:18Z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7DA90741D6584ACE9674696C2F7F7203</vt:lpwstr>
  </property>
  <property fmtid="{D5CDD505-2E9C-101B-9397-08002B2CF9AE}" pid="4" name="KSOTemplateDocerSaveRecord">
    <vt:lpwstr>eyJoZGlkIjoiYzE1ZjNkMzNlNWMxOGFkOTcxOGNjMmQ4MjFiNDUyMjMiLCJ1c2VySWQiOiIzNzg1NjY5MzgifQ==</vt:lpwstr>
  </property>
</Properties>
</file>