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bookmarkStart w:id="0" w:name="_GoBack"/>
      <w:bookmarkEnd w:id="0"/>
      <w:r>
        <w:rPr>
          <w:rFonts w:hint="eastAsia"/>
        </w:rPr>
        <w:t>五座巡逻车技术要求</w:t>
      </w:r>
    </w:p>
    <w:tbl>
      <w:tblPr>
        <w:tblStyle w:val="6"/>
        <w:tblW w:w="9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3453"/>
        <w:gridCol w:w="5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vAlign w:val="center"/>
          </w:tcPr>
          <w:p>
            <w:r>
              <w:rPr>
                <w:rFonts w:hint="eastAsia"/>
              </w:rPr>
              <w:t>序号</w:t>
            </w:r>
          </w:p>
        </w:tc>
        <w:tc>
          <w:tcPr>
            <w:tcW w:w="3453" w:type="dxa"/>
            <w:vAlign w:val="center"/>
          </w:tcPr>
          <w:p>
            <w:r>
              <w:rPr>
                <w:rFonts w:hint="eastAsia"/>
              </w:rPr>
              <w:t>项目</w:t>
            </w:r>
          </w:p>
        </w:tc>
        <w:tc>
          <w:tcPr>
            <w:tcW w:w="5138" w:type="dxa"/>
            <w:vAlign w:val="center"/>
          </w:tcPr>
          <w:p>
            <w:r>
              <w:rPr>
                <w:rFonts w:hint="eastAsia"/>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vAlign w:val="center"/>
          </w:tcPr>
          <w:p>
            <w:pPr>
              <w:pStyle w:val="12"/>
              <w:numPr>
                <w:ilvl w:val="0"/>
                <w:numId w:val="1"/>
              </w:numPr>
              <w:ind w:firstLineChars="0"/>
            </w:pPr>
          </w:p>
        </w:tc>
        <w:tc>
          <w:tcPr>
            <w:tcW w:w="3453" w:type="dxa"/>
            <w:vAlign w:val="center"/>
          </w:tcPr>
          <w:p>
            <w:r>
              <w:rPr>
                <w:rFonts w:hint="eastAsia"/>
              </w:rPr>
              <w:t>额定乘员（包括司机）</w:t>
            </w:r>
          </w:p>
        </w:tc>
        <w:tc>
          <w:tcPr>
            <w:tcW w:w="5138" w:type="dxa"/>
            <w:vAlign w:val="center"/>
          </w:tcPr>
          <w:p>
            <w:r>
              <w:t>5</w:t>
            </w:r>
            <w:r>
              <w:rPr>
                <w:rFonts w:hint="eastAsia"/>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vAlign w:val="center"/>
          </w:tcPr>
          <w:p>
            <w:pPr>
              <w:pStyle w:val="12"/>
              <w:numPr>
                <w:ilvl w:val="0"/>
                <w:numId w:val="1"/>
              </w:numPr>
              <w:ind w:firstLineChars="0"/>
            </w:pPr>
          </w:p>
        </w:tc>
        <w:tc>
          <w:tcPr>
            <w:tcW w:w="3453" w:type="dxa"/>
            <w:vAlign w:val="center"/>
          </w:tcPr>
          <w:p>
            <w:r>
              <w:rPr>
                <w:rFonts w:hint="eastAsia"/>
              </w:rPr>
              <w:t>△车身外形尺寸（长×宽×高）</w:t>
            </w:r>
          </w:p>
        </w:tc>
        <w:tc>
          <w:tcPr>
            <w:tcW w:w="5138" w:type="dxa"/>
            <w:vAlign w:val="center"/>
          </w:tcPr>
          <w:p>
            <w:r>
              <w:t>3200*1560*1990</w:t>
            </w:r>
            <w:r>
              <w:rPr>
                <w:rFonts w:hint="eastAsia"/>
              </w:rPr>
              <w:t>mm（该尺寸宽度未含后视镜，允许偏差±2</w:t>
            </w:r>
            <w:r>
              <w:t>0</w:t>
            </w:r>
            <w:r>
              <w:rPr>
                <w:rFonts w:hint="eastAsia"/>
              </w:rPr>
              <w:t>mm）</w:t>
            </w:r>
            <w:r>
              <w:rPr>
                <w:rFonts w:hint="eastAsia"/>
                <w:b/>
              </w:rPr>
              <w:t>（投标时</w:t>
            </w:r>
            <w:r>
              <w:rPr>
                <w:rFonts w:hint="eastAsia"/>
                <w:b/>
                <w:szCs w:val="21"/>
              </w:rPr>
              <w:t>提供车辆制造商</w:t>
            </w:r>
            <w:r>
              <w:rPr>
                <w:rFonts w:hint="eastAsia"/>
                <w:b/>
                <w:szCs w:val="20"/>
              </w:rPr>
              <w:t>具备带有CMA或CNAS标识的</w:t>
            </w:r>
            <w:r>
              <w:rPr>
                <w:rFonts w:hint="eastAsia"/>
                <w:b/>
              </w:rPr>
              <w:t>车辆型式试验报告扫描件）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vAlign w:val="center"/>
          </w:tcPr>
          <w:p>
            <w:pPr>
              <w:pStyle w:val="12"/>
              <w:numPr>
                <w:ilvl w:val="0"/>
                <w:numId w:val="1"/>
              </w:numPr>
              <w:ind w:firstLineChars="0"/>
            </w:pPr>
          </w:p>
        </w:tc>
        <w:tc>
          <w:tcPr>
            <w:tcW w:w="3453" w:type="dxa"/>
            <w:vAlign w:val="center"/>
          </w:tcPr>
          <w:p>
            <w:r>
              <w:rPr>
                <w:rFonts w:hint="eastAsia"/>
              </w:rPr>
              <w:t>△轴距</w:t>
            </w:r>
          </w:p>
        </w:tc>
        <w:tc>
          <w:tcPr>
            <w:tcW w:w="5138" w:type="dxa"/>
            <w:vAlign w:val="center"/>
          </w:tcPr>
          <w:p>
            <w:r>
              <w:t>2190</w:t>
            </w:r>
            <w:r>
              <w:rPr>
                <w:rFonts w:hint="eastAsia"/>
              </w:rPr>
              <w:t>mm（允许偏差±2</w:t>
            </w:r>
            <w:r>
              <w:t>0</w:t>
            </w:r>
            <w:r>
              <w:rPr>
                <w:rFonts w:hint="eastAsia"/>
              </w:rPr>
              <w:t>mm）</w:t>
            </w:r>
            <w:r>
              <w:rPr>
                <w:rFonts w:hint="eastAsia"/>
                <w:b/>
              </w:rPr>
              <w:t>（投标时</w:t>
            </w:r>
            <w:r>
              <w:rPr>
                <w:rFonts w:hint="eastAsia"/>
                <w:b/>
                <w:szCs w:val="21"/>
              </w:rPr>
              <w:t>提供车辆制造商</w:t>
            </w:r>
            <w:r>
              <w:rPr>
                <w:rFonts w:hint="eastAsia"/>
                <w:b/>
                <w:szCs w:val="20"/>
              </w:rPr>
              <w:t>具备带有CMA或CNAS标识的</w:t>
            </w:r>
            <w:r>
              <w:rPr>
                <w:rFonts w:hint="eastAsia"/>
                <w:b/>
              </w:rPr>
              <w:t>车辆型式试验报告扫描件）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vAlign w:val="center"/>
          </w:tcPr>
          <w:p>
            <w:pPr>
              <w:pStyle w:val="12"/>
              <w:numPr>
                <w:ilvl w:val="0"/>
                <w:numId w:val="1"/>
              </w:numPr>
              <w:ind w:firstLineChars="0"/>
            </w:pPr>
          </w:p>
        </w:tc>
        <w:tc>
          <w:tcPr>
            <w:tcW w:w="3453" w:type="dxa"/>
            <w:vAlign w:val="center"/>
          </w:tcPr>
          <w:p>
            <w:r>
              <w:rPr>
                <w:rFonts w:hint="eastAsia"/>
              </w:rPr>
              <w:t>△前/后轮距</w:t>
            </w:r>
          </w:p>
        </w:tc>
        <w:tc>
          <w:tcPr>
            <w:tcW w:w="5138" w:type="dxa"/>
            <w:vAlign w:val="center"/>
          </w:tcPr>
          <w:p>
            <w:pPr>
              <w:rPr>
                <w:bCs/>
              </w:rPr>
            </w:pPr>
            <w:r>
              <w:t>1360/1360</w:t>
            </w:r>
            <w:r>
              <w:rPr>
                <w:rFonts w:hint="eastAsia"/>
                <w:bCs/>
              </w:rPr>
              <w:t>mm（允许偏差±2</w:t>
            </w:r>
            <w:r>
              <w:rPr>
                <w:bCs/>
              </w:rPr>
              <w:t>0</w:t>
            </w:r>
            <w:r>
              <w:rPr>
                <w:rFonts w:hint="eastAsia"/>
                <w:bCs/>
              </w:rPr>
              <w:t>mm）</w:t>
            </w:r>
            <w:r>
              <w:rPr>
                <w:rFonts w:hint="eastAsia"/>
                <w:b/>
                <w:bCs/>
              </w:rPr>
              <w:t>（投标时</w:t>
            </w:r>
            <w:r>
              <w:rPr>
                <w:rFonts w:hint="eastAsia"/>
                <w:b/>
                <w:szCs w:val="21"/>
              </w:rPr>
              <w:t>提供车辆制造商</w:t>
            </w:r>
            <w:r>
              <w:rPr>
                <w:rFonts w:hint="eastAsia"/>
                <w:b/>
                <w:szCs w:val="20"/>
              </w:rPr>
              <w:t>具备带有CMA或CNAS标识的</w:t>
            </w:r>
            <w:r>
              <w:rPr>
                <w:rFonts w:hint="eastAsia"/>
                <w:b/>
                <w:bCs/>
              </w:rPr>
              <w:t>车辆型式试验报告扫描件）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vAlign w:val="center"/>
          </w:tcPr>
          <w:p>
            <w:pPr>
              <w:pStyle w:val="12"/>
              <w:numPr>
                <w:ilvl w:val="0"/>
                <w:numId w:val="1"/>
              </w:numPr>
              <w:ind w:firstLineChars="0"/>
            </w:pPr>
          </w:p>
        </w:tc>
        <w:tc>
          <w:tcPr>
            <w:tcW w:w="3453" w:type="dxa"/>
            <w:vAlign w:val="center"/>
          </w:tcPr>
          <w:p>
            <w:r>
              <w:rPr>
                <w:rFonts w:hint="eastAsia"/>
              </w:rPr>
              <w:t>△满载最小离地间隙</w:t>
            </w:r>
          </w:p>
        </w:tc>
        <w:tc>
          <w:tcPr>
            <w:tcW w:w="5138" w:type="dxa"/>
            <w:vAlign w:val="center"/>
          </w:tcPr>
          <w:p>
            <w:r>
              <w:rPr>
                <w:rFonts w:hint="eastAsia"/>
              </w:rPr>
              <w:t>≥</w:t>
            </w:r>
            <w:r>
              <w:t>220</w:t>
            </w:r>
            <w:r>
              <w:rPr>
                <w:rFonts w:hint="eastAsia"/>
              </w:rPr>
              <w:t>mm</w:t>
            </w:r>
            <w:r>
              <w:rPr>
                <w:rFonts w:hint="eastAsia"/>
                <w:b/>
              </w:rPr>
              <w:t>（投标时</w:t>
            </w:r>
            <w:r>
              <w:rPr>
                <w:rFonts w:hint="eastAsia"/>
                <w:b/>
                <w:szCs w:val="21"/>
              </w:rPr>
              <w:t>提供车辆制造商</w:t>
            </w:r>
            <w:r>
              <w:rPr>
                <w:rFonts w:hint="eastAsia"/>
                <w:b/>
                <w:szCs w:val="20"/>
              </w:rPr>
              <w:t>具备带有CMA或CNAS标识的</w:t>
            </w:r>
            <w:r>
              <w:rPr>
                <w:rFonts w:hint="eastAsia"/>
                <w:b/>
              </w:rPr>
              <w:t>车辆型式试验报告扫描件）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vAlign w:val="center"/>
          </w:tcPr>
          <w:p>
            <w:pPr>
              <w:pStyle w:val="12"/>
              <w:numPr>
                <w:ilvl w:val="0"/>
                <w:numId w:val="1"/>
              </w:numPr>
              <w:ind w:firstLineChars="0"/>
            </w:pPr>
          </w:p>
        </w:tc>
        <w:tc>
          <w:tcPr>
            <w:tcW w:w="3453" w:type="dxa"/>
            <w:vAlign w:val="center"/>
          </w:tcPr>
          <w:p>
            <w:pPr>
              <w:rPr>
                <w:rFonts w:cs="宋体"/>
                <w:bCs/>
              </w:rPr>
            </w:pPr>
            <w:r>
              <w:rPr>
                <w:rFonts w:hint="eastAsia"/>
              </w:rPr>
              <w:t>整机质量</w:t>
            </w:r>
          </w:p>
        </w:tc>
        <w:tc>
          <w:tcPr>
            <w:tcW w:w="5138" w:type="dxa"/>
            <w:vAlign w:val="center"/>
          </w:tcPr>
          <w:p>
            <w:r>
              <w:rPr>
                <w:rFonts w:hint="eastAsia"/>
              </w:rPr>
              <w:t>≥</w:t>
            </w:r>
            <w:r>
              <w:t>780</w:t>
            </w:r>
            <w:r>
              <w:rPr>
                <w:rFonts w:hint="eastAsia"/>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vAlign w:val="center"/>
          </w:tcPr>
          <w:p>
            <w:pPr>
              <w:pStyle w:val="12"/>
              <w:numPr>
                <w:ilvl w:val="0"/>
                <w:numId w:val="1"/>
              </w:numPr>
              <w:ind w:firstLineChars="0"/>
            </w:pPr>
          </w:p>
        </w:tc>
        <w:tc>
          <w:tcPr>
            <w:tcW w:w="3453" w:type="dxa"/>
            <w:vAlign w:val="center"/>
          </w:tcPr>
          <w:p>
            <w:r>
              <w:rPr>
                <w:rFonts w:hint="eastAsia"/>
              </w:rPr>
              <w:t>最大承载</w:t>
            </w:r>
          </w:p>
        </w:tc>
        <w:tc>
          <w:tcPr>
            <w:tcW w:w="5138" w:type="dxa"/>
            <w:vAlign w:val="center"/>
          </w:tcPr>
          <w:p>
            <w:r>
              <w:rPr>
                <w:rFonts w:hint="eastAsia"/>
              </w:rPr>
              <w:t>≥</w:t>
            </w:r>
            <w:r>
              <w:t>410</w:t>
            </w:r>
            <w:r>
              <w:rPr>
                <w:rFonts w:hint="eastAsia"/>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vAlign w:val="center"/>
          </w:tcPr>
          <w:p>
            <w:pPr>
              <w:pStyle w:val="12"/>
              <w:numPr>
                <w:ilvl w:val="0"/>
                <w:numId w:val="1"/>
              </w:numPr>
              <w:ind w:firstLineChars="0"/>
            </w:pPr>
          </w:p>
        </w:tc>
        <w:tc>
          <w:tcPr>
            <w:tcW w:w="3453" w:type="dxa"/>
            <w:vAlign w:val="center"/>
          </w:tcPr>
          <w:p>
            <w:r>
              <w:rPr>
                <w:rFonts w:hint="eastAsia"/>
              </w:rPr>
              <w:t>最大行驶速度</w:t>
            </w:r>
          </w:p>
        </w:tc>
        <w:tc>
          <w:tcPr>
            <w:tcW w:w="5138" w:type="dxa"/>
            <w:vAlign w:val="center"/>
          </w:tcPr>
          <w:p>
            <w:r>
              <w:rPr>
                <w:rFonts w:hint="eastAsia"/>
              </w:rPr>
              <w:t>≤</w:t>
            </w:r>
            <w:r>
              <w:t>30</w:t>
            </w:r>
            <w:r>
              <w:rPr>
                <w:rFonts w:hint="eastAsia"/>
              </w:rPr>
              <w:t>km</w:t>
            </w:r>
            <w:r>
              <w:t>/</w:t>
            </w:r>
            <w:r>
              <w:rPr>
                <w:rFonts w:hint="eastAsia"/>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vAlign w:val="center"/>
          </w:tcPr>
          <w:p>
            <w:pPr>
              <w:pStyle w:val="12"/>
              <w:numPr>
                <w:ilvl w:val="0"/>
                <w:numId w:val="1"/>
              </w:numPr>
              <w:ind w:firstLineChars="0"/>
            </w:pPr>
          </w:p>
        </w:tc>
        <w:tc>
          <w:tcPr>
            <w:tcW w:w="3453" w:type="dxa"/>
            <w:vAlign w:val="center"/>
          </w:tcPr>
          <w:p>
            <w:r>
              <w:rPr>
                <w:rFonts w:hint="eastAsia"/>
              </w:rPr>
              <w:t>制动距离</w:t>
            </w:r>
          </w:p>
        </w:tc>
        <w:tc>
          <w:tcPr>
            <w:tcW w:w="5138" w:type="dxa"/>
            <w:vAlign w:val="center"/>
          </w:tcPr>
          <w:p>
            <w:r>
              <w:rPr>
                <w:rFonts w:hint="eastAsia"/>
              </w:rPr>
              <w:t>≤</w:t>
            </w:r>
            <w:r>
              <w:t>5</w:t>
            </w:r>
            <w:r>
              <w:rPr>
                <w:rFonts w:hint="eastAsia"/>
              </w:rPr>
              <w:t>m（制动初速度20km/h）</w:t>
            </w:r>
            <w:r>
              <w:rPr>
                <w:rFonts w:hint="eastAsia"/>
                <w:b/>
                <w:bCs/>
              </w:rPr>
              <w:t>（投标时</w:t>
            </w:r>
            <w:r>
              <w:rPr>
                <w:rFonts w:hint="eastAsia"/>
                <w:b/>
                <w:szCs w:val="21"/>
              </w:rPr>
              <w:t>提供车辆制造商</w:t>
            </w:r>
            <w:r>
              <w:rPr>
                <w:rFonts w:hint="eastAsia"/>
                <w:b/>
                <w:szCs w:val="20"/>
              </w:rPr>
              <w:t>具备带有CMA或CNAS标识的</w:t>
            </w:r>
            <w:r>
              <w:rPr>
                <w:rFonts w:hint="eastAsia"/>
                <w:b/>
                <w:bCs/>
              </w:rPr>
              <w:t>车辆型式试验报告扫描件）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vAlign w:val="center"/>
          </w:tcPr>
          <w:p>
            <w:pPr>
              <w:pStyle w:val="12"/>
              <w:numPr>
                <w:ilvl w:val="0"/>
                <w:numId w:val="1"/>
              </w:numPr>
              <w:ind w:firstLineChars="0"/>
            </w:pPr>
          </w:p>
        </w:tc>
        <w:tc>
          <w:tcPr>
            <w:tcW w:w="3453" w:type="dxa"/>
            <w:vAlign w:val="center"/>
          </w:tcPr>
          <w:p>
            <w:r>
              <w:rPr>
                <w:rFonts w:hint="eastAsia"/>
              </w:rPr>
              <w:t>最小转弯半径</w:t>
            </w:r>
          </w:p>
        </w:tc>
        <w:tc>
          <w:tcPr>
            <w:tcW w:w="5138" w:type="dxa"/>
            <w:vAlign w:val="center"/>
          </w:tcPr>
          <w:p>
            <w:pPr>
              <w:rPr>
                <w:bCs/>
              </w:rPr>
            </w:pPr>
            <w:r>
              <w:rPr>
                <w:rFonts w:hint="eastAsia"/>
                <w:bCs/>
              </w:rPr>
              <w:t>≤</w:t>
            </w:r>
            <w:r>
              <w:rPr>
                <w:bCs/>
              </w:rPr>
              <w:t>5</w:t>
            </w:r>
            <w:r>
              <w:rPr>
                <w:rFonts w:hint="eastAsia"/>
                <w:bCs/>
              </w:rPr>
              <w:t>m</w:t>
            </w:r>
            <w:r>
              <w:rPr>
                <w:rFonts w:hint="eastAsia"/>
                <w:b/>
                <w:bCs/>
              </w:rPr>
              <w:t>（投标时</w:t>
            </w:r>
            <w:r>
              <w:rPr>
                <w:rFonts w:hint="eastAsia"/>
                <w:b/>
                <w:szCs w:val="21"/>
              </w:rPr>
              <w:t>提供车辆制造商</w:t>
            </w:r>
            <w:r>
              <w:rPr>
                <w:rFonts w:hint="eastAsia"/>
                <w:b/>
                <w:szCs w:val="20"/>
              </w:rPr>
              <w:t>具备带有CMA或CNAS标识的</w:t>
            </w:r>
            <w:r>
              <w:rPr>
                <w:rFonts w:hint="eastAsia"/>
                <w:b/>
                <w:bCs/>
              </w:rPr>
              <w:t>车辆型式试验报告扫描件）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vAlign w:val="center"/>
          </w:tcPr>
          <w:p>
            <w:pPr>
              <w:pStyle w:val="12"/>
              <w:numPr>
                <w:ilvl w:val="0"/>
                <w:numId w:val="1"/>
              </w:numPr>
              <w:ind w:firstLineChars="0"/>
            </w:pPr>
          </w:p>
        </w:tc>
        <w:tc>
          <w:tcPr>
            <w:tcW w:w="3453" w:type="dxa"/>
            <w:vAlign w:val="center"/>
          </w:tcPr>
          <w:p>
            <w:r>
              <w:rPr>
                <w:rFonts w:hint="eastAsia"/>
              </w:rPr>
              <w:t>最大爬坡度</w:t>
            </w:r>
          </w:p>
        </w:tc>
        <w:tc>
          <w:tcPr>
            <w:tcW w:w="5138" w:type="dxa"/>
            <w:vAlign w:val="center"/>
          </w:tcPr>
          <w:p>
            <w:r>
              <w:rPr>
                <w:rFonts w:hint="eastAsi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vAlign w:val="center"/>
          </w:tcPr>
          <w:p>
            <w:pPr>
              <w:pStyle w:val="12"/>
              <w:numPr>
                <w:ilvl w:val="0"/>
                <w:numId w:val="1"/>
              </w:numPr>
              <w:ind w:firstLineChars="0"/>
            </w:pPr>
          </w:p>
        </w:tc>
        <w:tc>
          <w:tcPr>
            <w:tcW w:w="3453" w:type="dxa"/>
            <w:vAlign w:val="center"/>
          </w:tcPr>
          <w:p>
            <w:r>
              <w:rPr>
                <w:rFonts w:hint="eastAsia"/>
              </w:rPr>
              <w:t>同方向乘员座椅间距</w:t>
            </w:r>
          </w:p>
        </w:tc>
        <w:tc>
          <w:tcPr>
            <w:tcW w:w="5138" w:type="dxa"/>
            <w:vAlign w:val="center"/>
          </w:tcPr>
          <w:p>
            <w:r>
              <w:rPr>
                <w:rFonts w:hint="eastAsia"/>
              </w:rPr>
              <w:t>≥6</w:t>
            </w:r>
            <w:r>
              <w:t>50</w:t>
            </w:r>
            <w:r>
              <w:rPr>
                <w:rFonts w:hint="eastAsia"/>
              </w:rPr>
              <w:t>mm</w:t>
            </w:r>
            <w:r>
              <w:rPr>
                <w:rFonts w:hint="eastAsia"/>
                <w:b/>
                <w:bCs/>
              </w:rPr>
              <w:t>（投标时</w:t>
            </w:r>
            <w:r>
              <w:rPr>
                <w:rFonts w:hint="eastAsia"/>
                <w:b/>
                <w:szCs w:val="21"/>
              </w:rPr>
              <w:t>提供车辆制造商</w:t>
            </w:r>
            <w:r>
              <w:rPr>
                <w:rFonts w:hint="eastAsia"/>
                <w:b/>
                <w:szCs w:val="20"/>
              </w:rPr>
              <w:t>具备带有CMA或CNAS标识的</w:t>
            </w:r>
            <w:r>
              <w:rPr>
                <w:rFonts w:hint="eastAsia"/>
                <w:b/>
                <w:bCs/>
              </w:rPr>
              <w:t>车辆型式试验报告扫描件）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vAlign w:val="center"/>
          </w:tcPr>
          <w:p>
            <w:pPr>
              <w:pStyle w:val="12"/>
              <w:numPr>
                <w:ilvl w:val="0"/>
                <w:numId w:val="1"/>
              </w:numPr>
              <w:ind w:firstLineChars="0"/>
            </w:pPr>
          </w:p>
        </w:tc>
        <w:tc>
          <w:tcPr>
            <w:tcW w:w="3453" w:type="dxa"/>
            <w:vAlign w:val="center"/>
          </w:tcPr>
          <w:p>
            <w:r>
              <w:rPr>
                <w:rFonts w:hint="eastAsia"/>
              </w:rPr>
              <w:t>续驶里程</w:t>
            </w:r>
          </w:p>
        </w:tc>
        <w:tc>
          <w:tcPr>
            <w:tcW w:w="5138" w:type="dxa"/>
            <w:vAlign w:val="center"/>
          </w:tcPr>
          <w:p>
            <w:r>
              <w:rPr>
                <w:rFonts w:hint="eastAsia"/>
              </w:rPr>
              <w:t>≥</w:t>
            </w:r>
            <w:r>
              <w:t>80</w:t>
            </w:r>
            <w:r>
              <w:rPr>
                <w:rFonts w:hint="eastAsia"/>
              </w:rPr>
              <w:t>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vAlign w:val="center"/>
          </w:tcPr>
          <w:p>
            <w:pPr>
              <w:pStyle w:val="12"/>
              <w:numPr>
                <w:ilvl w:val="0"/>
                <w:numId w:val="1"/>
              </w:numPr>
              <w:ind w:firstLineChars="0"/>
            </w:pPr>
          </w:p>
        </w:tc>
        <w:tc>
          <w:tcPr>
            <w:tcW w:w="3453" w:type="dxa"/>
            <w:vAlign w:val="center"/>
          </w:tcPr>
          <w:p>
            <w:r>
              <w:rPr>
                <w:rFonts w:hint="eastAsia"/>
              </w:rPr>
              <w:t>一次充电时间</w:t>
            </w:r>
          </w:p>
        </w:tc>
        <w:tc>
          <w:tcPr>
            <w:tcW w:w="5138" w:type="dxa"/>
            <w:vAlign w:val="center"/>
          </w:tcPr>
          <w:p>
            <w:r>
              <w:rPr>
                <w:rFonts w:hint="eastAsia"/>
              </w:rPr>
              <w:t>8-10H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vAlign w:val="center"/>
          </w:tcPr>
          <w:p>
            <w:pPr>
              <w:pStyle w:val="12"/>
              <w:numPr>
                <w:ilvl w:val="0"/>
                <w:numId w:val="1"/>
              </w:numPr>
              <w:ind w:firstLineChars="0"/>
            </w:pPr>
          </w:p>
        </w:tc>
        <w:tc>
          <w:tcPr>
            <w:tcW w:w="3453" w:type="dxa"/>
            <w:vAlign w:val="center"/>
          </w:tcPr>
          <w:p>
            <w:r>
              <w:rPr>
                <w:rFonts w:hint="eastAsia"/>
              </w:rPr>
              <w:t>车身</w:t>
            </w:r>
          </w:p>
        </w:tc>
        <w:tc>
          <w:tcPr>
            <w:tcW w:w="5138" w:type="dxa"/>
            <w:vAlign w:val="center"/>
          </w:tcPr>
          <w:p>
            <w:pPr>
              <w:rPr>
                <w:rFonts w:cs="宋体"/>
                <w:bCs/>
              </w:rPr>
            </w:pPr>
            <w:r>
              <w:rPr>
                <w:rFonts w:hint="eastAsia"/>
              </w:rPr>
              <w:t>钣金车身、前罩。后罩和后排座位桶为整体式吸塑件。车头前伸大于7</w:t>
            </w:r>
            <w:r>
              <w:t>6</w:t>
            </w:r>
            <w:r>
              <w:rPr>
                <w:rFonts w:hint="eastAsia"/>
              </w:rPr>
              <w:t>0mm的安全碰撞距离。自带加厚塑胶保险杠。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vAlign w:val="center"/>
          </w:tcPr>
          <w:p>
            <w:pPr>
              <w:pStyle w:val="12"/>
              <w:numPr>
                <w:ilvl w:val="0"/>
                <w:numId w:val="1"/>
              </w:numPr>
              <w:ind w:firstLineChars="0"/>
            </w:pPr>
          </w:p>
        </w:tc>
        <w:tc>
          <w:tcPr>
            <w:tcW w:w="3453" w:type="dxa"/>
            <w:vAlign w:val="center"/>
          </w:tcPr>
          <w:p>
            <w:r>
              <w:rPr>
                <w:rFonts w:hint="eastAsia"/>
              </w:rPr>
              <w:t>△车漆涂层附着力</w:t>
            </w:r>
          </w:p>
        </w:tc>
        <w:tc>
          <w:tcPr>
            <w:tcW w:w="5138" w:type="dxa"/>
            <w:vAlign w:val="center"/>
          </w:tcPr>
          <w:p>
            <w:r>
              <w:rPr>
                <w:rFonts w:hint="eastAsia"/>
              </w:rPr>
              <w:t>车身采用汽车专用油漆，电脑调漆，专业喷涂设备，且采用原厂车原装车漆涂层处理，禁止使用翻新车身外观。并且其附着力等级为2级或其以上。</w:t>
            </w:r>
            <w:r>
              <w:rPr>
                <w:rFonts w:hint="eastAsia"/>
                <w:b/>
              </w:rPr>
              <w:t>（投标时提供车辆制造商具备的带有CMA或CNAS标识的车漆涂层检测（检验）报告原件扫描件）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vAlign w:val="center"/>
          </w:tcPr>
          <w:p>
            <w:pPr>
              <w:pStyle w:val="12"/>
              <w:numPr>
                <w:ilvl w:val="0"/>
                <w:numId w:val="1"/>
              </w:numPr>
              <w:ind w:firstLineChars="0"/>
            </w:pPr>
          </w:p>
        </w:tc>
        <w:tc>
          <w:tcPr>
            <w:tcW w:w="3453" w:type="dxa"/>
            <w:vAlign w:val="center"/>
          </w:tcPr>
          <w:p>
            <w:r>
              <w:rPr>
                <w:rFonts w:hint="eastAsia"/>
              </w:rPr>
              <w:t>车漆涂层耐候性</w:t>
            </w:r>
          </w:p>
        </w:tc>
        <w:tc>
          <w:tcPr>
            <w:tcW w:w="5138" w:type="dxa"/>
            <w:vAlign w:val="center"/>
          </w:tcPr>
          <w:p>
            <w:r>
              <w:rPr>
                <w:rFonts w:ascii="宋体" w:hAnsi="宋体"/>
              </w:rPr>
              <w:t>车辆原厂车漆涂层工艺及质量优越，车漆涂层耐热、耐酸、耐碱性强，</w:t>
            </w:r>
            <w:r>
              <w:rPr>
                <w:rFonts w:hint="eastAsia" w:ascii="宋体" w:hAnsi="宋体"/>
              </w:rPr>
              <w:t>提供</w:t>
            </w:r>
            <w:r>
              <w:rPr>
                <w:rFonts w:ascii="宋体" w:hAnsi="宋体"/>
              </w:rPr>
              <w:t>车辆制造商具备的</w:t>
            </w:r>
            <w:r>
              <w:rPr>
                <w:rFonts w:hint="eastAsia" w:ascii="宋体" w:hAnsi="宋体" w:cs="宋体"/>
                <w:shd w:val="clear" w:color="auto" w:fill="FFFFFF"/>
              </w:rPr>
              <w:t>带有</w:t>
            </w:r>
            <w:r>
              <w:rPr>
                <w:rFonts w:ascii="宋体" w:hAnsi="宋体" w:cs="宋体"/>
                <w:shd w:val="clear" w:color="auto" w:fill="FFFFFF"/>
              </w:rPr>
              <w:t>CMA或CNAS标识</w:t>
            </w:r>
            <w:r>
              <w:rPr>
                <w:rFonts w:hint="eastAsia" w:ascii="宋体" w:hAnsi="宋体" w:cs="宋体"/>
                <w:shd w:val="clear" w:color="auto" w:fill="FFFFFF"/>
              </w:rPr>
              <w:t>的</w:t>
            </w:r>
            <w:r>
              <w:rPr>
                <w:rFonts w:ascii="宋体" w:hAnsi="宋体" w:cs="宋体"/>
                <w:shd w:val="clear" w:color="auto" w:fill="FFFFFF"/>
              </w:rPr>
              <w:t>车漆涂层</w:t>
            </w:r>
            <w:r>
              <w:rPr>
                <w:rFonts w:hint="eastAsia" w:ascii="宋体" w:hAnsi="宋体" w:cs="宋体"/>
                <w:shd w:val="clear" w:color="auto" w:fill="FFFFFF"/>
              </w:rPr>
              <w:t>检测（检验）报告扫描件</w:t>
            </w:r>
            <w:r>
              <w:rPr>
                <w:rFonts w:ascii="宋体" w:hAnsi="宋体" w:cs="宋体"/>
                <w:shd w:val="clear" w:color="auto" w:fill="FFFFFF"/>
              </w:rPr>
              <w:t>，且须符合GB</w:t>
            </w:r>
            <w:r>
              <w:rPr>
                <w:rFonts w:ascii="宋体" w:hAnsi="宋体"/>
              </w:rPr>
              <w:t>/T 1735-2009国家标准或更高国家标准的</w:t>
            </w:r>
            <w:r>
              <w:rPr>
                <w:rFonts w:hint="eastAsia" w:ascii="宋体" w:hAnsi="宋体"/>
              </w:rPr>
              <w:t>。</w:t>
            </w:r>
            <w:r>
              <w:rPr>
                <w:rFonts w:hint="eastAsia"/>
                <w:b/>
              </w:rPr>
              <w:t>（投标时提供车辆制造商具备的带有CMA或CNAS标识的车漆涂层检测（检验）报告原件扫描件）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vAlign w:val="center"/>
          </w:tcPr>
          <w:p>
            <w:pPr>
              <w:pStyle w:val="12"/>
              <w:numPr>
                <w:ilvl w:val="0"/>
                <w:numId w:val="1"/>
              </w:numPr>
              <w:ind w:firstLineChars="0"/>
            </w:pPr>
          </w:p>
        </w:tc>
        <w:tc>
          <w:tcPr>
            <w:tcW w:w="3453" w:type="dxa"/>
            <w:vAlign w:val="center"/>
          </w:tcPr>
          <w:p>
            <w:r>
              <w:rPr>
                <w:rFonts w:hint="eastAsia"/>
              </w:rPr>
              <w:t>顶棚</w:t>
            </w:r>
          </w:p>
        </w:tc>
        <w:tc>
          <w:tcPr>
            <w:tcW w:w="5138" w:type="dxa"/>
            <w:vAlign w:val="center"/>
          </w:tcPr>
          <w:p>
            <w:r>
              <w:rPr>
                <w:rFonts w:hint="eastAsia"/>
              </w:rPr>
              <w:t>采用吸塑</w:t>
            </w:r>
            <w:r>
              <w:t>制作</w:t>
            </w:r>
            <w:r>
              <w:rPr>
                <w:rFonts w:hint="eastAsia"/>
              </w:rPr>
              <w:t>顶棚。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vAlign w:val="center"/>
          </w:tcPr>
          <w:p>
            <w:pPr>
              <w:pStyle w:val="12"/>
              <w:numPr>
                <w:ilvl w:val="0"/>
                <w:numId w:val="1"/>
              </w:numPr>
              <w:ind w:firstLineChars="0"/>
            </w:pPr>
          </w:p>
        </w:tc>
        <w:tc>
          <w:tcPr>
            <w:tcW w:w="3453" w:type="dxa"/>
            <w:vAlign w:val="center"/>
          </w:tcPr>
          <w:p>
            <w:pPr>
              <w:rPr>
                <w:szCs w:val="21"/>
              </w:rPr>
            </w:pPr>
            <w:r>
              <w:rPr>
                <w:rFonts w:hint="eastAsia"/>
              </w:rPr>
              <w:t>挡风玻璃</w:t>
            </w:r>
          </w:p>
        </w:tc>
        <w:tc>
          <w:tcPr>
            <w:tcW w:w="5138" w:type="dxa"/>
            <w:vAlign w:val="center"/>
          </w:tcPr>
          <w:p>
            <w:r>
              <w:rPr>
                <w:rFonts w:hint="eastAsia"/>
              </w:rPr>
              <w:t>前脸为一体式钢化玻璃无铁板，玻璃上部带挡雨板，</w:t>
            </w:r>
            <w:r>
              <w:t>上臂式雨刮器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vAlign w:val="center"/>
          </w:tcPr>
          <w:p>
            <w:pPr>
              <w:pStyle w:val="12"/>
              <w:numPr>
                <w:ilvl w:val="0"/>
                <w:numId w:val="1"/>
              </w:numPr>
              <w:ind w:firstLineChars="0"/>
            </w:pPr>
          </w:p>
        </w:tc>
        <w:tc>
          <w:tcPr>
            <w:tcW w:w="3453" w:type="dxa"/>
            <w:vAlign w:val="center"/>
          </w:tcPr>
          <w:p>
            <w:r>
              <w:rPr>
                <w:rFonts w:hint="eastAsia"/>
              </w:rPr>
              <w:t>仪表台</w:t>
            </w:r>
          </w:p>
        </w:tc>
        <w:tc>
          <w:tcPr>
            <w:tcW w:w="5138" w:type="dxa"/>
            <w:vAlign w:val="center"/>
          </w:tcPr>
          <w:p>
            <w:pPr>
              <w:rPr>
                <w:rFonts w:cs="宋体"/>
              </w:rPr>
            </w:pPr>
            <w:r>
              <w:rPr>
                <w:rFonts w:hint="eastAsia"/>
              </w:rPr>
              <w:t>吸塑</w:t>
            </w:r>
            <w:r>
              <w:t>仪表台</w:t>
            </w:r>
            <w:r>
              <w:rPr>
                <w:rFonts w:hint="eastAsia"/>
              </w:rPr>
              <w:t>，</w:t>
            </w:r>
            <w:r>
              <w:t>组合开关、电量指示仪、转向指示、</w:t>
            </w:r>
            <w:r>
              <w:rPr>
                <w:rFonts w:hint="eastAsia"/>
              </w:rPr>
              <w:t>倒车</w:t>
            </w:r>
            <w:r>
              <w:t>蜂鸣</w:t>
            </w:r>
            <w:r>
              <w:rPr>
                <w:rFonts w:hint="eastAsia"/>
                <w:color w:val="000000"/>
              </w:rPr>
              <w:t>。</w:t>
            </w:r>
            <w:r>
              <w:rPr>
                <w:rFonts w:hint="eastAsia" w:ascii="宋体" w:hAnsi="宋体" w:cs="宋体"/>
                <w:shd w:val="clear" w:color="auto" w:fill="FFFFFF"/>
              </w:rPr>
              <w:t>车辆仪表台应该符合</w:t>
            </w:r>
            <w:r>
              <w:rPr>
                <w:rFonts w:ascii="宋体" w:hAnsi="宋体" w:cs="宋体"/>
                <w:shd w:val="clear" w:color="auto" w:fill="FFFFFF"/>
              </w:rPr>
              <w:t>GB8410-2006汽车内饰材料的燃烧性能的技术要求</w:t>
            </w:r>
            <w:r>
              <w:rPr>
                <w:rFonts w:hint="eastAsia" w:ascii="宋体" w:hAnsi="宋体" w:cs="宋体"/>
                <w:shd w:val="clear" w:color="auto" w:fill="FFFFFF"/>
              </w:rPr>
              <w:t>。</w:t>
            </w:r>
            <w:r>
              <w:rPr>
                <w:rFonts w:hint="eastAsia" w:ascii="宋体" w:hAnsi="宋体" w:cs="宋体"/>
                <w:b/>
                <w:shd w:val="clear" w:color="auto" w:fill="FFFFFF"/>
              </w:rPr>
              <w:t>（</w:t>
            </w:r>
            <w:r>
              <w:rPr>
                <w:rFonts w:hint="eastAsia"/>
                <w:b/>
              </w:rPr>
              <w:t>投标时</w:t>
            </w:r>
            <w:r>
              <w:rPr>
                <w:rFonts w:hint="eastAsia" w:ascii="宋体" w:hAnsi="宋体"/>
                <w:b/>
              </w:rPr>
              <w:t>提供</w:t>
            </w:r>
            <w:r>
              <w:rPr>
                <w:rFonts w:ascii="宋体" w:hAnsi="宋体"/>
                <w:b/>
              </w:rPr>
              <w:t>车辆制造商具备的</w:t>
            </w:r>
            <w:r>
              <w:rPr>
                <w:rFonts w:hint="eastAsia" w:ascii="宋体" w:hAnsi="宋体" w:cs="宋体"/>
                <w:b/>
                <w:shd w:val="clear" w:color="auto" w:fill="FFFFFF"/>
              </w:rPr>
              <w:t>带有</w:t>
            </w:r>
            <w:r>
              <w:rPr>
                <w:rFonts w:ascii="宋体" w:hAnsi="宋体" w:cs="宋体"/>
                <w:b/>
                <w:shd w:val="clear" w:color="auto" w:fill="FFFFFF"/>
              </w:rPr>
              <w:t>CMA或CNAS标识</w:t>
            </w:r>
            <w:r>
              <w:rPr>
                <w:rFonts w:hint="eastAsia" w:ascii="宋体" w:hAnsi="宋体" w:cs="宋体"/>
                <w:b/>
                <w:shd w:val="clear" w:color="auto" w:fill="FFFFFF"/>
              </w:rPr>
              <w:t>的仪表台阻燃检测（检验）报告扫描件）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vAlign w:val="center"/>
          </w:tcPr>
          <w:p>
            <w:pPr>
              <w:pStyle w:val="12"/>
              <w:numPr>
                <w:ilvl w:val="0"/>
                <w:numId w:val="1"/>
              </w:numPr>
              <w:ind w:firstLineChars="0"/>
            </w:pPr>
          </w:p>
        </w:tc>
        <w:tc>
          <w:tcPr>
            <w:tcW w:w="3453" w:type="dxa"/>
            <w:vAlign w:val="center"/>
          </w:tcPr>
          <w:p>
            <w:r>
              <w:rPr>
                <w:rFonts w:hint="eastAsia"/>
              </w:rPr>
              <w:t>地板</w:t>
            </w:r>
          </w:p>
        </w:tc>
        <w:tc>
          <w:tcPr>
            <w:tcW w:w="5138" w:type="dxa"/>
            <w:vAlign w:val="center"/>
          </w:tcPr>
          <w:p>
            <w:r>
              <w:rPr>
                <w:rFonts w:hint="eastAsia"/>
              </w:rPr>
              <w:t>铝合金花纹地板。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vAlign w:val="center"/>
          </w:tcPr>
          <w:p>
            <w:pPr>
              <w:pStyle w:val="12"/>
              <w:numPr>
                <w:ilvl w:val="0"/>
                <w:numId w:val="1"/>
              </w:numPr>
              <w:ind w:firstLineChars="0"/>
            </w:pPr>
          </w:p>
        </w:tc>
        <w:tc>
          <w:tcPr>
            <w:tcW w:w="3453" w:type="dxa"/>
            <w:vAlign w:val="center"/>
          </w:tcPr>
          <w:p>
            <w:r>
              <w:rPr>
                <w:rFonts w:hint="eastAsia"/>
              </w:rPr>
              <w:t>座椅</w:t>
            </w:r>
          </w:p>
        </w:tc>
        <w:tc>
          <w:tcPr>
            <w:tcW w:w="5138" w:type="dxa"/>
            <w:vAlign w:val="center"/>
          </w:tcPr>
          <w:p>
            <w:r>
              <w:rPr>
                <w:rFonts w:hint="eastAsia"/>
              </w:rPr>
              <w:t>软皮座椅，司机位座椅底部无蓄电池装置，司机位座椅底部采用支柱或架空设计，保证驾驶员腿部空间舒适和更安全。</w:t>
            </w:r>
            <w:r>
              <w:rPr>
                <w:rFonts w:hint="eastAsia"/>
                <w:b/>
              </w:rPr>
              <w:t>（投标时提供实车驾驶位座椅实物照片）。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vAlign w:val="center"/>
          </w:tcPr>
          <w:p>
            <w:pPr>
              <w:pStyle w:val="12"/>
              <w:numPr>
                <w:ilvl w:val="0"/>
                <w:numId w:val="1"/>
              </w:numPr>
              <w:ind w:firstLineChars="0"/>
            </w:pPr>
          </w:p>
        </w:tc>
        <w:tc>
          <w:tcPr>
            <w:tcW w:w="3453" w:type="dxa"/>
            <w:vAlign w:val="center"/>
          </w:tcPr>
          <w:p>
            <w:r>
              <w:rPr>
                <w:rFonts w:hint="eastAsia"/>
              </w:rPr>
              <w:t>灯光</w:t>
            </w:r>
          </w:p>
        </w:tc>
        <w:tc>
          <w:tcPr>
            <w:tcW w:w="5138" w:type="dxa"/>
            <w:vAlign w:val="center"/>
          </w:tcPr>
          <w:p>
            <w:pPr>
              <w:rPr>
                <w:rFonts w:cs="宋体"/>
              </w:rPr>
            </w:pPr>
            <w:r>
              <w:t>前大灯、转向灯、</w:t>
            </w:r>
            <w:r>
              <w:rPr>
                <w:rFonts w:hint="eastAsia"/>
              </w:rPr>
              <w:t>尾灯、</w:t>
            </w:r>
            <w:r>
              <w:t>刹车灯；电喇叭</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vAlign w:val="center"/>
          </w:tcPr>
          <w:p>
            <w:pPr>
              <w:pStyle w:val="12"/>
              <w:numPr>
                <w:ilvl w:val="0"/>
                <w:numId w:val="1"/>
              </w:numPr>
              <w:ind w:firstLineChars="0"/>
            </w:pPr>
          </w:p>
        </w:tc>
        <w:tc>
          <w:tcPr>
            <w:tcW w:w="3453" w:type="dxa"/>
            <w:vAlign w:val="center"/>
          </w:tcPr>
          <w:p>
            <w:r>
              <w:rPr>
                <w:rFonts w:hint="eastAsia"/>
              </w:rPr>
              <w:t>警务系统</w:t>
            </w:r>
          </w:p>
        </w:tc>
        <w:tc>
          <w:tcPr>
            <w:tcW w:w="5138" w:type="dxa"/>
            <w:vAlign w:val="center"/>
          </w:tcPr>
          <w:p>
            <w:r>
              <w:rPr>
                <w:rFonts w:hint="eastAsia"/>
              </w:rPr>
              <w:t>蓝红长排警灯、喊话器。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vAlign w:val="center"/>
          </w:tcPr>
          <w:p>
            <w:pPr>
              <w:pStyle w:val="12"/>
              <w:numPr>
                <w:ilvl w:val="0"/>
                <w:numId w:val="1"/>
              </w:numPr>
              <w:ind w:firstLineChars="0"/>
            </w:pPr>
          </w:p>
        </w:tc>
        <w:tc>
          <w:tcPr>
            <w:tcW w:w="3453" w:type="dxa"/>
            <w:vAlign w:val="center"/>
          </w:tcPr>
          <w:p>
            <w:r>
              <w:rPr>
                <w:rFonts w:hint="eastAsia"/>
              </w:rPr>
              <w:t>电机系统</w:t>
            </w:r>
          </w:p>
        </w:tc>
        <w:tc>
          <w:tcPr>
            <w:tcW w:w="5138" w:type="dxa"/>
            <w:vAlign w:val="center"/>
          </w:tcPr>
          <w:p>
            <w:r>
              <w:rPr>
                <w:rFonts w:hint="eastAsia"/>
              </w:rPr>
              <w:t>搭载</w:t>
            </w:r>
            <w:r>
              <w:t>72V</w:t>
            </w:r>
            <w:r>
              <w:rPr>
                <w:rFonts w:hint="eastAsia"/>
              </w:rPr>
              <w:t>交流电机，电机额定功率</w:t>
            </w:r>
            <w:r>
              <w:t>7.5KW</w:t>
            </w:r>
            <w:r>
              <w:rPr>
                <w:rFonts w:hint="eastAsia"/>
              </w:rPr>
              <w:t>；电机系统具有过电流、过热、过电压、欠电压等智能保护功能。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vAlign w:val="center"/>
          </w:tcPr>
          <w:p>
            <w:pPr>
              <w:pStyle w:val="12"/>
              <w:numPr>
                <w:ilvl w:val="0"/>
                <w:numId w:val="1"/>
              </w:numPr>
              <w:ind w:firstLineChars="0"/>
            </w:pPr>
          </w:p>
        </w:tc>
        <w:tc>
          <w:tcPr>
            <w:tcW w:w="3453" w:type="dxa"/>
            <w:vAlign w:val="center"/>
          </w:tcPr>
          <w:p>
            <w:r>
              <w:rPr>
                <w:rFonts w:hint="eastAsia"/>
              </w:rPr>
              <w:t>△电池系统</w:t>
            </w:r>
          </w:p>
        </w:tc>
        <w:tc>
          <w:tcPr>
            <w:tcW w:w="5138" w:type="dxa"/>
            <w:vAlign w:val="center"/>
          </w:tcPr>
          <w:p>
            <w:r>
              <w:rPr>
                <w:rFonts w:hint="eastAsia"/>
              </w:rPr>
              <w:t>配置≥9只*8V180AH免维护电池，车辆有动力电池智能损耗检测警报系统功能，且满足后续系统升级及软件权益保障。</w:t>
            </w:r>
            <w:r>
              <w:rPr>
                <w:rFonts w:hint="eastAsia"/>
                <w:b/>
              </w:rPr>
              <w:t>（投标时提供车辆制造商具备动力电池智能损耗检测警报系统相关的第三方（国家相关部门</w:t>
            </w:r>
            <w:r>
              <w:rPr>
                <w:b/>
              </w:rPr>
              <w:t>/检测机构）证明文件的扫描件</w:t>
            </w:r>
            <w:r>
              <w:rPr>
                <w:rFonts w:hint="eastAsia"/>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vAlign w:val="center"/>
          </w:tcPr>
          <w:p>
            <w:pPr>
              <w:pStyle w:val="12"/>
              <w:numPr>
                <w:ilvl w:val="0"/>
                <w:numId w:val="1"/>
              </w:numPr>
              <w:ind w:firstLineChars="0"/>
            </w:pPr>
          </w:p>
        </w:tc>
        <w:tc>
          <w:tcPr>
            <w:tcW w:w="3453" w:type="dxa"/>
            <w:vAlign w:val="center"/>
          </w:tcPr>
          <w:p>
            <w:r>
              <w:rPr>
                <w:rFonts w:hint="eastAsia"/>
              </w:rPr>
              <w:t>△电控系统</w:t>
            </w:r>
          </w:p>
        </w:tc>
        <w:tc>
          <w:tcPr>
            <w:tcW w:w="5138" w:type="dxa"/>
            <w:vAlign w:val="center"/>
          </w:tcPr>
          <w:p>
            <w:pPr>
              <w:rPr>
                <w:rFonts w:cs="宋体"/>
              </w:rPr>
            </w:pPr>
            <w:r>
              <w:rPr>
                <w:rFonts w:hint="eastAsia" w:cs="宋体"/>
              </w:rPr>
              <w:t>优质智能控制系统，</w:t>
            </w:r>
            <w:r>
              <w:rPr>
                <w:rFonts w:hint="eastAsia" w:cs="宋体"/>
                <w:shd w:val="clear" w:color="auto" w:fill="FFFFFF"/>
              </w:rPr>
              <w:t>具备速度控制系统以及安全运行系统。</w:t>
            </w:r>
            <w:r>
              <w:rPr>
                <w:rFonts w:hint="eastAsia" w:cs="宋体"/>
                <w:b/>
                <w:shd w:val="clear" w:color="auto" w:fill="FFFFFF"/>
              </w:rPr>
              <w:t>（</w:t>
            </w:r>
            <w:r>
              <w:rPr>
                <w:rFonts w:hint="eastAsia"/>
                <w:b/>
              </w:rPr>
              <w:t>投标时提供车辆制造商具备速度控制系统以及安全运行系统相关的第三方（国家相关部门</w:t>
            </w:r>
            <w:r>
              <w:rPr>
                <w:b/>
              </w:rPr>
              <w:t>/检测机构）证明文件的扫描件</w:t>
            </w:r>
            <w:r>
              <w:rPr>
                <w:rFonts w:hint="eastAsia" w:cs="宋体"/>
                <w:b/>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vAlign w:val="center"/>
          </w:tcPr>
          <w:p>
            <w:pPr>
              <w:pStyle w:val="12"/>
              <w:numPr>
                <w:ilvl w:val="0"/>
                <w:numId w:val="1"/>
              </w:numPr>
              <w:ind w:firstLineChars="0"/>
            </w:pPr>
          </w:p>
        </w:tc>
        <w:tc>
          <w:tcPr>
            <w:tcW w:w="3453" w:type="dxa"/>
            <w:vAlign w:val="center"/>
          </w:tcPr>
          <w:p>
            <w:r>
              <w:rPr>
                <w:rFonts w:hint="eastAsia"/>
              </w:rPr>
              <w:t>△充电系统</w:t>
            </w:r>
          </w:p>
        </w:tc>
        <w:tc>
          <w:tcPr>
            <w:tcW w:w="5138" w:type="dxa"/>
            <w:vAlign w:val="center"/>
          </w:tcPr>
          <w:p>
            <w:pPr>
              <w:rPr>
                <w:rFonts w:cs="宋体"/>
              </w:rPr>
            </w:pPr>
            <w:r>
              <w:rPr>
                <w:rFonts w:hint="eastAsia" w:cs="宋体"/>
              </w:rPr>
              <w:t>采用</w:t>
            </w:r>
            <w:r>
              <w:t>高频脉冲电脑控制智能充电</w:t>
            </w:r>
            <w:r>
              <w:rPr>
                <w:rFonts w:hint="eastAsia"/>
              </w:rPr>
              <w:t>器</w:t>
            </w:r>
            <w:r>
              <w:rPr>
                <w:rFonts w:hint="eastAsia" w:cs="宋体"/>
              </w:rPr>
              <w:t>。具有过充保护功能和过载保护功能，保护电池，延长电池的使用寿命。</w:t>
            </w:r>
            <w:r>
              <w:rPr>
                <w:rFonts w:hint="eastAsia" w:cs="宋体"/>
                <w:b/>
              </w:rPr>
              <w:t>（</w:t>
            </w:r>
            <w:r>
              <w:rPr>
                <w:rFonts w:hint="eastAsia"/>
                <w:b/>
              </w:rPr>
              <w:t>投标时提供车辆制造商具备电源过充过载保护相关的第三方（国家相关部门</w:t>
            </w:r>
            <w:r>
              <w:rPr>
                <w:b/>
              </w:rPr>
              <w:t>/检测机构）证明文件的扫描件</w:t>
            </w:r>
            <w:r>
              <w:rPr>
                <w:rFonts w:hint="eastAsia" w:cs="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vAlign w:val="center"/>
          </w:tcPr>
          <w:p>
            <w:pPr>
              <w:pStyle w:val="12"/>
              <w:numPr>
                <w:ilvl w:val="0"/>
                <w:numId w:val="1"/>
              </w:numPr>
              <w:ind w:firstLineChars="0"/>
            </w:pPr>
          </w:p>
        </w:tc>
        <w:tc>
          <w:tcPr>
            <w:tcW w:w="3453" w:type="dxa"/>
            <w:vAlign w:val="center"/>
          </w:tcPr>
          <w:p>
            <w:r>
              <w:rPr>
                <w:rFonts w:hint="eastAsia"/>
              </w:rPr>
              <w:t>档位器</w:t>
            </w:r>
          </w:p>
        </w:tc>
        <w:tc>
          <w:tcPr>
            <w:tcW w:w="5138" w:type="dxa"/>
            <w:vAlign w:val="center"/>
          </w:tcPr>
          <w:p>
            <w:r>
              <w:rPr>
                <w:rFonts w:hint="eastAsia"/>
              </w:rPr>
              <w:t>档杆式三段式档位器，换挡操作方便。</w:t>
            </w:r>
            <w:r>
              <w:rPr>
                <w:rFonts w:hint="eastAsia"/>
                <w:b/>
              </w:rPr>
              <w:t>投标时提供实物照片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vAlign w:val="center"/>
          </w:tcPr>
          <w:p>
            <w:pPr>
              <w:pStyle w:val="12"/>
              <w:numPr>
                <w:ilvl w:val="0"/>
                <w:numId w:val="1"/>
              </w:numPr>
              <w:ind w:firstLineChars="0"/>
            </w:pPr>
          </w:p>
        </w:tc>
        <w:tc>
          <w:tcPr>
            <w:tcW w:w="3453" w:type="dxa"/>
            <w:vAlign w:val="center"/>
          </w:tcPr>
          <w:p>
            <w:r>
              <w:rPr>
                <w:rFonts w:hint="eastAsia"/>
              </w:rPr>
              <w:t>△制动系统</w:t>
            </w:r>
          </w:p>
        </w:tc>
        <w:tc>
          <w:tcPr>
            <w:tcW w:w="5138" w:type="dxa"/>
            <w:vAlign w:val="center"/>
          </w:tcPr>
          <w:p>
            <w:pPr>
              <w:rPr>
                <w:rFonts w:cs="宋体"/>
              </w:rPr>
            </w:pPr>
            <w:r>
              <w:rPr>
                <w:rFonts w:hint="eastAsia"/>
              </w:rPr>
              <w:t>四轮毂刹液压行车制动+真空刹车助力+独立的机械式手驻车制动</w:t>
            </w:r>
            <w:r>
              <w:rPr>
                <w:rFonts w:hint="eastAsia" w:cs="宋体"/>
              </w:rPr>
              <w:t>，且核心部件</w:t>
            </w:r>
            <w:r>
              <w:rPr>
                <w:rFonts w:hint="eastAsia" w:ascii="宋体" w:hAnsi="宋体"/>
                <w:bCs/>
              </w:rPr>
              <w:t>符合国家现行标准</w:t>
            </w:r>
            <w:r>
              <w:rPr>
                <w:rFonts w:ascii="宋体" w:hAnsi="宋体"/>
                <w:bCs/>
              </w:rPr>
              <w:t>GB/T 2423.56-2023振动试验</w:t>
            </w:r>
            <w:r>
              <w:rPr>
                <w:rFonts w:hint="eastAsia" w:ascii="宋体" w:hAnsi="宋体"/>
                <w:bCs/>
              </w:rPr>
              <w:t>，</w:t>
            </w:r>
            <w:r>
              <w:rPr>
                <w:rFonts w:ascii="宋体" w:hAnsi="宋体"/>
                <w:bCs/>
              </w:rPr>
              <w:t>GB/T 228.1-2021</w:t>
            </w:r>
            <w:r>
              <w:rPr>
                <w:rFonts w:hint="eastAsia" w:ascii="宋体" w:hAnsi="宋体"/>
                <w:bCs/>
              </w:rPr>
              <w:t>室温试验屈服强度≥2</w:t>
            </w:r>
            <w:r>
              <w:rPr>
                <w:rFonts w:ascii="宋体" w:hAnsi="宋体"/>
                <w:bCs/>
              </w:rPr>
              <w:t>35MP</w:t>
            </w:r>
            <w:r>
              <w:rPr>
                <w:rFonts w:hint="eastAsia" w:ascii="宋体" w:hAnsi="宋体"/>
                <w:bCs/>
              </w:rPr>
              <w:t>a</w:t>
            </w:r>
            <w:r>
              <w:rPr>
                <w:rFonts w:hint="eastAsia" w:cs="宋体"/>
                <w:spacing w:val="-8"/>
              </w:rPr>
              <w:t>。</w:t>
            </w:r>
            <w:r>
              <w:rPr>
                <w:rFonts w:hint="eastAsia" w:cs="宋体"/>
                <w:b/>
                <w:spacing w:val="-8"/>
              </w:rPr>
              <w:t>（</w:t>
            </w:r>
            <w:r>
              <w:rPr>
                <w:rFonts w:hint="eastAsia"/>
                <w:b/>
              </w:rPr>
              <w:t>投标时提供车辆制造商具备</w:t>
            </w:r>
            <w:r>
              <w:rPr>
                <w:rFonts w:hint="eastAsia" w:cs="宋体"/>
                <w:b/>
              </w:rPr>
              <w:t>带</w:t>
            </w:r>
            <w:r>
              <w:rPr>
                <w:rFonts w:hint="eastAsia"/>
                <w:b/>
              </w:rPr>
              <w:t>有</w:t>
            </w:r>
            <w:r>
              <w:rPr>
                <w:b/>
              </w:rPr>
              <w:t>CMA或CNAS标识的任意一个核心部件(制动鼓、制动蹄或制动拉索)的第三方检测机构出具的检测（检验）报告原件扫描件</w:t>
            </w:r>
            <w:r>
              <w:rPr>
                <w:rFonts w:hint="eastAsia"/>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vAlign w:val="center"/>
          </w:tcPr>
          <w:p>
            <w:pPr>
              <w:pStyle w:val="12"/>
              <w:numPr>
                <w:ilvl w:val="0"/>
                <w:numId w:val="1"/>
              </w:numPr>
              <w:ind w:firstLineChars="0"/>
            </w:pPr>
          </w:p>
        </w:tc>
        <w:tc>
          <w:tcPr>
            <w:tcW w:w="3453" w:type="dxa"/>
            <w:vAlign w:val="center"/>
          </w:tcPr>
          <w:p>
            <w:r>
              <w:rPr>
                <w:rFonts w:hint="eastAsia"/>
              </w:rPr>
              <w:t>△前悬挂系统</w:t>
            </w:r>
          </w:p>
        </w:tc>
        <w:tc>
          <w:tcPr>
            <w:tcW w:w="5138" w:type="dxa"/>
            <w:vAlign w:val="center"/>
          </w:tcPr>
          <w:p>
            <w:pPr>
              <w:rPr>
                <w:rFonts w:cs="宋体"/>
              </w:rPr>
            </w:pPr>
            <w:r>
              <w:rPr>
                <w:rFonts w:hint="eastAsia" w:cs="宋体"/>
              </w:rPr>
              <w:t>麦弗逊螺旋弹簧独立悬挂，其核心部件</w:t>
            </w:r>
            <w:r>
              <w:rPr>
                <w:rFonts w:hint="eastAsia"/>
              </w:rPr>
              <w:t>应</w:t>
            </w:r>
            <w:r>
              <w:rPr>
                <w:rFonts w:hint="eastAsia" w:ascii="宋体" w:hAnsi="宋体" w:cs="宋体"/>
                <w:bCs/>
              </w:rPr>
              <w:t>符合国家现行标准</w:t>
            </w:r>
            <w:r>
              <w:rPr>
                <w:rFonts w:ascii="宋体" w:hAnsi="宋体" w:cs="宋体"/>
                <w:bCs/>
              </w:rPr>
              <w:t>GB/T 2423.56-2023振动试验</w:t>
            </w:r>
            <w:r>
              <w:rPr>
                <w:rFonts w:hint="eastAsia" w:ascii="宋体" w:hAnsi="宋体" w:cs="宋体"/>
                <w:bCs/>
              </w:rPr>
              <w:t>，</w:t>
            </w:r>
            <w:r>
              <w:rPr>
                <w:rFonts w:ascii="宋体" w:hAnsi="宋体"/>
                <w:bCs/>
              </w:rPr>
              <w:t>GB/T 228.1-2021</w:t>
            </w:r>
            <w:r>
              <w:rPr>
                <w:rFonts w:hint="eastAsia" w:ascii="宋体" w:hAnsi="宋体"/>
                <w:bCs/>
              </w:rPr>
              <w:t>室温试验屈服强度≥2</w:t>
            </w:r>
            <w:r>
              <w:rPr>
                <w:rFonts w:ascii="宋体" w:hAnsi="宋体"/>
                <w:bCs/>
              </w:rPr>
              <w:t>35MP</w:t>
            </w:r>
            <w:r>
              <w:rPr>
                <w:rFonts w:hint="eastAsia" w:ascii="宋体" w:hAnsi="宋体"/>
                <w:bCs/>
              </w:rPr>
              <w:t>a</w:t>
            </w:r>
            <w:r>
              <w:rPr>
                <w:rFonts w:ascii="宋体" w:hAnsi="宋体" w:cs="宋体"/>
                <w:bCs/>
              </w:rPr>
              <w:t>。</w:t>
            </w:r>
            <w:r>
              <w:rPr>
                <w:rFonts w:hint="eastAsia"/>
                <w:b/>
              </w:rPr>
              <w:t>（</w:t>
            </w:r>
            <w:r>
              <w:rPr>
                <w:rFonts w:hint="eastAsia" w:ascii="宋体" w:hAnsi="宋体"/>
                <w:b/>
                <w:bCs/>
              </w:rPr>
              <w:t>投标时提供车辆制造商具备</w:t>
            </w:r>
            <w:r>
              <w:rPr>
                <w:rFonts w:hint="eastAsia" w:ascii="宋体" w:hAnsi="宋体" w:cs="宋体"/>
                <w:b/>
                <w:bCs/>
              </w:rPr>
              <w:t>带</w:t>
            </w:r>
            <w:r>
              <w:rPr>
                <w:rFonts w:hint="eastAsia" w:ascii="宋体" w:hAnsi="宋体"/>
                <w:b/>
                <w:bCs/>
              </w:rPr>
              <w:t>有</w:t>
            </w:r>
            <w:r>
              <w:rPr>
                <w:rFonts w:ascii="宋体" w:hAnsi="宋体"/>
                <w:b/>
                <w:bCs/>
              </w:rPr>
              <w:t>CMA或CNAS标识的任意一个核心部件(减震器、减振螺旋弹簧或横向稳定杆)的第三方检测机构出具的检测（检验）报告原件扫描件</w:t>
            </w:r>
            <w:r>
              <w:rPr>
                <w:rFonts w:hint="eastAsia"/>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vAlign w:val="center"/>
          </w:tcPr>
          <w:p>
            <w:pPr>
              <w:pStyle w:val="12"/>
              <w:numPr>
                <w:ilvl w:val="0"/>
                <w:numId w:val="1"/>
              </w:numPr>
              <w:ind w:firstLineChars="0"/>
            </w:pPr>
          </w:p>
        </w:tc>
        <w:tc>
          <w:tcPr>
            <w:tcW w:w="3453" w:type="dxa"/>
            <w:vAlign w:val="center"/>
          </w:tcPr>
          <w:p>
            <w:r>
              <w:rPr>
                <w:rFonts w:hint="eastAsia"/>
              </w:rPr>
              <w:t>△后悬挂系统</w:t>
            </w:r>
          </w:p>
        </w:tc>
        <w:tc>
          <w:tcPr>
            <w:tcW w:w="5138" w:type="dxa"/>
            <w:vAlign w:val="center"/>
          </w:tcPr>
          <w:p>
            <w:pPr>
              <w:rPr>
                <w:rFonts w:cs="宋体"/>
              </w:rPr>
            </w:pPr>
            <w:r>
              <w:rPr>
                <w:rFonts w:hint="eastAsia" w:cs="宋体"/>
              </w:rPr>
              <w:t>后拖臂式螺旋弹簧后悬架，符合国家现行标准GB/T 2423.56-2023振动试验。</w:t>
            </w:r>
            <w:r>
              <w:rPr>
                <w:rFonts w:hint="eastAsia" w:cs="宋体"/>
                <w:b/>
                <w:spacing w:val="-8"/>
              </w:rPr>
              <w:t>（</w:t>
            </w:r>
            <w:r>
              <w:rPr>
                <w:rFonts w:cs="宋体"/>
                <w:b/>
              </w:rPr>
              <w:t>投标时</w:t>
            </w:r>
            <w:r>
              <w:rPr>
                <w:rFonts w:hint="eastAsia"/>
                <w:b/>
                <w:szCs w:val="20"/>
              </w:rPr>
              <w:t>提供车辆制造商具备</w:t>
            </w:r>
            <w:r>
              <w:rPr>
                <w:rFonts w:hint="eastAsia"/>
                <w:b/>
                <w:szCs w:val="21"/>
              </w:rPr>
              <w:t>有CMA或CNAS标识的</w:t>
            </w:r>
            <w:r>
              <w:rPr>
                <w:rFonts w:hint="eastAsia"/>
                <w:b/>
                <w:szCs w:val="20"/>
              </w:rPr>
              <w:t>后拖臂总成的第三方检测机构出具的检测（检验）报告原件扫描件）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vAlign w:val="center"/>
          </w:tcPr>
          <w:p>
            <w:pPr>
              <w:pStyle w:val="12"/>
              <w:numPr>
                <w:ilvl w:val="0"/>
                <w:numId w:val="1"/>
              </w:numPr>
              <w:ind w:firstLineChars="0"/>
            </w:pPr>
          </w:p>
        </w:tc>
        <w:tc>
          <w:tcPr>
            <w:tcW w:w="3453" w:type="dxa"/>
            <w:vAlign w:val="center"/>
          </w:tcPr>
          <w:p>
            <w:r>
              <w:rPr>
                <w:rFonts w:hint="eastAsia"/>
              </w:rPr>
              <w:t>△转向系统</w:t>
            </w:r>
          </w:p>
        </w:tc>
        <w:tc>
          <w:tcPr>
            <w:tcW w:w="5138" w:type="dxa"/>
            <w:vAlign w:val="center"/>
          </w:tcPr>
          <w:p>
            <w:pPr>
              <w:rPr>
                <w:rFonts w:cs="宋体"/>
              </w:rPr>
            </w:pPr>
            <w:r>
              <w:rPr>
                <w:rFonts w:hint="eastAsia" w:cs="宋体"/>
              </w:rPr>
              <w:t>采用齿轮齿条式转向器，带电子转向助力，转向可靠且操作轻便，</w:t>
            </w:r>
            <w:r>
              <w:rPr>
                <w:rFonts w:hint="eastAsia" w:ascii="宋体" w:hAnsi="宋体" w:cs="宋体"/>
                <w:bCs/>
              </w:rPr>
              <w:t>其部件试验1</w:t>
            </w:r>
            <w:r>
              <w:rPr>
                <w:rFonts w:ascii="宋体" w:hAnsi="宋体" w:cs="宋体"/>
                <w:bCs/>
              </w:rPr>
              <w:t>20</w:t>
            </w:r>
            <w:r>
              <w:rPr>
                <w:rFonts w:hint="eastAsia" w:ascii="宋体" w:hAnsi="宋体" w:cs="宋体"/>
                <w:bCs/>
              </w:rPr>
              <w:t>h后，试样表面不应出现变色、起泡和侵蚀等现象，且符合国家现行标准G</w:t>
            </w:r>
            <w:r>
              <w:rPr>
                <w:rFonts w:ascii="宋体" w:hAnsi="宋体" w:cs="宋体"/>
                <w:bCs/>
              </w:rPr>
              <w:t>B/T 10125-2021</w:t>
            </w:r>
            <w:r>
              <w:rPr>
                <w:rFonts w:hint="eastAsia" w:ascii="宋体" w:hAnsi="宋体" w:cs="宋体"/>
                <w:bCs/>
              </w:rPr>
              <w:t>盐雾试验。</w:t>
            </w:r>
            <w:r>
              <w:rPr>
                <w:rFonts w:hint="eastAsia" w:ascii="宋体" w:hAnsi="宋体" w:cs="宋体"/>
                <w:b/>
                <w:bCs/>
              </w:rPr>
              <w:t>（投标时提供车辆制造商具备带有</w:t>
            </w:r>
            <w:r>
              <w:rPr>
                <w:rFonts w:ascii="宋体" w:hAnsi="宋体" w:cs="宋体"/>
                <w:b/>
                <w:bCs/>
              </w:rPr>
              <w:t>CMA或CNAS标识的任意一个核心部件(转向齿轮箱、转向球头及拉杆或拉杆防尘套)的第三方检测机构出具的检测（检验）报告扫描件</w:t>
            </w:r>
            <w:r>
              <w:rPr>
                <w:rFonts w:hint="eastAsia" w:ascii="宋体" w:hAnsi="宋体" w:cs="宋体"/>
                <w:b/>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vAlign w:val="center"/>
          </w:tcPr>
          <w:p>
            <w:pPr>
              <w:pStyle w:val="12"/>
              <w:numPr>
                <w:ilvl w:val="0"/>
                <w:numId w:val="1"/>
              </w:numPr>
              <w:ind w:firstLineChars="0"/>
            </w:pPr>
          </w:p>
        </w:tc>
        <w:tc>
          <w:tcPr>
            <w:tcW w:w="3453" w:type="dxa"/>
            <w:vAlign w:val="center"/>
          </w:tcPr>
          <w:p>
            <w:r>
              <w:rPr>
                <w:rFonts w:hint="eastAsia"/>
              </w:rPr>
              <w:t>安全装置</w:t>
            </w:r>
          </w:p>
        </w:tc>
        <w:tc>
          <w:tcPr>
            <w:tcW w:w="5138" w:type="dxa"/>
            <w:vAlign w:val="center"/>
          </w:tcPr>
          <w:p>
            <w:r>
              <w:rPr>
                <w:rFonts w:hint="eastAsia"/>
              </w:rPr>
              <w:t>配置紧急断电装置，在电路失控时，司机能方便地切断总电源。</w:t>
            </w:r>
            <w:r>
              <w:rPr>
                <w:rFonts w:hint="eastAsia"/>
                <w:b/>
              </w:rPr>
              <w:t>（</w:t>
            </w:r>
            <w:r>
              <w:rPr>
                <w:rFonts w:hint="eastAsia"/>
                <w:b/>
                <w:bCs/>
              </w:rPr>
              <w:t>投标时</w:t>
            </w:r>
            <w:r>
              <w:rPr>
                <w:rFonts w:hint="eastAsia"/>
                <w:b/>
              </w:rPr>
              <w:t>提供车辆制造商具备紧急断电系统相关的第三方（国家相关部门/检测机构）证明文件的扫描件）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vAlign w:val="center"/>
          </w:tcPr>
          <w:p>
            <w:pPr>
              <w:pStyle w:val="12"/>
              <w:numPr>
                <w:ilvl w:val="0"/>
                <w:numId w:val="1"/>
              </w:numPr>
              <w:ind w:firstLineChars="0"/>
            </w:pPr>
          </w:p>
        </w:tc>
        <w:tc>
          <w:tcPr>
            <w:tcW w:w="3453" w:type="dxa"/>
            <w:vAlign w:val="center"/>
          </w:tcPr>
          <w:p>
            <w:r>
              <w:rPr>
                <w:rFonts w:hint="eastAsia"/>
              </w:rPr>
              <w:t>△整车线束</w:t>
            </w:r>
          </w:p>
        </w:tc>
        <w:tc>
          <w:tcPr>
            <w:tcW w:w="5138" w:type="dxa"/>
            <w:vAlign w:val="center"/>
          </w:tcPr>
          <w:p>
            <w:r>
              <w:rPr>
                <w:rFonts w:hint="eastAsia" w:ascii="宋体" w:hAnsi="宋体"/>
              </w:rPr>
              <w:t>车辆整车线束进行高温试验，</w:t>
            </w:r>
            <w:r>
              <w:rPr>
                <w:rFonts w:ascii="宋体" w:hAnsi="宋体"/>
              </w:rPr>
              <w:t>125℃热收缩双壁管试验后，拉伸强度不小于25.3MPa;断裂伸长率不小于300%。符合T/SHDSGY 152-2023汽车线束技术规范或T/ZS 0319-2022新能源电动汽车线束等要求</w:t>
            </w:r>
            <w:r>
              <w:rPr>
                <w:rFonts w:hint="eastAsia" w:ascii="宋体" w:hAnsi="宋体"/>
              </w:rPr>
              <w:t>。</w:t>
            </w:r>
            <w:r>
              <w:rPr>
                <w:rFonts w:hint="eastAsia" w:ascii="宋体" w:hAnsi="宋体"/>
                <w:b/>
              </w:rPr>
              <w:t>（</w:t>
            </w:r>
            <w:r>
              <w:rPr>
                <w:rFonts w:hint="eastAsia"/>
                <w:b/>
                <w:bCs/>
              </w:rPr>
              <w:t>投标时</w:t>
            </w:r>
            <w:r>
              <w:rPr>
                <w:rFonts w:hint="eastAsia" w:ascii="宋体" w:hAnsi="宋体"/>
                <w:b/>
              </w:rPr>
              <w:t>提供</w:t>
            </w:r>
            <w:r>
              <w:rPr>
                <w:rFonts w:ascii="宋体" w:hAnsi="宋体"/>
                <w:b/>
              </w:rPr>
              <w:t>车辆制造商具备的</w:t>
            </w:r>
            <w:r>
              <w:rPr>
                <w:rFonts w:hint="eastAsia" w:ascii="宋体" w:hAnsi="宋体" w:cs="宋体"/>
                <w:b/>
                <w:shd w:val="clear" w:color="auto" w:fill="FFFFFF"/>
              </w:rPr>
              <w:t>带有</w:t>
            </w:r>
            <w:r>
              <w:rPr>
                <w:rFonts w:ascii="宋体" w:hAnsi="宋体" w:cs="宋体"/>
                <w:b/>
                <w:shd w:val="clear" w:color="auto" w:fill="FFFFFF"/>
              </w:rPr>
              <w:t>CMA或CNAS标识</w:t>
            </w:r>
            <w:r>
              <w:rPr>
                <w:rFonts w:hint="eastAsia" w:ascii="宋体" w:hAnsi="宋体" w:cs="宋体"/>
                <w:b/>
                <w:shd w:val="clear" w:color="auto" w:fill="FFFFFF"/>
              </w:rPr>
              <w:t>的整车线束检测（检验）报告扫描件</w:t>
            </w:r>
            <w:r>
              <w:rPr>
                <w:rFonts w:hint="eastAsia"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vAlign w:val="center"/>
          </w:tcPr>
          <w:p>
            <w:pPr>
              <w:pStyle w:val="12"/>
              <w:numPr>
                <w:ilvl w:val="0"/>
                <w:numId w:val="1"/>
              </w:numPr>
              <w:ind w:firstLineChars="0"/>
            </w:pPr>
          </w:p>
        </w:tc>
        <w:tc>
          <w:tcPr>
            <w:tcW w:w="3453" w:type="dxa"/>
            <w:vAlign w:val="center"/>
          </w:tcPr>
          <w:p>
            <w:r>
              <w:rPr>
                <w:rFonts w:hint="eastAsia"/>
              </w:rPr>
              <w:t>轮胎</w:t>
            </w:r>
          </w:p>
        </w:tc>
        <w:tc>
          <w:tcPr>
            <w:tcW w:w="5138" w:type="dxa"/>
            <w:vAlign w:val="center"/>
          </w:tcPr>
          <w:p>
            <w:r>
              <w:rPr>
                <w:rFonts w:hint="eastAsia"/>
              </w:rPr>
              <w:t>采用不少于</w:t>
            </w:r>
            <w:r>
              <w:t>185/70R13</w:t>
            </w:r>
            <w:r>
              <w:rPr>
                <w:rFonts w:hint="eastAsia"/>
              </w:rPr>
              <w:t>规格的</w:t>
            </w:r>
            <w:r>
              <w:rPr>
                <w:bCs/>
              </w:rPr>
              <w:t>真空子午轮胎</w:t>
            </w:r>
            <w:r>
              <w:rPr>
                <w:rFonts w:hint="eastAsia"/>
              </w:rPr>
              <w:t>。</w:t>
            </w:r>
          </w:p>
        </w:tc>
      </w:tr>
    </w:tbl>
    <w:p/>
    <w:p>
      <w:pPr>
        <w:pStyle w:val="2"/>
        <w:keepNext w:val="0"/>
        <w:keepLines w:val="0"/>
        <w:pageBreakBefore/>
        <w:ind w:left="425" w:hanging="425"/>
        <w:jc w:val="center"/>
        <w:rPr>
          <w:rFonts w:ascii="宋体" w:hAnsi="宋体"/>
        </w:rPr>
      </w:pPr>
      <w:r>
        <w:rPr>
          <w:rFonts w:hint="eastAsia" w:ascii="宋体" w:hAnsi="宋体"/>
        </w:rPr>
        <w:t>评分标准</w:t>
      </w:r>
    </w:p>
    <w:p>
      <w:pPr>
        <w:rPr>
          <w:rFonts w:ascii="宋体" w:hAnsi="宋体"/>
        </w:rPr>
      </w:pPr>
    </w:p>
    <w:tbl>
      <w:tblPr>
        <w:tblStyle w:val="6"/>
        <w:tblW w:w="10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685"/>
        <w:gridCol w:w="1743"/>
        <w:gridCol w:w="711"/>
        <w:gridCol w:w="1135"/>
        <w:gridCol w:w="5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91" w:type="dxa"/>
            <w:tcBorders>
              <w:top w:val="single" w:color="auto" w:sz="4" w:space="0"/>
              <w:left w:val="single" w:color="auto" w:sz="4" w:space="0"/>
              <w:bottom w:val="single" w:color="auto" w:sz="4" w:space="0"/>
              <w:right w:val="single" w:color="auto" w:sz="4" w:space="0"/>
            </w:tcBorders>
            <w:vAlign w:val="center"/>
          </w:tcPr>
          <w:p>
            <w:pPr>
              <w:spacing w:after="60" w:line="276" w:lineRule="auto"/>
              <w:jc w:val="center"/>
              <w:rPr>
                <w:rFonts w:ascii="宋体" w:hAnsi="宋体"/>
              </w:rPr>
            </w:pPr>
            <w:r>
              <w:rPr>
                <w:rFonts w:ascii="宋体" w:hAnsi="宋体"/>
              </w:rPr>
              <w:br w:type="page"/>
            </w:r>
            <w:r>
              <w:rPr>
                <w:rFonts w:hint="eastAsia" w:ascii="宋体" w:hAnsi="宋体"/>
              </w:rPr>
              <w:t>序号</w:t>
            </w:r>
          </w:p>
        </w:tc>
        <w:tc>
          <w:tcPr>
            <w:tcW w:w="4274" w:type="dxa"/>
            <w:gridSpan w:val="4"/>
            <w:tcBorders>
              <w:top w:val="single" w:color="auto" w:sz="4" w:space="0"/>
              <w:left w:val="single" w:color="auto" w:sz="4" w:space="0"/>
              <w:bottom w:val="single" w:color="auto" w:sz="4" w:space="0"/>
              <w:right w:val="single" w:color="auto" w:sz="4" w:space="0"/>
            </w:tcBorders>
            <w:vAlign w:val="center"/>
          </w:tcPr>
          <w:p>
            <w:pPr>
              <w:spacing w:after="60" w:line="276" w:lineRule="auto"/>
              <w:jc w:val="center"/>
              <w:rPr>
                <w:rFonts w:ascii="宋体" w:hAnsi="宋体"/>
              </w:rPr>
            </w:pPr>
            <w:r>
              <w:rPr>
                <w:rFonts w:hint="eastAsia" w:ascii="宋体" w:hAnsi="宋体"/>
              </w:rPr>
              <w:t>评分项</w:t>
            </w:r>
          </w:p>
        </w:tc>
        <w:tc>
          <w:tcPr>
            <w:tcW w:w="5087" w:type="dxa"/>
            <w:tcBorders>
              <w:top w:val="single" w:color="auto" w:sz="4" w:space="0"/>
              <w:left w:val="single" w:color="auto" w:sz="4" w:space="0"/>
              <w:bottom w:val="single" w:color="auto" w:sz="4" w:space="0"/>
              <w:right w:val="single" w:color="auto" w:sz="4" w:space="0"/>
            </w:tcBorders>
            <w:vAlign w:val="center"/>
          </w:tcPr>
          <w:p>
            <w:pPr>
              <w:spacing w:after="60" w:line="276" w:lineRule="auto"/>
              <w:jc w:val="center"/>
              <w:rPr>
                <w:rFonts w:ascii="宋体" w:hAnsi="宋体"/>
              </w:rPr>
            </w:pPr>
            <w:r>
              <w:rPr>
                <w:rFonts w:hint="eastAsia" w:ascii="宋体" w:hAnsi="宋体"/>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891" w:type="dxa"/>
            <w:tcBorders>
              <w:top w:val="single" w:color="auto" w:sz="4" w:space="0"/>
              <w:left w:val="single" w:color="auto" w:sz="4" w:space="0"/>
              <w:bottom w:val="single" w:color="auto" w:sz="4" w:space="0"/>
              <w:right w:val="single" w:color="auto" w:sz="4" w:space="0"/>
            </w:tcBorders>
            <w:vAlign w:val="center"/>
          </w:tcPr>
          <w:p>
            <w:pPr>
              <w:spacing w:after="60" w:line="276" w:lineRule="auto"/>
              <w:jc w:val="center"/>
              <w:rPr>
                <w:rFonts w:ascii="宋体" w:hAnsi="宋体" w:cs="宋体"/>
                <w:b/>
                <w:bCs/>
                <w:color w:val="0000FF"/>
                <w:kern w:val="0"/>
                <w:lang w:bidi="ar"/>
              </w:rPr>
            </w:pPr>
            <w:r>
              <w:rPr>
                <w:rFonts w:hint="eastAsia" w:ascii="宋体" w:hAnsi="宋体" w:cs="宋体"/>
                <w:b/>
                <w:bCs/>
                <w:color w:val="0000FF"/>
                <w:kern w:val="0"/>
                <w:lang w:bidi="ar"/>
              </w:rPr>
              <w:t>1</w:t>
            </w:r>
          </w:p>
        </w:tc>
        <w:tc>
          <w:tcPr>
            <w:tcW w:w="4274" w:type="dxa"/>
            <w:gridSpan w:val="4"/>
            <w:tcBorders>
              <w:top w:val="single" w:color="auto" w:sz="4" w:space="0"/>
              <w:left w:val="single" w:color="auto" w:sz="4" w:space="0"/>
              <w:bottom w:val="single" w:color="auto" w:sz="4" w:space="0"/>
              <w:right w:val="single" w:color="auto" w:sz="4" w:space="0"/>
            </w:tcBorders>
            <w:vAlign w:val="center"/>
          </w:tcPr>
          <w:p>
            <w:pPr>
              <w:spacing w:after="60" w:line="276" w:lineRule="auto"/>
              <w:jc w:val="center"/>
              <w:rPr>
                <w:rFonts w:ascii="宋体" w:hAnsi="宋体" w:cs="宋体"/>
                <w:b/>
                <w:bCs/>
                <w:color w:val="0000FF"/>
                <w:kern w:val="0"/>
                <w:lang w:bidi="ar"/>
              </w:rPr>
            </w:pPr>
            <w:r>
              <w:rPr>
                <w:rFonts w:hint="eastAsia" w:ascii="宋体" w:hAnsi="宋体" w:cs="宋体"/>
                <w:b/>
                <w:bCs/>
                <w:color w:val="0000FF"/>
                <w:kern w:val="0"/>
                <w:lang w:bidi="ar"/>
              </w:rPr>
              <w:t>价格部分</w:t>
            </w:r>
          </w:p>
        </w:tc>
        <w:tc>
          <w:tcPr>
            <w:tcW w:w="5087" w:type="dxa"/>
            <w:tcBorders>
              <w:top w:val="single" w:color="auto" w:sz="4" w:space="0"/>
              <w:left w:val="single" w:color="auto" w:sz="4" w:space="0"/>
              <w:bottom w:val="single" w:color="auto" w:sz="4" w:space="0"/>
              <w:right w:val="single" w:color="auto" w:sz="4" w:space="0"/>
            </w:tcBorders>
            <w:vAlign w:val="center"/>
          </w:tcPr>
          <w:p>
            <w:pPr>
              <w:spacing w:after="60" w:line="276" w:lineRule="auto"/>
              <w:jc w:val="center"/>
              <w:rPr>
                <w:rFonts w:ascii="宋体" w:hAnsi="宋体" w:cs="宋体"/>
                <w:b/>
                <w:bCs/>
                <w:color w:val="0000FF"/>
                <w:kern w:val="0"/>
                <w:lang w:bidi="ar"/>
              </w:rPr>
            </w:pPr>
            <w:r>
              <w:rPr>
                <w:rFonts w:hint="eastAsia" w:ascii="宋体" w:hAnsi="宋体" w:cs="宋体"/>
                <w:b/>
                <w:bCs/>
                <w:color w:val="0000FF"/>
                <w:kern w:val="0"/>
                <w:lang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891" w:type="dxa"/>
            <w:tcBorders>
              <w:top w:val="single" w:color="auto" w:sz="4" w:space="0"/>
              <w:left w:val="single" w:color="auto" w:sz="4" w:space="0"/>
              <w:bottom w:val="single" w:color="auto" w:sz="4" w:space="0"/>
              <w:right w:val="single" w:color="auto" w:sz="4" w:space="0"/>
            </w:tcBorders>
            <w:vAlign w:val="center"/>
          </w:tcPr>
          <w:p>
            <w:pPr>
              <w:spacing w:after="60" w:line="276" w:lineRule="auto"/>
              <w:jc w:val="center"/>
              <w:rPr>
                <w:rFonts w:ascii="宋体" w:hAnsi="宋体"/>
              </w:rPr>
            </w:pPr>
          </w:p>
        </w:tc>
        <w:tc>
          <w:tcPr>
            <w:tcW w:w="4274" w:type="dxa"/>
            <w:gridSpan w:val="4"/>
            <w:tcBorders>
              <w:top w:val="single" w:color="auto" w:sz="4" w:space="0"/>
              <w:left w:val="single" w:color="auto" w:sz="4" w:space="0"/>
              <w:bottom w:val="single" w:color="auto" w:sz="4" w:space="0"/>
              <w:right w:val="single" w:color="auto" w:sz="4" w:space="0"/>
            </w:tcBorders>
            <w:vAlign w:val="center"/>
          </w:tcPr>
          <w:p>
            <w:pPr>
              <w:spacing w:after="60" w:line="276" w:lineRule="auto"/>
              <w:jc w:val="center"/>
              <w:rPr>
                <w:rFonts w:ascii="宋体" w:hAnsi="宋体"/>
              </w:rPr>
            </w:pPr>
            <w:r>
              <w:rPr>
                <w:rFonts w:hint="eastAsia" w:ascii="宋体" w:hAnsi="宋体"/>
              </w:rPr>
              <w:t xml:space="preserve">投标报价最低的为评标基准价 </w:t>
            </w:r>
          </w:p>
        </w:tc>
        <w:tc>
          <w:tcPr>
            <w:tcW w:w="5087" w:type="dxa"/>
            <w:tcBorders>
              <w:top w:val="single" w:color="auto" w:sz="4" w:space="0"/>
              <w:left w:val="single" w:color="auto" w:sz="4" w:space="0"/>
              <w:bottom w:val="single" w:color="auto" w:sz="4" w:space="0"/>
              <w:right w:val="single" w:color="auto" w:sz="4" w:space="0"/>
            </w:tcBorders>
            <w:vAlign w:val="center"/>
          </w:tcPr>
          <w:p>
            <w:pPr>
              <w:spacing w:after="60" w:line="276" w:lineRule="auto"/>
              <w:jc w:val="center"/>
              <w:rPr>
                <w:rFonts w:ascii="宋体" w:hAnsi="宋体"/>
              </w:rPr>
            </w:pPr>
            <w:r>
              <w:rPr>
                <w:rFonts w:hint="eastAsia" w:ascii="宋体" w:hAnsi="宋体"/>
              </w:rPr>
              <w:t>（评标基准价/投标报价）×30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91" w:type="dxa"/>
            <w:tcBorders>
              <w:top w:val="single" w:color="auto" w:sz="4" w:space="0"/>
              <w:left w:val="single" w:color="auto" w:sz="4" w:space="0"/>
              <w:bottom w:val="single" w:color="auto" w:sz="4" w:space="0"/>
              <w:right w:val="single" w:color="auto" w:sz="4" w:space="0"/>
            </w:tcBorders>
            <w:vAlign w:val="center"/>
          </w:tcPr>
          <w:p>
            <w:pPr>
              <w:spacing w:after="60" w:line="276" w:lineRule="auto"/>
              <w:jc w:val="center"/>
              <w:rPr>
                <w:rFonts w:ascii="宋体" w:hAnsi="宋体" w:cs="宋体"/>
                <w:b/>
                <w:bCs/>
                <w:color w:val="0000FF"/>
                <w:kern w:val="0"/>
                <w:lang w:bidi="ar"/>
              </w:rPr>
            </w:pPr>
            <w:r>
              <w:rPr>
                <w:rFonts w:hint="eastAsia" w:ascii="宋体" w:hAnsi="宋体" w:cs="宋体"/>
                <w:b/>
                <w:bCs/>
                <w:color w:val="0000FF"/>
                <w:kern w:val="0"/>
                <w:lang w:bidi="ar"/>
              </w:rPr>
              <w:t>2</w:t>
            </w:r>
          </w:p>
        </w:tc>
        <w:tc>
          <w:tcPr>
            <w:tcW w:w="4274" w:type="dxa"/>
            <w:gridSpan w:val="4"/>
            <w:tcBorders>
              <w:top w:val="single" w:color="auto" w:sz="4" w:space="0"/>
              <w:left w:val="single" w:color="auto" w:sz="4" w:space="0"/>
              <w:bottom w:val="single" w:color="auto" w:sz="4" w:space="0"/>
              <w:right w:val="single" w:color="auto" w:sz="4" w:space="0"/>
            </w:tcBorders>
            <w:vAlign w:val="center"/>
          </w:tcPr>
          <w:p>
            <w:pPr>
              <w:spacing w:after="60" w:line="276" w:lineRule="auto"/>
              <w:jc w:val="center"/>
              <w:rPr>
                <w:rFonts w:ascii="宋体" w:hAnsi="宋体" w:cs="宋体"/>
                <w:b/>
                <w:bCs/>
                <w:color w:val="0000FF"/>
                <w:kern w:val="0"/>
                <w:lang w:bidi="ar"/>
              </w:rPr>
            </w:pPr>
            <w:r>
              <w:rPr>
                <w:rFonts w:hint="eastAsia" w:ascii="宋体" w:hAnsi="宋体" w:cs="宋体"/>
                <w:b/>
                <w:bCs/>
                <w:color w:val="0000FF"/>
                <w:kern w:val="0"/>
                <w:lang w:bidi="ar"/>
              </w:rPr>
              <w:t>技术部分</w:t>
            </w:r>
          </w:p>
        </w:tc>
        <w:tc>
          <w:tcPr>
            <w:tcW w:w="5087" w:type="dxa"/>
            <w:tcBorders>
              <w:top w:val="single" w:color="auto" w:sz="4" w:space="0"/>
              <w:left w:val="single" w:color="auto" w:sz="4" w:space="0"/>
              <w:bottom w:val="single" w:color="auto" w:sz="4" w:space="0"/>
              <w:right w:val="single" w:color="auto" w:sz="4" w:space="0"/>
            </w:tcBorders>
            <w:vAlign w:val="center"/>
          </w:tcPr>
          <w:p>
            <w:pPr>
              <w:spacing w:after="60" w:line="276" w:lineRule="auto"/>
              <w:jc w:val="center"/>
              <w:rPr>
                <w:rFonts w:ascii="宋体" w:hAnsi="宋体" w:cs="宋体"/>
                <w:b/>
                <w:bCs/>
                <w:color w:val="0000FF"/>
                <w:kern w:val="0"/>
                <w:lang w:bidi="ar"/>
              </w:rPr>
            </w:pPr>
            <w:r>
              <w:rPr>
                <w:rFonts w:ascii="宋体" w:hAnsi="宋体" w:cs="宋体"/>
                <w:b/>
                <w:bCs/>
                <w:color w:val="0000FF"/>
                <w:kern w:val="0"/>
                <w:lang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891" w:type="dxa"/>
            <w:vMerge w:val="restart"/>
            <w:tcBorders>
              <w:top w:val="single" w:color="auto" w:sz="4" w:space="0"/>
              <w:left w:val="single" w:color="auto" w:sz="4" w:space="0"/>
              <w:right w:val="single" w:color="auto" w:sz="4" w:space="0"/>
            </w:tcBorders>
            <w:vAlign w:val="center"/>
          </w:tcPr>
          <w:p>
            <w:pPr>
              <w:spacing w:after="60" w:line="276" w:lineRule="auto"/>
              <w:jc w:val="center"/>
              <w:rPr>
                <w:rFonts w:ascii="宋体" w:hAnsi="宋体"/>
              </w:rPr>
            </w:pPr>
          </w:p>
        </w:tc>
        <w:tc>
          <w:tcPr>
            <w:tcW w:w="685" w:type="dxa"/>
            <w:tcBorders>
              <w:top w:val="single" w:color="auto" w:sz="4" w:space="0"/>
              <w:left w:val="single" w:color="auto" w:sz="4" w:space="0"/>
              <w:bottom w:val="single" w:color="auto" w:sz="4" w:space="0"/>
              <w:right w:val="single" w:color="auto" w:sz="4" w:space="0"/>
            </w:tcBorders>
            <w:vAlign w:val="center"/>
          </w:tcPr>
          <w:p>
            <w:pPr>
              <w:spacing w:after="60" w:line="276" w:lineRule="auto"/>
              <w:jc w:val="center"/>
              <w:rPr>
                <w:rFonts w:ascii="宋体" w:hAnsi="宋体"/>
              </w:rPr>
            </w:pPr>
            <w:r>
              <w:rPr>
                <w:rFonts w:hint="eastAsia" w:ascii="宋体" w:hAnsi="宋体"/>
              </w:rPr>
              <w:t>序号</w:t>
            </w:r>
          </w:p>
        </w:tc>
        <w:tc>
          <w:tcPr>
            <w:tcW w:w="1743" w:type="dxa"/>
            <w:tcBorders>
              <w:top w:val="single" w:color="auto" w:sz="4" w:space="0"/>
              <w:left w:val="single" w:color="auto" w:sz="4" w:space="0"/>
              <w:bottom w:val="single" w:color="auto" w:sz="4" w:space="0"/>
              <w:right w:val="single" w:color="auto" w:sz="4" w:space="0"/>
            </w:tcBorders>
            <w:vAlign w:val="center"/>
          </w:tcPr>
          <w:p>
            <w:pPr>
              <w:spacing w:after="60" w:line="276" w:lineRule="auto"/>
              <w:jc w:val="center"/>
              <w:rPr>
                <w:rFonts w:ascii="宋体" w:hAnsi="宋体"/>
              </w:rPr>
            </w:pPr>
            <w:r>
              <w:rPr>
                <w:rFonts w:hint="eastAsia" w:ascii="宋体" w:hAnsi="宋体"/>
              </w:rPr>
              <w:t>评分因素</w:t>
            </w:r>
          </w:p>
        </w:tc>
        <w:tc>
          <w:tcPr>
            <w:tcW w:w="711" w:type="dxa"/>
            <w:tcBorders>
              <w:top w:val="single" w:color="auto" w:sz="4" w:space="0"/>
              <w:left w:val="single" w:color="auto" w:sz="4" w:space="0"/>
              <w:bottom w:val="single" w:color="auto" w:sz="4" w:space="0"/>
              <w:right w:val="single" w:color="auto" w:sz="4" w:space="0"/>
            </w:tcBorders>
            <w:vAlign w:val="center"/>
          </w:tcPr>
          <w:p>
            <w:pPr>
              <w:spacing w:after="60" w:line="276" w:lineRule="auto"/>
              <w:jc w:val="center"/>
              <w:rPr>
                <w:rFonts w:ascii="宋体" w:hAnsi="宋体"/>
              </w:rPr>
            </w:pPr>
            <w:r>
              <w:rPr>
                <w:rFonts w:hint="eastAsia" w:ascii="宋体" w:hAnsi="宋体"/>
              </w:rPr>
              <w:t>权重</w:t>
            </w:r>
          </w:p>
        </w:tc>
        <w:tc>
          <w:tcPr>
            <w:tcW w:w="1135" w:type="dxa"/>
            <w:tcBorders>
              <w:top w:val="single" w:color="auto" w:sz="4" w:space="0"/>
              <w:left w:val="single" w:color="auto" w:sz="4" w:space="0"/>
              <w:bottom w:val="single" w:color="auto" w:sz="4" w:space="0"/>
              <w:right w:val="single" w:color="auto" w:sz="4" w:space="0"/>
            </w:tcBorders>
            <w:vAlign w:val="center"/>
          </w:tcPr>
          <w:p>
            <w:pPr>
              <w:spacing w:after="60" w:line="276" w:lineRule="auto"/>
              <w:jc w:val="center"/>
              <w:rPr>
                <w:rFonts w:ascii="宋体" w:hAnsi="宋体"/>
              </w:rPr>
            </w:pPr>
            <w:r>
              <w:rPr>
                <w:rFonts w:hint="eastAsia" w:ascii="宋体" w:hAnsi="宋体"/>
              </w:rPr>
              <w:t>评分方式</w:t>
            </w:r>
          </w:p>
        </w:tc>
        <w:tc>
          <w:tcPr>
            <w:tcW w:w="5087" w:type="dxa"/>
            <w:tcBorders>
              <w:top w:val="single" w:color="auto" w:sz="4" w:space="0"/>
              <w:left w:val="single" w:color="auto" w:sz="4" w:space="0"/>
              <w:bottom w:val="single" w:color="auto" w:sz="4" w:space="0"/>
              <w:right w:val="single" w:color="auto" w:sz="4" w:space="0"/>
            </w:tcBorders>
            <w:vAlign w:val="center"/>
          </w:tcPr>
          <w:p>
            <w:pPr>
              <w:spacing w:after="60" w:line="276" w:lineRule="auto"/>
              <w:jc w:val="center"/>
              <w:rPr>
                <w:rFonts w:ascii="宋体" w:hAnsi="宋体"/>
              </w:rPr>
            </w:pPr>
            <w:r>
              <w:rPr>
                <w:rFonts w:hint="eastAsia" w:ascii="宋体" w:hAnsi="宋体"/>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891" w:type="dxa"/>
            <w:vMerge w:val="continue"/>
            <w:tcBorders>
              <w:left w:val="single" w:color="auto" w:sz="4" w:space="0"/>
              <w:right w:val="single" w:color="auto" w:sz="4" w:space="0"/>
            </w:tcBorders>
            <w:vAlign w:val="center"/>
          </w:tcPr>
          <w:p>
            <w:pPr>
              <w:widowControl/>
              <w:spacing w:beforeAutospacing="1" w:line="276" w:lineRule="auto"/>
              <w:jc w:val="left"/>
              <w:rPr>
                <w:rFonts w:ascii="宋体" w:hAnsi="宋体"/>
              </w:rPr>
            </w:pPr>
          </w:p>
        </w:tc>
        <w:tc>
          <w:tcPr>
            <w:tcW w:w="685" w:type="dxa"/>
            <w:tcBorders>
              <w:top w:val="single" w:color="auto" w:sz="4" w:space="0"/>
              <w:left w:val="single" w:color="auto" w:sz="4" w:space="0"/>
              <w:bottom w:val="single" w:color="auto" w:sz="4" w:space="0"/>
              <w:right w:val="single" w:color="auto" w:sz="4" w:space="0"/>
            </w:tcBorders>
            <w:vAlign w:val="center"/>
          </w:tcPr>
          <w:p>
            <w:pPr>
              <w:spacing w:after="60" w:line="276" w:lineRule="auto"/>
              <w:jc w:val="center"/>
              <w:rPr>
                <w:rFonts w:ascii="宋体" w:hAnsi="宋体"/>
              </w:rPr>
            </w:pPr>
            <w:r>
              <w:rPr>
                <w:rFonts w:hint="eastAsia" w:ascii="宋体" w:hAnsi="宋体"/>
              </w:rPr>
              <w:t>1</w:t>
            </w:r>
          </w:p>
        </w:tc>
        <w:tc>
          <w:tcPr>
            <w:tcW w:w="1743" w:type="dxa"/>
            <w:tcBorders>
              <w:top w:val="single" w:color="auto" w:sz="4" w:space="0"/>
              <w:left w:val="single" w:color="auto" w:sz="4" w:space="0"/>
              <w:bottom w:val="single" w:color="auto" w:sz="4" w:space="0"/>
              <w:right w:val="single" w:color="auto" w:sz="4" w:space="0"/>
            </w:tcBorders>
            <w:vAlign w:val="center"/>
          </w:tcPr>
          <w:p>
            <w:pPr>
              <w:spacing w:after="60" w:line="276" w:lineRule="auto"/>
              <w:jc w:val="center"/>
              <w:rPr>
                <w:rFonts w:ascii="宋体" w:hAnsi="宋体"/>
              </w:rPr>
            </w:pPr>
            <w:r>
              <w:rPr>
                <w:rFonts w:hint="eastAsia" w:ascii="宋体" w:hAnsi="宋体"/>
              </w:rPr>
              <w:t>投标文件的响应程度评价</w:t>
            </w:r>
          </w:p>
        </w:tc>
        <w:tc>
          <w:tcPr>
            <w:tcW w:w="711" w:type="dxa"/>
            <w:tcBorders>
              <w:top w:val="single" w:color="auto" w:sz="4" w:space="0"/>
              <w:left w:val="single" w:color="auto" w:sz="4" w:space="0"/>
              <w:bottom w:val="single" w:color="auto" w:sz="4" w:space="0"/>
              <w:right w:val="single" w:color="auto" w:sz="4" w:space="0"/>
            </w:tcBorders>
            <w:vAlign w:val="center"/>
          </w:tcPr>
          <w:p>
            <w:pPr>
              <w:spacing w:after="60" w:line="276" w:lineRule="auto"/>
              <w:jc w:val="center"/>
              <w:rPr>
                <w:rFonts w:ascii="宋体" w:hAnsi="宋体"/>
              </w:rPr>
            </w:pPr>
            <w:r>
              <w:rPr>
                <w:rFonts w:hint="eastAsia" w:ascii="宋体" w:hAnsi="宋体"/>
              </w:rPr>
              <w:t>50</w:t>
            </w:r>
          </w:p>
        </w:tc>
        <w:tc>
          <w:tcPr>
            <w:tcW w:w="1135" w:type="dxa"/>
            <w:tcBorders>
              <w:top w:val="single" w:color="auto" w:sz="4" w:space="0"/>
              <w:left w:val="single" w:color="auto" w:sz="4" w:space="0"/>
              <w:bottom w:val="single" w:color="auto" w:sz="4" w:space="0"/>
              <w:right w:val="single" w:color="auto" w:sz="4" w:space="0"/>
            </w:tcBorders>
            <w:vAlign w:val="center"/>
          </w:tcPr>
          <w:p>
            <w:pPr>
              <w:spacing w:after="60" w:line="276" w:lineRule="auto"/>
              <w:jc w:val="center"/>
              <w:rPr>
                <w:rFonts w:ascii="宋体" w:hAnsi="宋体"/>
              </w:rPr>
            </w:pPr>
            <w:r>
              <w:rPr>
                <w:rFonts w:hint="eastAsia" w:ascii="宋体" w:hAnsi="宋体"/>
              </w:rPr>
              <w:t>专家评分</w:t>
            </w:r>
          </w:p>
        </w:tc>
        <w:tc>
          <w:tcPr>
            <w:tcW w:w="50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60" w:line="276" w:lineRule="auto"/>
              <w:rPr>
                <w:rFonts w:ascii="宋体" w:hAnsi="宋体" w:cs="宋体"/>
                <w:color w:val="000000"/>
                <w:lang w:bidi="ar"/>
              </w:rPr>
            </w:pPr>
            <w:r>
              <w:rPr>
                <w:rFonts w:hint="eastAsia" w:ascii="宋体" w:hAnsi="宋体" w:cs="宋体"/>
                <w:color w:val="000000"/>
                <w:lang w:bidi="ar"/>
              </w:rPr>
              <w:t>投标人应如实逐条填写《技术要求偏离表》，各项技术参数指标及要求全部满足的得</w:t>
            </w:r>
            <w:r>
              <w:rPr>
                <w:rFonts w:ascii="宋体" w:hAnsi="宋体" w:cs="宋体"/>
                <w:color w:val="000000"/>
                <w:lang w:bidi="ar"/>
              </w:rPr>
              <w:t>50分</w:t>
            </w:r>
            <w:r>
              <w:rPr>
                <w:rFonts w:hint="eastAsia" w:ascii="宋体" w:hAnsi="宋体" w:cs="宋体"/>
                <w:color w:val="000000"/>
                <w:lang w:bidi="ar"/>
              </w:rPr>
              <w:t>，具体评分如下：</w:t>
            </w:r>
          </w:p>
          <w:p>
            <w:pPr>
              <w:adjustRightInd w:val="0"/>
              <w:snapToGrid w:val="0"/>
              <w:spacing w:after="60" w:line="276" w:lineRule="auto"/>
              <w:rPr>
                <w:rFonts w:ascii="宋体" w:hAnsi="宋体" w:cs="宋体"/>
                <w:color w:val="000000"/>
                <w:lang w:bidi="ar"/>
              </w:rPr>
            </w:pPr>
            <w:r>
              <w:rPr>
                <w:rFonts w:ascii="宋体" w:hAnsi="宋体" w:cs="宋体"/>
                <w:color w:val="000000"/>
                <w:lang w:bidi="ar"/>
              </w:rPr>
              <w:t>1</w:t>
            </w:r>
            <w:r>
              <w:rPr>
                <w:rFonts w:hint="eastAsia" w:ascii="宋体" w:hAnsi="宋体" w:cs="宋体"/>
                <w:color w:val="000000"/>
                <w:lang w:bidi="ar"/>
              </w:rPr>
              <w:t>、“△”</w:t>
            </w:r>
            <w:r>
              <w:rPr>
                <w:rFonts w:hint="eastAsia" w:ascii="宋体" w:hAnsi="宋体" w:cs="宋体"/>
                <w:bCs/>
                <w:color w:val="000000"/>
                <w:lang w:bidi="ar"/>
              </w:rPr>
              <w:t>标识项为重要指标</w:t>
            </w:r>
            <w:r>
              <w:rPr>
                <w:rFonts w:hint="eastAsia" w:ascii="宋体" w:hAnsi="宋体" w:cs="宋体"/>
                <w:color w:val="000000"/>
                <w:lang w:bidi="ar"/>
              </w:rPr>
              <w:t>参数，每满足一项得3分；全部满足得39分；</w:t>
            </w:r>
          </w:p>
          <w:p>
            <w:pPr>
              <w:adjustRightInd w:val="0"/>
              <w:snapToGrid w:val="0"/>
              <w:spacing w:after="60" w:line="276" w:lineRule="auto"/>
              <w:rPr>
                <w:rFonts w:ascii="宋体" w:hAnsi="宋体" w:cs="宋体"/>
                <w:color w:val="000000"/>
                <w:lang w:bidi="ar"/>
              </w:rPr>
            </w:pPr>
            <w:r>
              <w:rPr>
                <w:rFonts w:ascii="宋体" w:hAnsi="宋体" w:cs="宋体"/>
                <w:bCs/>
                <w:color w:val="000000"/>
                <w:lang w:bidi="ar"/>
              </w:rPr>
              <w:t>2</w:t>
            </w:r>
            <w:r>
              <w:rPr>
                <w:rFonts w:hint="eastAsia" w:ascii="宋体" w:hAnsi="宋体" w:cs="宋体"/>
                <w:bCs/>
                <w:color w:val="000000"/>
                <w:lang w:bidi="ar"/>
              </w:rPr>
              <w:t>、无标识项参数，全部满足得</w:t>
            </w:r>
            <w:r>
              <w:rPr>
                <w:rFonts w:ascii="宋体" w:hAnsi="宋体" w:cs="宋体"/>
                <w:bCs/>
                <w:color w:val="000000"/>
                <w:lang w:bidi="ar"/>
              </w:rPr>
              <w:t>1</w:t>
            </w:r>
            <w:r>
              <w:rPr>
                <w:rFonts w:hint="eastAsia" w:ascii="宋体" w:hAnsi="宋体" w:cs="宋体"/>
                <w:bCs/>
                <w:color w:val="000000"/>
                <w:lang w:bidi="ar"/>
              </w:rPr>
              <w:t>1分，每偏离一项或不满足扣0.5分</w:t>
            </w:r>
            <w:r>
              <w:rPr>
                <w:rFonts w:hint="eastAsia" w:ascii="宋体" w:hAnsi="宋体" w:cs="宋体"/>
                <w:color w:val="000000"/>
                <w:lang w:bidi="ar"/>
              </w:rPr>
              <w:t>。</w:t>
            </w:r>
          </w:p>
          <w:p>
            <w:pPr>
              <w:spacing w:after="60" w:line="276" w:lineRule="auto"/>
              <w:jc w:val="left"/>
              <w:rPr>
                <w:rFonts w:ascii="宋体" w:hAnsi="宋体"/>
              </w:rPr>
            </w:pPr>
            <w:r>
              <w:rPr>
                <w:rFonts w:hint="eastAsia" w:ascii="宋体" w:hAnsi="宋体" w:cs="宋体"/>
                <w:color w:val="000000"/>
                <w:lang w:bidi="ar"/>
              </w:rPr>
              <w:t>（以投标文件《技术规格偏离表》为评分依据，投标供应商按招标文件要求提供相应的证明材料复印件，加盖投标供应商公章，并注明证明材料在投标文件中的具体位置。未提供有效证明材料或提供的证明资料显示不符合招标文件要求、模糊不清无法判断，该项技术指标按负偏离处理。未进行逐条应答的此部分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91" w:type="dxa"/>
            <w:tcBorders>
              <w:top w:val="single" w:color="auto" w:sz="4" w:space="0"/>
              <w:left w:val="single" w:color="auto" w:sz="4" w:space="0"/>
              <w:bottom w:val="single" w:color="auto" w:sz="4" w:space="0"/>
              <w:right w:val="single" w:color="auto" w:sz="4" w:space="0"/>
            </w:tcBorders>
            <w:vAlign w:val="center"/>
          </w:tcPr>
          <w:p>
            <w:pPr>
              <w:spacing w:after="60" w:line="276" w:lineRule="auto"/>
              <w:jc w:val="center"/>
              <w:rPr>
                <w:rFonts w:ascii="宋体" w:hAnsi="宋体" w:cs="宋体"/>
                <w:b/>
                <w:bCs/>
                <w:color w:val="0000FF"/>
                <w:kern w:val="0"/>
                <w:lang w:bidi="ar"/>
              </w:rPr>
            </w:pPr>
            <w:r>
              <w:rPr>
                <w:rFonts w:hint="eastAsia" w:ascii="宋体" w:hAnsi="宋体" w:cs="宋体"/>
                <w:b/>
                <w:bCs/>
                <w:color w:val="0000FF"/>
                <w:kern w:val="0"/>
                <w:lang w:bidi="ar"/>
              </w:rPr>
              <w:t>3</w:t>
            </w:r>
          </w:p>
        </w:tc>
        <w:tc>
          <w:tcPr>
            <w:tcW w:w="4274" w:type="dxa"/>
            <w:gridSpan w:val="4"/>
            <w:tcBorders>
              <w:top w:val="single" w:color="auto" w:sz="4" w:space="0"/>
              <w:left w:val="single" w:color="auto" w:sz="4" w:space="0"/>
              <w:bottom w:val="single" w:color="auto" w:sz="4" w:space="0"/>
              <w:right w:val="single" w:color="auto" w:sz="4" w:space="0"/>
            </w:tcBorders>
            <w:vAlign w:val="center"/>
          </w:tcPr>
          <w:p>
            <w:pPr>
              <w:spacing w:after="60" w:line="276" w:lineRule="auto"/>
              <w:jc w:val="center"/>
              <w:rPr>
                <w:rFonts w:ascii="宋体" w:hAnsi="宋体" w:cs="宋体"/>
                <w:b/>
                <w:bCs/>
                <w:color w:val="0000FF"/>
                <w:kern w:val="0"/>
                <w:lang w:bidi="ar"/>
              </w:rPr>
            </w:pPr>
            <w:r>
              <w:rPr>
                <w:rFonts w:hint="eastAsia" w:ascii="宋体" w:hAnsi="宋体" w:cs="宋体"/>
                <w:b/>
                <w:bCs/>
                <w:color w:val="0000FF"/>
                <w:kern w:val="0"/>
                <w:lang w:bidi="ar"/>
              </w:rPr>
              <w:t>商务部分</w:t>
            </w:r>
          </w:p>
        </w:tc>
        <w:tc>
          <w:tcPr>
            <w:tcW w:w="5087" w:type="dxa"/>
            <w:tcBorders>
              <w:top w:val="single" w:color="auto" w:sz="4" w:space="0"/>
              <w:left w:val="single" w:color="auto" w:sz="4" w:space="0"/>
              <w:bottom w:val="single" w:color="auto" w:sz="4" w:space="0"/>
              <w:right w:val="single" w:color="auto" w:sz="4" w:space="0"/>
            </w:tcBorders>
            <w:vAlign w:val="center"/>
          </w:tcPr>
          <w:p>
            <w:pPr>
              <w:spacing w:after="60" w:line="276" w:lineRule="auto"/>
              <w:jc w:val="center"/>
              <w:rPr>
                <w:rFonts w:ascii="宋体" w:hAnsi="宋体" w:cs="宋体"/>
                <w:b/>
                <w:bCs/>
                <w:color w:val="0000FF"/>
                <w:kern w:val="0"/>
                <w:lang w:bidi="ar"/>
              </w:rPr>
            </w:pPr>
            <w:r>
              <w:rPr>
                <w:rFonts w:ascii="宋体" w:hAnsi="宋体" w:cs="宋体"/>
                <w:b/>
                <w:bCs/>
                <w:color w:val="0000FF"/>
                <w:kern w:val="0"/>
                <w:lang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91" w:type="dxa"/>
            <w:vMerge w:val="restart"/>
            <w:tcBorders>
              <w:top w:val="single" w:color="auto" w:sz="4" w:space="0"/>
              <w:left w:val="single" w:color="auto" w:sz="4" w:space="0"/>
              <w:bottom w:val="single" w:color="auto" w:sz="4" w:space="0"/>
              <w:right w:val="single" w:color="auto" w:sz="4" w:space="0"/>
            </w:tcBorders>
            <w:vAlign w:val="center"/>
          </w:tcPr>
          <w:p>
            <w:pPr>
              <w:spacing w:after="60" w:line="276" w:lineRule="auto"/>
              <w:jc w:val="center"/>
              <w:rPr>
                <w:rFonts w:ascii="宋体" w:hAnsi="宋体"/>
                <w:color w:val="FF0000"/>
              </w:rPr>
            </w:pPr>
          </w:p>
        </w:tc>
        <w:tc>
          <w:tcPr>
            <w:tcW w:w="685" w:type="dxa"/>
            <w:tcBorders>
              <w:top w:val="single" w:color="auto" w:sz="4" w:space="0"/>
              <w:left w:val="single" w:color="auto" w:sz="4" w:space="0"/>
              <w:bottom w:val="single" w:color="auto" w:sz="4" w:space="0"/>
              <w:right w:val="single" w:color="auto" w:sz="4" w:space="0"/>
            </w:tcBorders>
            <w:vAlign w:val="center"/>
          </w:tcPr>
          <w:p>
            <w:pPr>
              <w:spacing w:after="60" w:line="276" w:lineRule="auto"/>
              <w:jc w:val="center"/>
              <w:rPr>
                <w:rFonts w:ascii="宋体" w:hAnsi="宋体"/>
              </w:rPr>
            </w:pPr>
            <w:r>
              <w:rPr>
                <w:rFonts w:hint="eastAsia" w:ascii="宋体" w:hAnsi="宋体"/>
              </w:rPr>
              <w:t>序号</w:t>
            </w:r>
          </w:p>
        </w:tc>
        <w:tc>
          <w:tcPr>
            <w:tcW w:w="1743" w:type="dxa"/>
            <w:tcBorders>
              <w:top w:val="single" w:color="auto" w:sz="4" w:space="0"/>
              <w:left w:val="single" w:color="auto" w:sz="4" w:space="0"/>
              <w:bottom w:val="single" w:color="auto" w:sz="4" w:space="0"/>
              <w:right w:val="single" w:color="auto" w:sz="4" w:space="0"/>
            </w:tcBorders>
            <w:vAlign w:val="center"/>
          </w:tcPr>
          <w:p>
            <w:pPr>
              <w:spacing w:after="60" w:line="276" w:lineRule="auto"/>
              <w:jc w:val="center"/>
              <w:rPr>
                <w:rFonts w:ascii="宋体" w:hAnsi="宋体"/>
              </w:rPr>
            </w:pPr>
            <w:r>
              <w:rPr>
                <w:rFonts w:hint="eastAsia" w:ascii="宋体" w:hAnsi="宋体"/>
              </w:rPr>
              <w:t>评分因素</w:t>
            </w:r>
          </w:p>
        </w:tc>
        <w:tc>
          <w:tcPr>
            <w:tcW w:w="711" w:type="dxa"/>
            <w:tcBorders>
              <w:top w:val="single" w:color="auto" w:sz="4" w:space="0"/>
              <w:left w:val="single" w:color="auto" w:sz="4" w:space="0"/>
              <w:bottom w:val="single" w:color="auto" w:sz="4" w:space="0"/>
              <w:right w:val="single" w:color="auto" w:sz="4" w:space="0"/>
            </w:tcBorders>
            <w:vAlign w:val="center"/>
          </w:tcPr>
          <w:p>
            <w:pPr>
              <w:spacing w:after="60" w:line="276" w:lineRule="auto"/>
              <w:jc w:val="center"/>
              <w:rPr>
                <w:rFonts w:ascii="宋体" w:hAnsi="宋体"/>
              </w:rPr>
            </w:pPr>
            <w:r>
              <w:rPr>
                <w:rFonts w:hint="eastAsia" w:ascii="宋体" w:hAnsi="宋体"/>
              </w:rPr>
              <w:t>权重</w:t>
            </w:r>
          </w:p>
        </w:tc>
        <w:tc>
          <w:tcPr>
            <w:tcW w:w="1135" w:type="dxa"/>
            <w:tcBorders>
              <w:top w:val="single" w:color="auto" w:sz="4" w:space="0"/>
              <w:left w:val="single" w:color="auto" w:sz="4" w:space="0"/>
              <w:bottom w:val="single" w:color="auto" w:sz="4" w:space="0"/>
              <w:right w:val="single" w:color="auto" w:sz="4" w:space="0"/>
            </w:tcBorders>
            <w:vAlign w:val="center"/>
          </w:tcPr>
          <w:p>
            <w:pPr>
              <w:spacing w:after="60" w:line="276" w:lineRule="auto"/>
              <w:jc w:val="center"/>
              <w:rPr>
                <w:rFonts w:ascii="宋体" w:hAnsi="宋体"/>
              </w:rPr>
            </w:pPr>
            <w:r>
              <w:rPr>
                <w:rFonts w:hint="eastAsia" w:ascii="宋体" w:hAnsi="宋体"/>
              </w:rPr>
              <w:t>评分方式</w:t>
            </w:r>
          </w:p>
        </w:tc>
        <w:tc>
          <w:tcPr>
            <w:tcW w:w="5087" w:type="dxa"/>
            <w:tcBorders>
              <w:top w:val="single" w:color="auto" w:sz="4" w:space="0"/>
              <w:left w:val="single" w:color="auto" w:sz="4" w:space="0"/>
              <w:bottom w:val="single" w:color="auto" w:sz="4" w:space="0"/>
              <w:right w:val="single" w:color="auto" w:sz="4" w:space="0"/>
            </w:tcBorders>
            <w:vAlign w:val="center"/>
          </w:tcPr>
          <w:p>
            <w:pPr>
              <w:spacing w:after="60" w:line="276" w:lineRule="auto"/>
              <w:jc w:val="center"/>
              <w:rPr>
                <w:rFonts w:ascii="宋体" w:hAnsi="宋体"/>
              </w:rPr>
            </w:pPr>
            <w:r>
              <w:rPr>
                <w:rFonts w:hint="eastAsia" w:ascii="宋体" w:hAnsi="宋体"/>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line="276" w:lineRule="auto"/>
              <w:jc w:val="left"/>
              <w:rPr>
                <w:rFonts w:ascii="宋体" w:hAnsi="宋体"/>
                <w:color w:val="FF0000"/>
              </w:rPr>
            </w:pPr>
          </w:p>
        </w:tc>
        <w:tc>
          <w:tcPr>
            <w:tcW w:w="685" w:type="dxa"/>
            <w:tcBorders>
              <w:top w:val="single" w:color="auto" w:sz="4" w:space="0"/>
              <w:left w:val="single" w:color="auto" w:sz="4" w:space="0"/>
              <w:bottom w:val="single" w:color="auto" w:sz="4" w:space="0"/>
              <w:right w:val="single" w:color="auto" w:sz="4" w:space="0"/>
            </w:tcBorders>
            <w:vAlign w:val="center"/>
          </w:tcPr>
          <w:p>
            <w:pPr>
              <w:spacing w:after="60" w:line="276" w:lineRule="auto"/>
              <w:jc w:val="center"/>
              <w:rPr>
                <w:rFonts w:ascii="宋体" w:hAnsi="宋体"/>
              </w:rPr>
            </w:pPr>
            <w:r>
              <w:rPr>
                <w:rFonts w:hint="eastAsia" w:ascii="宋体" w:hAnsi="宋体"/>
              </w:rPr>
              <w:t>1</w:t>
            </w:r>
          </w:p>
        </w:tc>
        <w:tc>
          <w:tcPr>
            <w:tcW w:w="1743" w:type="dxa"/>
            <w:tcBorders>
              <w:top w:val="single" w:color="auto" w:sz="4" w:space="0"/>
              <w:left w:val="single" w:color="auto" w:sz="4" w:space="0"/>
              <w:bottom w:val="single" w:color="auto" w:sz="4" w:space="0"/>
              <w:right w:val="single" w:color="auto" w:sz="4" w:space="0"/>
            </w:tcBorders>
            <w:vAlign w:val="center"/>
          </w:tcPr>
          <w:p>
            <w:pPr>
              <w:wordWrap w:val="0"/>
              <w:spacing w:after="60" w:line="276" w:lineRule="auto"/>
              <w:jc w:val="center"/>
              <w:rPr>
                <w:rFonts w:ascii="宋体" w:hAnsi="宋体"/>
              </w:rPr>
            </w:pPr>
            <w:r>
              <w:rPr>
                <w:rFonts w:hint="eastAsia" w:ascii="宋体" w:hAnsi="宋体"/>
              </w:rPr>
              <w:t>认证体系</w:t>
            </w:r>
          </w:p>
        </w:tc>
        <w:tc>
          <w:tcPr>
            <w:tcW w:w="711" w:type="dxa"/>
            <w:tcBorders>
              <w:top w:val="single" w:color="auto" w:sz="4" w:space="0"/>
              <w:left w:val="single" w:color="auto" w:sz="4" w:space="0"/>
              <w:bottom w:val="single" w:color="auto" w:sz="4" w:space="0"/>
              <w:right w:val="single" w:color="auto" w:sz="4" w:space="0"/>
            </w:tcBorders>
            <w:vAlign w:val="center"/>
          </w:tcPr>
          <w:p>
            <w:pPr>
              <w:wordWrap w:val="0"/>
              <w:spacing w:after="60" w:line="276" w:lineRule="auto"/>
              <w:jc w:val="center"/>
              <w:rPr>
                <w:rFonts w:ascii="宋体" w:hAnsi="宋体"/>
              </w:rPr>
            </w:pPr>
            <w:r>
              <w:rPr>
                <w:rFonts w:ascii="宋体" w:hAnsi="宋体"/>
              </w:rPr>
              <w:t>6</w:t>
            </w:r>
          </w:p>
        </w:tc>
        <w:tc>
          <w:tcPr>
            <w:tcW w:w="1135" w:type="dxa"/>
            <w:tcBorders>
              <w:top w:val="single" w:color="auto" w:sz="4" w:space="0"/>
              <w:left w:val="single" w:color="auto" w:sz="4" w:space="0"/>
              <w:bottom w:val="single" w:color="auto" w:sz="4" w:space="0"/>
              <w:right w:val="single" w:color="auto" w:sz="4" w:space="0"/>
            </w:tcBorders>
            <w:vAlign w:val="center"/>
          </w:tcPr>
          <w:p>
            <w:pPr>
              <w:spacing w:after="60" w:line="276" w:lineRule="auto"/>
              <w:jc w:val="center"/>
              <w:rPr>
                <w:rFonts w:ascii="宋体" w:hAnsi="宋体"/>
              </w:rPr>
            </w:pPr>
            <w:r>
              <w:rPr>
                <w:rFonts w:hint="eastAsia" w:ascii="宋体" w:hAnsi="宋体"/>
              </w:rPr>
              <w:t>专家评分</w:t>
            </w:r>
          </w:p>
        </w:tc>
        <w:tc>
          <w:tcPr>
            <w:tcW w:w="5087" w:type="dxa"/>
            <w:tcBorders>
              <w:top w:val="single" w:color="auto" w:sz="4" w:space="0"/>
              <w:left w:val="single" w:color="auto" w:sz="4" w:space="0"/>
              <w:bottom w:val="single" w:color="auto" w:sz="4" w:space="0"/>
              <w:right w:val="single" w:color="auto" w:sz="4" w:space="0"/>
            </w:tcBorders>
            <w:vAlign w:val="center"/>
          </w:tcPr>
          <w:p>
            <w:pPr>
              <w:wordWrap w:val="0"/>
              <w:spacing w:after="60" w:line="276" w:lineRule="auto"/>
              <w:rPr>
                <w:rFonts w:ascii="宋体" w:hAnsi="宋体"/>
              </w:rPr>
            </w:pPr>
            <w:r>
              <w:rPr>
                <w:rFonts w:hint="eastAsia" w:ascii="宋体" w:hAnsi="宋体"/>
              </w:rPr>
              <w:t>所投产品制造商具有质量管理体系认证证书、环境管理体系认证证书、</w:t>
            </w:r>
            <w:r>
              <w:rPr>
                <w:rFonts w:ascii="宋体" w:hAnsi="宋体"/>
              </w:rPr>
              <w:t>职业健康安全</w:t>
            </w:r>
            <w:r>
              <w:rPr>
                <w:rFonts w:hint="eastAsia" w:ascii="宋体" w:hAnsi="宋体"/>
              </w:rPr>
              <w:t>管理体系认证证书、知识产权管理体系认证证书、</w:t>
            </w:r>
            <w:r>
              <w:rPr>
                <w:rFonts w:hint="eastAsia" w:ascii="宋体" w:hAnsi="宋体"/>
                <w:color w:val="333333"/>
                <w:shd w:val="clear" w:color="auto" w:fill="FFFFFF"/>
              </w:rPr>
              <w:t>GB/T 31950—2023</w:t>
            </w:r>
            <w:r>
              <w:rPr>
                <w:rFonts w:hint="eastAsia" w:ascii="宋体" w:hAnsi="宋体"/>
              </w:rPr>
              <w:t>企业诚信管理体系认证、5.能源管理体系认证，具备2项得</w:t>
            </w:r>
            <w:r>
              <w:rPr>
                <w:rFonts w:ascii="宋体" w:hAnsi="宋体"/>
              </w:rPr>
              <w:t>2</w:t>
            </w:r>
            <w:r>
              <w:rPr>
                <w:rFonts w:hint="eastAsia" w:ascii="宋体" w:hAnsi="宋体"/>
              </w:rPr>
              <w:t>分，3项得</w:t>
            </w:r>
            <w:r>
              <w:rPr>
                <w:rFonts w:ascii="宋体" w:hAnsi="宋体"/>
              </w:rPr>
              <w:t>4</w:t>
            </w:r>
            <w:r>
              <w:rPr>
                <w:rFonts w:hint="eastAsia" w:ascii="宋体" w:hAnsi="宋体"/>
              </w:rPr>
              <w:t>分，齐全的得满分</w:t>
            </w:r>
            <w:r>
              <w:rPr>
                <w:rFonts w:ascii="宋体" w:hAnsi="宋体"/>
              </w:rPr>
              <w:t>6</w:t>
            </w:r>
            <w:r>
              <w:rPr>
                <w:rFonts w:hint="eastAsia" w:ascii="宋体" w:hAnsi="宋体"/>
              </w:rPr>
              <w:t>分。（以上需提供有效期内的认证证书复印件），同时提供国家市场监督管理总局全国认证认可信息公共服务平台（http://cx.cnca.cn/CertECloud/index/index/page）证书查询截图加盖投标人公章）。须提供认证认可查询平台的有效截图及原件扫描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276" w:lineRule="auto"/>
              <w:jc w:val="left"/>
              <w:rPr>
                <w:rFonts w:ascii="宋体" w:hAnsi="宋体"/>
                <w:color w:val="FF0000"/>
              </w:rPr>
            </w:pPr>
          </w:p>
        </w:tc>
        <w:tc>
          <w:tcPr>
            <w:tcW w:w="685" w:type="dxa"/>
            <w:tcBorders>
              <w:top w:val="single" w:color="auto" w:sz="4" w:space="0"/>
              <w:left w:val="single" w:color="auto" w:sz="4" w:space="0"/>
              <w:bottom w:val="single" w:color="auto" w:sz="4" w:space="0"/>
              <w:right w:val="single" w:color="auto" w:sz="4" w:space="0"/>
            </w:tcBorders>
            <w:vAlign w:val="center"/>
          </w:tcPr>
          <w:p>
            <w:pPr>
              <w:spacing w:after="60" w:line="276" w:lineRule="auto"/>
              <w:jc w:val="center"/>
              <w:rPr>
                <w:rFonts w:ascii="宋体" w:hAnsi="宋体"/>
              </w:rPr>
            </w:pPr>
            <w:r>
              <w:rPr>
                <w:rFonts w:hint="eastAsia" w:ascii="宋体" w:hAnsi="宋体"/>
              </w:rPr>
              <w:t>2</w:t>
            </w:r>
          </w:p>
        </w:tc>
        <w:tc>
          <w:tcPr>
            <w:tcW w:w="1743" w:type="dxa"/>
            <w:tcBorders>
              <w:top w:val="single" w:color="auto" w:sz="4" w:space="0"/>
              <w:left w:val="single" w:color="auto" w:sz="4" w:space="0"/>
              <w:bottom w:val="single" w:color="auto" w:sz="4" w:space="0"/>
              <w:right w:val="single" w:color="auto" w:sz="4" w:space="0"/>
            </w:tcBorders>
            <w:vAlign w:val="center"/>
          </w:tcPr>
          <w:p>
            <w:pPr>
              <w:wordWrap w:val="0"/>
              <w:spacing w:after="60" w:line="276" w:lineRule="auto"/>
              <w:jc w:val="center"/>
              <w:rPr>
                <w:rFonts w:ascii="宋体" w:hAnsi="宋体"/>
              </w:rPr>
            </w:pPr>
            <w:r>
              <w:rPr>
                <w:rFonts w:hint="eastAsia" w:ascii="宋体" w:hAnsi="宋体"/>
              </w:rPr>
              <w:t>售后服务能力</w:t>
            </w:r>
          </w:p>
        </w:tc>
        <w:tc>
          <w:tcPr>
            <w:tcW w:w="711" w:type="dxa"/>
            <w:tcBorders>
              <w:top w:val="single" w:color="auto" w:sz="4" w:space="0"/>
              <w:left w:val="single" w:color="auto" w:sz="4" w:space="0"/>
              <w:bottom w:val="single" w:color="auto" w:sz="4" w:space="0"/>
              <w:right w:val="single" w:color="auto" w:sz="4" w:space="0"/>
            </w:tcBorders>
            <w:vAlign w:val="center"/>
          </w:tcPr>
          <w:p>
            <w:pPr>
              <w:wordWrap w:val="0"/>
              <w:spacing w:after="60" w:line="276" w:lineRule="auto"/>
              <w:jc w:val="center"/>
              <w:rPr>
                <w:rFonts w:ascii="宋体" w:hAnsi="宋体"/>
              </w:rPr>
            </w:pPr>
            <w:r>
              <w:rPr>
                <w:rFonts w:ascii="宋体" w:hAnsi="宋体"/>
              </w:rPr>
              <w:t>6</w:t>
            </w:r>
          </w:p>
        </w:tc>
        <w:tc>
          <w:tcPr>
            <w:tcW w:w="1135" w:type="dxa"/>
            <w:tcBorders>
              <w:top w:val="single" w:color="auto" w:sz="4" w:space="0"/>
              <w:left w:val="single" w:color="auto" w:sz="4" w:space="0"/>
              <w:bottom w:val="single" w:color="auto" w:sz="4" w:space="0"/>
              <w:right w:val="single" w:color="auto" w:sz="4" w:space="0"/>
            </w:tcBorders>
            <w:vAlign w:val="center"/>
          </w:tcPr>
          <w:p>
            <w:pPr>
              <w:spacing w:after="60" w:line="276" w:lineRule="auto"/>
              <w:jc w:val="center"/>
              <w:rPr>
                <w:rFonts w:ascii="宋体" w:hAnsi="宋体"/>
              </w:rPr>
            </w:pPr>
            <w:r>
              <w:rPr>
                <w:rFonts w:hint="eastAsia" w:ascii="宋体" w:hAnsi="宋体"/>
              </w:rPr>
              <w:t>专家评分</w:t>
            </w:r>
          </w:p>
        </w:tc>
        <w:tc>
          <w:tcPr>
            <w:tcW w:w="5087"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rPr>
            </w:pPr>
            <w:r>
              <w:rPr>
                <w:rFonts w:hint="eastAsia" w:ascii="宋体" w:hAnsi="宋体"/>
              </w:rPr>
              <w:t>根据投标人或所投产品制造商的售后服务能力保障情况进行横向评审：（满分</w:t>
            </w:r>
            <w:r>
              <w:rPr>
                <w:rFonts w:ascii="宋体" w:hAnsi="宋体"/>
              </w:rPr>
              <w:t>9分</w:t>
            </w:r>
            <w:r>
              <w:rPr>
                <w:rFonts w:hint="eastAsia" w:ascii="宋体" w:hAnsi="宋体"/>
              </w:rPr>
              <w:t>）</w:t>
            </w:r>
          </w:p>
          <w:p>
            <w:pPr>
              <w:spacing w:line="276" w:lineRule="auto"/>
              <w:rPr>
                <w:rFonts w:ascii="宋体" w:hAnsi="宋体"/>
              </w:rPr>
            </w:pPr>
            <w:r>
              <w:rPr>
                <w:rFonts w:hint="eastAsia" w:ascii="宋体" w:hAnsi="宋体"/>
              </w:rPr>
              <w:t>1．通过《CTEAS售后服务体系完善程度认证评价规范》，售后服务体系相关认证达到七星级（含）以上得2分，七星级以下得1分，未提供不得分。</w:t>
            </w:r>
          </w:p>
          <w:p>
            <w:pPr>
              <w:spacing w:line="276" w:lineRule="auto"/>
              <w:rPr>
                <w:rFonts w:ascii="宋体" w:hAnsi="宋体"/>
              </w:rPr>
            </w:pPr>
            <w:r>
              <w:rPr>
                <w:rFonts w:ascii="宋体" w:hAnsi="宋体"/>
              </w:rPr>
              <w:t>2.</w:t>
            </w:r>
            <w:r>
              <w:rPr>
                <w:rFonts w:hint="eastAsia" w:ascii="宋体" w:hAnsi="宋体"/>
              </w:rPr>
              <w:t xml:space="preserve"> 根据本项目实际情况，编写详细的售后服务方案，包括故障响应时间、响应方式、修复时间、技术人员配置、培训计划。</w:t>
            </w:r>
          </w:p>
          <w:p>
            <w:pPr>
              <w:spacing w:line="276" w:lineRule="auto"/>
              <w:rPr>
                <w:rFonts w:ascii="宋体" w:hAnsi="宋体"/>
              </w:rPr>
            </w:pPr>
            <w:r>
              <w:rPr>
                <w:rFonts w:hint="eastAsia" w:ascii="宋体" w:hAnsi="宋体"/>
              </w:rPr>
              <w:t>（1）方案的可行性好、详细具体、合理视为优，得</w:t>
            </w:r>
            <w:r>
              <w:rPr>
                <w:rFonts w:ascii="宋体" w:hAnsi="宋体"/>
              </w:rPr>
              <w:t>3</w:t>
            </w:r>
            <w:r>
              <w:rPr>
                <w:rFonts w:hint="eastAsia" w:ascii="宋体" w:hAnsi="宋体"/>
              </w:rPr>
              <w:t>-</w:t>
            </w:r>
            <w:r>
              <w:rPr>
                <w:rFonts w:ascii="宋体" w:hAnsi="宋体"/>
              </w:rPr>
              <w:t>4</w:t>
            </w:r>
            <w:r>
              <w:rPr>
                <w:rFonts w:hint="eastAsia" w:ascii="宋体" w:hAnsi="宋体"/>
              </w:rPr>
              <w:t>分；</w:t>
            </w:r>
          </w:p>
          <w:p>
            <w:pPr>
              <w:spacing w:line="276" w:lineRule="auto"/>
              <w:rPr>
                <w:rFonts w:ascii="宋体" w:hAnsi="宋体"/>
              </w:rPr>
            </w:pPr>
            <w:r>
              <w:rPr>
                <w:rFonts w:hint="eastAsia" w:ascii="宋体" w:hAnsi="宋体"/>
              </w:rPr>
              <w:t>（2）方案基本具备可行性、较为详细具体、较为合理视为良，得</w:t>
            </w:r>
            <w:r>
              <w:rPr>
                <w:rFonts w:ascii="宋体" w:hAnsi="宋体"/>
              </w:rPr>
              <w:t>1</w:t>
            </w:r>
            <w:r>
              <w:rPr>
                <w:rFonts w:hint="eastAsia" w:ascii="宋体" w:hAnsi="宋体"/>
              </w:rPr>
              <w:t>-</w:t>
            </w:r>
            <w:r>
              <w:rPr>
                <w:rFonts w:ascii="宋体" w:hAnsi="宋体"/>
              </w:rPr>
              <w:t>2</w:t>
            </w:r>
            <w:r>
              <w:rPr>
                <w:rFonts w:hint="eastAsia" w:ascii="宋体" w:hAnsi="宋体"/>
              </w:rPr>
              <w:t>分；</w:t>
            </w:r>
          </w:p>
          <w:p>
            <w:pPr>
              <w:spacing w:line="276" w:lineRule="auto"/>
              <w:rPr>
                <w:rFonts w:ascii="宋体" w:hAnsi="宋体"/>
              </w:rPr>
            </w:pPr>
            <w:r>
              <w:rPr>
                <w:rFonts w:hint="eastAsia" w:ascii="宋体" w:hAnsi="宋体"/>
              </w:rPr>
              <w:t>（3）方案可行一般、不够详细具体、不合理视为差，得0</w:t>
            </w:r>
            <w:r>
              <w:rPr>
                <w:rFonts w:ascii="宋体" w:hAnsi="宋体"/>
              </w:rPr>
              <w:t>-</w:t>
            </w:r>
            <w:r>
              <w:rPr>
                <w:rFonts w:hint="eastAsia" w:ascii="宋体" w:hAnsi="宋体"/>
              </w:rPr>
              <w:t>1分；</w:t>
            </w:r>
          </w:p>
          <w:p>
            <w:pPr>
              <w:spacing w:line="276" w:lineRule="auto"/>
              <w:rPr>
                <w:rFonts w:ascii="宋体" w:hAnsi="宋体"/>
              </w:rPr>
            </w:pPr>
            <w:r>
              <w:rPr>
                <w:rFonts w:ascii="宋体" w:hAnsi="宋体"/>
              </w:rPr>
              <w:t>(4</w:t>
            </w:r>
            <w:r>
              <w:rPr>
                <w:rFonts w:hint="eastAsia" w:ascii="宋体" w:hAnsi="宋体"/>
              </w:rPr>
              <w:t>)未提供方案不得分。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276" w:lineRule="auto"/>
              <w:jc w:val="left"/>
              <w:rPr>
                <w:rFonts w:ascii="宋体" w:hAnsi="宋体"/>
                <w:color w:val="FF0000"/>
              </w:rPr>
            </w:pPr>
          </w:p>
        </w:tc>
        <w:tc>
          <w:tcPr>
            <w:tcW w:w="685" w:type="dxa"/>
            <w:tcBorders>
              <w:top w:val="single" w:color="auto" w:sz="4" w:space="0"/>
              <w:left w:val="single" w:color="auto" w:sz="4" w:space="0"/>
              <w:bottom w:val="single" w:color="auto" w:sz="4" w:space="0"/>
              <w:right w:val="single" w:color="auto" w:sz="4" w:space="0"/>
            </w:tcBorders>
            <w:vAlign w:val="center"/>
          </w:tcPr>
          <w:p>
            <w:pPr>
              <w:spacing w:after="60" w:line="276" w:lineRule="auto"/>
              <w:jc w:val="center"/>
              <w:rPr>
                <w:rFonts w:ascii="宋体" w:hAnsi="宋体"/>
              </w:rPr>
            </w:pPr>
            <w:r>
              <w:rPr>
                <w:rFonts w:hint="eastAsia" w:ascii="宋体" w:hAnsi="宋体"/>
              </w:rPr>
              <w:t>3</w:t>
            </w:r>
          </w:p>
        </w:tc>
        <w:tc>
          <w:tcPr>
            <w:tcW w:w="1743" w:type="dxa"/>
            <w:tcBorders>
              <w:top w:val="single" w:color="auto" w:sz="4" w:space="0"/>
              <w:left w:val="single" w:color="auto" w:sz="4" w:space="0"/>
              <w:bottom w:val="single" w:color="auto" w:sz="4" w:space="0"/>
              <w:right w:val="single" w:color="auto" w:sz="4" w:space="0"/>
            </w:tcBorders>
            <w:vAlign w:val="center"/>
          </w:tcPr>
          <w:p>
            <w:pPr>
              <w:wordWrap w:val="0"/>
              <w:spacing w:after="60" w:line="276" w:lineRule="auto"/>
              <w:jc w:val="center"/>
              <w:rPr>
                <w:rFonts w:ascii="宋体" w:hAnsi="宋体"/>
              </w:rPr>
            </w:pPr>
            <w:r>
              <w:rPr>
                <w:rFonts w:hint="eastAsia" w:ascii="宋体" w:hAnsi="宋体" w:cs="等线 Light"/>
              </w:rPr>
              <w:t>同类业绩</w:t>
            </w:r>
          </w:p>
        </w:tc>
        <w:tc>
          <w:tcPr>
            <w:tcW w:w="711" w:type="dxa"/>
            <w:tcBorders>
              <w:top w:val="single" w:color="auto" w:sz="4" w:space="0"/>
              <w:left w:val="single" w:color="auto" w:sz="4" w:space="0"/>
              <w:bottom w:val="single" w:color="auto" w:sz="4" w:space="0"/>
              <w:right w:val="single" w:color="auto" w:sz="4" w:space="0"/>
            </w:tcBorders>
            <w:vAlign w:val="center"/>
          </w:tcPr>
          <w:p>
            <w:pPr>
              <w:wordWrap w:val="0"/>
              <w:spacing w:after="60" w:line="276" w:lineRule="auto"/>
              <w:jc w:val="center"/>
              <w:rPr>
                <w:rFonts w:ascii="宋体" w:hAnsi="宋体"/>
              </w:rPr>
            </w:pPr>
            <w:r>
              <w:rPr>
                <w:rFonts w:ascii="宋体" w:hAnsi="宋体"/>
              </w:rPr>
              <w:t>4</w:t>
            </w:r>
          </w:p>
        </w:tc>
        <w:tc>
          <w:tcPr>
            <w:tcW w:w="1135" w:type="dxa"/>
            <w:tcBorders>
              <w:top w:val="single" w:color="auto" w:sz="4" w:space="0"/>
              <w:left w:val="single" w:color="auto" w:sz="4" w:space="0"/>
              <w:bottom w:val="single" w:color="auto" w:sz="4" w:space="0"/>
              <w:right w:val="single" w:color="auto" w:sz="4" w:space="0"/>
            </w:tcBorders>
            <w:vAlign w:val="center"/>
          </w:tcPr>
          <w:p>
            <w:pPr>
              <w:spacing w:after="60" w:line="276" w:lineRule="auto"/>
              <w:jc w:val="center"/>
              <w:rPr>
                <w:rFonts w:ascii="宋体" w:hAnsi="宋体"/>
              </w:rPr>
            </w:pPr>
            <w:r>
              <w:rPr>
                <w:rFonts w:hint="eastAsia" w:ascii="宋体" w:hAnsi="宋体"/>
              </w:rPr>
              <w:t>专家评分</w:t>
            </w:r>
          </w:p>
        </w:tc>
        <w:tc>
          <w:tcPr>
            <w:tcW w:w="5087" w:type="dxa"/>
            <w:tcBorders>
              <w:top w:val="single" w:color="auto" w:sz="4" w:space="0"/>
              <w:left w:val="single" w:color="auto" w:sz="4" w:space="0"/>
              <w:bottom w:val="single" w:color="auto" w:sz="4" w:space="0"/>
              <w:right w:val="single" w:color="auto" w:sz="4" w:space="0"/>
            </w:tcBorders>
            <w:vAlign w:val="center"/>
          </w:tcPr>
          <w:p>
            <w:pPr>
              <w:spacing w:after="60" w:line="276" w:lineRule="auto"/>
              <w:rPr>
                <w:rFonts w:ascii="宋体" w:hAnsi="宋体"/>
                <w:lang w:val="zh-CN"/>
              </w:rPr>
            </w:pPr>
            <w:r>
              <w:rPr>
                <w:rFonts w:hint="eastAsia" w:ascii="宋体" w:hAnsi="宋体"/>
                <w:lang w:val="zh-CN"/>
              </w:rPr>
              <w:t>自20</w:t>
            </w:r>
            <w:r>
              <w:rPr>
                <w:rFonts w:hint="eastAsia" w:ascii="宋体" w:hAnsi="宋体"/>
              </w:rPr>
              <w:t>2</w:t>
            </w:r>
            <w:r>
              <w:rPr>
                <w:rFonts w:ascii="宋体" w:hAnsi="宋体"/>
              </w:rPr>
              <w:t>2</w:t>
            </w:r>
            <w:r>
              <w:rPr>
                <w:rFonts w:hint="eastAsia" w:ascii="宋体" w:hAnsi="宋体"/>
                <w:lang w:val="zh-CN"/>
              </w:rPr>
              <w:t>年1月</w:t>
            </w:r>
            <w:r>
              <w:rPr>
                <w:rFonts w:hint="eastAsia" w:ascii="宋体" w:hAnsi="宋体"/>
              </w:rPr>
              <w:t>以来</w:t>
            </w:r>
            <w:r>
              <w:rPr>
                <w:rFonts w:hint="eastAsia" w:ascii="宋体" w:hAnsi="宋体"/>
                <w:lang w:val="zh-CN"/>
              </w:rPr>
              <w:t>（以合同签订时间为准）</w:t>
            </w:r>
            <w:r>
              <w:rPr>
                <w:rFonts w:hint="eastAsia" w:ascii="宋体" w:hAnsi="宋体"/>
              </w:rPr>
              <w:t>具有同类产品业绩的，每一个得1分，最高</w:t>
            </w:r>
            <w:r>
              <w:rPr>
                <w:rFonts w:ascii="宋体" w:hAnsi="宋体"/>
              </w:rPr>
              <w:t>4</w:t>
            </w:r>
            <w:r>
              <w:rPr>
                <w:rFonts w:hint="eastAsia" w:ascii="宋体" w:hAnsi="宋体"/>
              </w:rPr>
              <w:t>分；（需提供合同复印件加盖公章，不提供不得分）</w:t>
            </w:r>
            <w:r>
              <w:rPr>
                <w:rFonts w:hint="eastAsia" w:ascii="宋体" w:hAnsi="宋体"/>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276" w:lineRule="auto"/>
              <w:jc w:val="left"/>
              <w:rPr>
                <w:rFonts w:ascii="宋体" w:hAnsi="宋体"/>
                <w:color w:val="FF0000"/>
              </w:rPr>
            </w:pPr>
          </w:p>
        </w:tc>
        <w:tc>
          <w:tcPr>
            <w:tcW w:w="685" w:type="dxa"/>
            <w:tcBorders>
              <w:top w:val="single" w:color="auto" w:sz="4" w:space="0"/>
              <w:left w:val="single" w:color="auto" w:sz="4" w:space="0"/>
              <w:bottom w:val="single" w:color="auto" w:sz="4" w:space="0"/>
              <w:right w:val="single" w:color="auto" w:sz="4" w:space="0"/>
            </w:tcBorders>
            <w:vAlign w:val="center"/>
          </w:tcPr>
          <w:p>
            <w:pPr>
              <w:spacing w:after="60" w:line="276" w:lineRule="auto"/>
              <w:jc w:val="center"/>
              <w:rPr>
                <w:rFonts w:ascii="宋体" w:hAnsi="宋体"/>
              </w:rPr>
            </w:pPr>
            <w:r>
              <w:rPr>
                <w:rFonts w:hint="eastAsia" w:ascii="宋体" w:hAnsi="宋体"/>
              </w:rPr>
              <w:t>4</w:t>
            </w:r>
          </w:p>
        </w:tc>
        <w:tc>
          <w:tcPr>
            <w:tcW w:w="1743" w:type="dxa"/>
            <w:tcBorders>
              <w:top w:val="single" w:color="auto" w:sz="4" w:space="0"/>
              <w:left w:val="single" w:color="auto" w:sz="4" w:space="0"/>
              <w:bottom w:val="single" w:color="auto" w:sz="4" w:space="0"/>
              <w:right w:val="single" w:color="auto" w:sz="4" w:space="0"/>
            </w:tcBorders>
            <w:vAlign w:val="center"/>
          </w:tcPr>
          <w:p>
            <w:pPr>
              <w:wordWrap w:val="0"/>
              <w:spacing w:after="60" w:line="276" w:lineRule="auto"/>
              <w:jc w:val="center"/>
              <w:rPr>
                <w:rFonts w:ascii="宋体" w:hAnsi="宋体"/>
              </w:rPr>
            </w:pPr>
            <w:r>
              <w:rPr>
                <w:rFonts w:hint="eastAsia" w:ascii="宋体" w:hAnsi="宋体" w:cs="等线 Light"/>
              </w:rPr>
              <w:t>产品责任险保障</w:t>
            </w:r>
          </w:p>
        </w:tc>
        <w:tc>
          <w:tcPr>
            <w:tcW w:w="711" w:type="dxa"/>
            <w:tcBorders>
              <w:top w:val="single" w:color="auto" w:sz="4" w:space="0"/>
              <w:left w:val="single" w:color="auto" w:sz="4" w:space="0"/>
              <w:bottom w:val="single" w:color="auto" w:sz="4" w:space="0"/>
              <w:right w:val="single" w:color="auto" w:sz="4" w:space="0"/>
            </w:tcBorders>
            <w:vAlign w:val="center"/>
          </w:tcPr>
          <w:p>
            <w:pPr>
              <w:wordWrap w:val="0"/>
              <w:spacing w:after="60" w:line="276" w:lineRule="auto"/>
              <w:jc w:val="center"/>
              <w:rPr>
                <w:rFonts w:ascii="宋体" w:hAnsi="宋体"/>
              </w:rPr>
            </w:pPr>
            <w:r>
              <w:rPr>
                <w:rFonts w:ascii="宋体" w:hAnsi="宋体"/>
              </w:rPr>
              <w:t>4</w:t>
            </w:r>
          </w:p>
        </w:tc>
        <w:tc>
          <w:tcPr>
            <w:tcW w:w="1135" w:type="dxa"/>
            <w:tcBorders>
              <w:top w:val="single" w:color="auto" w:sz="4" w:space="0"/>
              <w:left w:val="single" w:color="auto" w:sz="4" w:space="0"/>
              <w:bottom w:val="single" w:color="auto" w:sz="4" w:space="0"/>
              <w:right w:val="single" w:color="auto" w:sz="4" w:space="0"/>
            </w:tcBorders>
            <w:vAlign w:val="center"/>
          </w:tcPr>
          <w:p>
            <w:pPr>
              <w:spacing w:after="60" w:line="276" w:lineRule="auto"/>
              <w:jc w:val="center"/>
              <w:rPr>
                <w:rFonts w:ascii="宋体" w:hAnsi="宋体"/>
              </w:rPr>
            </w:pPr>
            <w:r>
              <w:rPr>
                <w:rFonts w:hint="eastAsia" w:ascii="宋体" w:hAnsi="宋体"/>
              </w:rPr>
              <w:t>专家评分</w:t>
            </w:r>
          </w:p>
        </w:tc>
        <w:tc>
          <w:tcPr>
            <w:tcW w:w="5087"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等线 Light"/>
              </w:rPr>
            </w:pPr>
            <w:r>
              <w:rPr>
                <w:rFonts w:hint="eastAsia" w:ascii="宋体" w:hAnsi="宋体" w:cs="等线 Light"/>
              </w:rPr>
              <w:t>投标人或所投车辆制造商已为所投产品购买“商业综合责任保险”，保单发生制：事故发生制，赔偿总限额＞2000万元的得</w:t>
            </w:r>
            <w:r>
              <w:rPr>
                <w:rFonts w:ascii="宋体" w:hAnsi="宋体" w:cs="等线 Light"/>
              </w:rPr>
              <w:t>4</w:t>
            </w:r>
            <w:r>
              <w:rPr>
                <w:rFonts w:hint="eastAsia" w:ascii="宋体" w:hAnsi="宋体" w:cs="等线 Light"/>
              </w:rPr>
              <w:t>分，赔偿总限额500-2000万元的得</w:t>
            </w:r>
            <w:r>
              <w:rPr>
                <w:rFonts w:ascii="宋体" w:hAnsi="宋体" w:cs="等线 Light"/>
              </w:rPr>
              <w:t>1</w:t>
            </w:r>
            <w:r>
              <w:rPr>
                <w:rFonts w:hint="eastAsia" w:ascii="宋体" w:hAnsi="宋体" w:cs="等线 Light"/>
              </w:rPr>
              <w:t>分。（注：提供商业综合责任险保单的扫描件并加盖公章，未提供或提供不符合要求的，不予计分）</w:t>
            </w:r>
          </w:p>
        </w:tc>
      </w:tr>
    </w:tbl>
    <w:p/>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777EE6"/>
    <w:multiLevelType w:val="singleLevel"/>
    <w:tmpl w:val="0F777EE6"/>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52F"/>
    <w:rsid w:val="0001717C"/>
    <w:rsid w:val="000607C6"/>
    <w:rsid w:val="00072918"/>
    <w:rsid w:val="000901B3"/>
    <w:rsid w:val="000A0530"/>
    <w:rsid w:val="000A5B84"/>
    <w:rsid w:val="00123F4F"/>
    <w:rsid w:val="00133158"/>
    <w:rsid w:val="00154E51"/>
    <w:rsid w:val="00161A0A"/>
    <w:rsid w:val="00172252"/>
    <w:rsid w:val="001749F9"/>
    <w:rsid w:val="001A1865"/>
    <w:rsid w:val="001A2D0A"/>
    <w:rsid w:val="001B577D"/>
    <w:rsid w:val="001D2D85"/>
    <w:rsid w:val="001E0894"/>
    <w:rsid w:val="001E2C33"/>
    <w:rsid w:val="0021152F"/>
    <w:rsid w:val="00226122"/>
    <w:rsid w:val="00256DA4"/>
    <w:rsid w:val="002904F8"/>
    <w:rsid w:val="00294E9F"/>
    <w:rsid w:val="002C111D"/>
    <w:rsid w:val="002D78D4"/>
    <w:rsid w:val="002F096B"/>
    <w:rsid w:val="00382F05"/>
    <w:rsid w:val="00384560"/>
    <w:rsid w:val="004255BC"/>
    <w:rsid w:val="004260BA"/>
    <w:rsid w:val="004338EF"/>
    <w:rsid w:val="00444C8D"/>
    <w:rsid w:val="004A77A8"/>
    <w:rsid w:val="004B6725"/>
    <w:rsid w:val="004C2CA2"/>
    <w:rsid w:val="004D2663"/>
    <w:rsid w:val="005568C3"/>
    <w:rsid w:val="00622B56"/>
    <w:rsid w:val="006B3738"/>
    <w:rsid w:val="006E1E60"/>
    <w:rsid w:val="0071590E"/>
    <w:rsid w:val="00720A84"/>
    <w:rsid w:val="00783618"/>
    <w:rsid w:val="007B28D5"/>
    <w:rsid w:val="007C31A0"/>
    <w:rsid w:val="0080023E"/>
    <w:rsid w:val="00805657"/>
    <w:rsid w:val="00807F15"/>
    <w:rsid w:val="008207BD"/>
    <w:rsid w:val="00830444"/>
    <w:rsid w:val="008A3841"/>
    <w:rsid w:val="008C23A2"/>
    <w:rsid w:val="008F70AB"/>
    <w:rsid w:val="00913072"/>
    <w:rsid w:val="00943F57"/>
    <w:rsid w:val="00970C2E"/>
    <w:rsid w:val="00985BE8"/>
    <w:rsid w:val="009928DB"/>
    <w:rsid w:val="009C4A2D"/>
    <w:rsid w:val="00A366AB"/>
    <w:rsid w:val="00A9056D"/>
    <w:rsid w:val="00AC09AA"/>
    <w:rsid w:val="00AD18D9"/>
    <w:rsid w:val="00AE457B"/>
    <w:rsid w:val="00B2320B"/>
    <w:rsid w:val="00B40E3B"/>
    <w:rsid w:val="00B51486"/>
    <w:rsid w:val="00B672E4"/>
    <w:rsid w:val="00B92867"/>
    <w:rsid w:val="00BC2764"/>
    <w:rsid w:val="00BF17B4"/>
    <w:rsid w:val="00C30D5A"/>
    <w:rsid w:val="00C43B74"/>
    <w:rsid w:val="00C47AA2"/>
    <w:rsid w:val="00D25F80"/>
    <w:rsid w:val="00D3757C"/>
    <w:rsid w:val="00D45EE7"/>
    <w:rsid w:val="00D46DE6"/>
    <w:rsid w:val="00D80A54"/>
    <w:rsid w:val="00DC209B"/>
    <w:rsid w:val="00DF04EC"/>
    <w:rsid w:val="00E31740"/>
    <w:rsid w:val="00E346E6"/>
    <w:rsid w:val="00E7419C"/>
    <w:rsid w:val="00E7629A"/>
    <w:rsid w:val="00ED12F7"/>
    <w:rsid w:val="00F27BCE"/>
    <w:rsid w:val="00F365F1"/>
    <w:rsid w:val="00F55DF8"/>
    <w:rsid w:val="00F71C15"/>
    <w:rsid w:val="00F840A0"/>
    <w:rsid w:val="00FA1528"/>
    <w:rsid w:val="00FC6F94"/>
    <w:rsid w:val="00FD02CF"/>
    <w:rsid w:val="00FE6C96"/>
    <w:rsid w:val="17D41AA1"/>
    <w:rsid w:val="33A76533"/>
    <w:rsid w:val="39656249"/>
    <w:rsid w:val="5CE323F2"/>
    <w:rsid w:val="71696B24"/>
    <w:rsid w:val="CAFF87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8"/>
    <w:qFormat/>
    <w:uiPriority w:val="9"/>
    <w:pPr>
      <w:keepNext/>
      <w:keepLines/>
      <w:outlineLvl w:val="0"/>
    </w:pPr>
    <w:rPr>
      <w:b/>
      <w:bCs/>
      <w:kern w:val="44"/>
      <w:sz w:val="28"/>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qFormat/>
    <w:uiPriority w:val="99"/>
    <w:pPr>
      <w:spacing w:line="240" w:lineRule="auto"/>
    </w:pPr>
    <w:rPr>
      <w:sz w:val="18"/>
      <w:szCs w:val="18"/>
    </w:rPr>
  </w:style>
  <w:style w:type="paragraph" w:styleId="4">
    <w:name w:val="footer"/>
    <w:basedOn w:val="1"/>
    <w:link w:val="11"/>
    <w:unhideWhenUsed/>
    <w:qFormat/>
    <w:uiPriority w:val="99"/>
    <w:pPr>
      <w:tabs>
        <w:tab w:val="center" w:pos="4153"/>
        <w:tab w:val="right" w:pos="8306"/>
      </w:tabs>
      <w:snapToGrid w:val="0"/>
      <w:spacing w:line="240" w:lineRule="auto"/>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8">
    <w:name w:val="标题 1 字符"/>
    <w:basedOn w:val="7"/>
    <w:link w:val="2"/>
    <w:qFormat/>
    <w:uiPriority w:val="9"/>
    <w:rPr>
      <w:rFonts w:ascii="Times New Roman" w:hAnsi="Times New Roman" w:eastAsia="宋体" w:cs="Times New Roman"/>
      <w:b/>
      <w:bCs/>
      <w:kern w:val="44"/>
      <w:sz w:val="28"/>
      <w:szCs w:val="44"/>
    </w:rPr>
  </w:style>
  <w:style w:type="character" w:customStyle="1" w:styleId="9">
    <w:name w:val="NormalCharacter"/>
    <w:qFormat/>
    <w:uiPriority w:val="0"/>
    <w:rPr>
      <w:rFonts w:ascii="宋体" w:hAnsi="宋体" w:eastAsia="宋体" w:cs="宋体"/>
      <w:sz w:val="24"/>
      <w:szCs w:val="24"/>
      <w:lang w:val="zh-CN" w:eastAsia="zh-CN" w:bidi="zh-CN"/>
    </w:rPr>
  </w:style>
  <w:style w:type="character" w:customStyle="1" w:styleId="10">
    <w:name w:val="页眉 字符"/>
    <w:basedOn w:val="7"/>
    <w:link w:val="5"/>
    <w:qFormat/>
    <w:uiPriority w:val="99"/>
    <w:rPr>
      <w:rFonts w:ascii="Times New Roman" w:hAnsi="Times New Roman" w:eastAsia="宋体" w:cs="Times New Roman"/>
      <w:sz w:val="18"/>
      <w:szCs w:val="18"/>
    </w:rPr>
  </w:style>
  <w:style w:type="character" w:customStyle="1" w:styleId="11">
    <w:name w:val="页脚 字符"/>
    <w:basedOn w:val="7"/>
    <w:link w:val="4"/>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 w:type="character" w:customStyle="1" w:styleId="13">
    <w:name w:val="批注框文本 字符"/>
    <w:basedOn w:val="7"/>
    <w:link w:val="3"/>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3564</Words>
  <Characters>4061</Characters>
  <Lines>30</Lines>
  <Paragraphs>8</Paragraphs>
  <TotalTime>0</TotalTime>
  <ScaleCrop>false</ScaleCrop>
  <LinksUpToDate>false</LinksUpToDate>
  <CharactersWithSpaces>4076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2025-12-05T15:54:00Z</dcterms:created>
  <dc:creator>867616</dc:creator>
  <cp:lastModifiedBy>彭佳仪</cp:lastModifiedBy>
  <dcterms:modified xsi:type="dcterms:W3CDTF">2025-12-26T06:40:31Z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eyJoZGlkIjoiMzEwNTM5NzYwMDRjMzkwZTVkZjY2ODkwMGIxNGU0OTUiLCJ1c2VySWQiOiI0MTIyOTEwNzYifQ==</vt:lpwstr>
  </property>
  <property fmtid="{D5CDD505-2E9C-101B-9397-08002B2CF9AE}" pid="3" name="KSOProductBuildVer">
    <vt:lpwstr>2052-11.8.2.11718</vt:lpwstr>
  </property>
  <property fmtid="{D5CDD505-2E9C-101B-9397-08002B2CF9AE}" pid="4" name="ICV">
    <vt:lpwstr>A4C34598EE9A418C832C934F86A8786F</vt:lpwstr>
  </property>
</Properties>
</file>