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方正小标宋简体" w:hAnsi="方正小标宋简体" w:eastAsia="方正小标宋简体" w:cs="方正小标宋简体"/>
          <w:b w:val="0"/>
          <w:bCs w:val="0"/>
          <w:sz w:val="44"/>
          <w:szCs w:val="44"/>
        </w:rPr>
        <w:t>202</w:t>
      </w:r>
      <w:r>
        <w:rPr>
          <w:rFonts w:hint="default" w:ascii="方正小标宋简体" w:hAnsi="方正小标宋简体" w:eastAsia="方正小标宋简体" w:cs="方正小标宋简体"/>
          <w:b w:val="0"/>
          <w:bCs w:val="0"/>
          <w:sz w:val="44"/>
          <w:szCs w:val="44"/>
        </w:rPr>
        <w:t>4</w:t>
      </w:r>
      <w:r>
        <w:rPr>
          <w:rFonts w:hint="eastAsia" w:ascii="方正小标宋简体" w:hAnsi="方正小标宋简体" w:eastAsia="方正小标宋简体" w:cs="方正小标宋简体"/>
          <w:b w:val="0"/>
          <w:bCs w:val="0"/>
          <w:sz w:val="44"/>
          <w:szCs w:val="44"/>
        </w:rPr>
        <w:t>年度卫生健康专业技术人才职称评审申报材料</w:t>
      </w:r>
    </w:p>
    <w:p>
      <w:pPr>
        <w:rPr>
          <w:rFonts w:hint="eastAsia"/>
        </w:rPr>
      </w:pP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（一）工作量</w:t>
      </w:r>
      <w:r>
        <w:rPr>
          <w:rFonts w:hint="eastAsia" w:ascii="黑体" w:hAnsi="黑体" w:eastAsia="黑体" w:cs="黑体"/>
          <w:b w:val="0"/>
          <w:bCs w:val="0"/>
          <w:color w:val="auto"/>
          <w:sz w:val="32"/>
          <w:szCs w:val="32"/>
          <w:shd w:val="clear" w:color="auto" w:fill="FFFFFF"/>
          <w:lang w:eastAsia="zh-CN"/>
        </w:rPr>
        <w:t>材料</w:t>
      </w:r>
      <w:r>
        <w:rPr>
          <w:rFonts w:hint="eastAsia" w:ascii="黑体" w:hAnsi="黑体" w:eastAsia="黑体" w:cs="黑体"/>
          <w:b w:val="0"/>
          <w:bCs w:val="0"/>
          <w:color w:val="auto"/>
          <w:sz w:val="32"/>
          <w:szCs w:val="32"/>
          <w:shd w:val="clear" w:color="auto" w:fill="FFFFFF"/>
        </w:rPr>
        <w:t>要求。</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工作量指标计算时间：以评审方式取得现职称的专业技术人才，起算时间为本级职称评审年度的9月1日（其中 2021年度及此后年度评审通过人员，申报高一层级职称的起算时间为本级职称评审年度的下一自然年1月1</w:t>
      </w:r>
      <w:r>
        <w:rPr>
          <w:rFonts w:hint="default" w:ascii="Times New Roman" w:hAnsi="Times New Roman" w:eastAsia="仿宋_GB2312" w:cs="Times New Roman"/>
          <w:color w:val="auto"/>
          <w:sz w:val="32"/>
          <w:szCs w:val="32"/>
          <w:highlight w:val="none"/>
          <w:shd w:val="clear" w:color="auto" w:fill="FFFFFF"/>
          <w:lang w:eastAsia="zh-CN"/>
        </w:rPr>
        <w:t>日</w:t>
      </w:r>
      <w:r>
        <w:rPr>
          <w:rFonts w:hint="default" w:ascii="Times New Roman" w:hAnsi="Times New Roman" w:eastAsia="仿宋_GB2312" w:cs="Times New Roman"/>
          <w:color w:val="auto"/>
          <w:sz w:val="32"/>
          <w:szCs w:val="32"/>
          <w:highlight w:val="none"/>
          <w:shd w:val="clear" w:color="auto" w:fill="FFFFFF"/>
          <w:lang w:val="en-US" w:eastAsia="zh-CN"/>
        </w:rPr>
        <w:t xml:space="preserve">）；以考试或初次职称考核认定方式取得现职称的专业技术人才，起算时间为本级职称考试或认定通过日期。截止时间均为 2024年12月31日。 </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 xml:space="preserve">门诊工作量、出院人数、参与治疗患者人数、手术/操作人次、调配处方/医嘱数量、检查人次、参与的现场调查或处置的突发公共卫生事件数量等工作量数据须由申报人所在单位从医疗卫生机构信息管理系统提取，由所在单位相关工作人员在申报系统填报；相关数据无法从医院信息管理系统提取或所在单位无信息管理系统的，由所在单位根据申报人实际情况计算提供。工作量相关数据需填报《工作量实绩表》（2024年度版）（在申报系统下载）并进行公示。《工作量实绩表》（2024年度版）中的数据须与系统填报的工作量数据保持一致，凡数据不一致的，不予受理申报材料。 </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 xml:space="preserve">3.现职称期间跨单位或跨省工作的，原工作单位的工作量由原工作单位根据申报人实际情况协助提供，由现工作单位合并计算后申报。执业医师服务基层期间，工作量纳入申报工作量的计算范围，按基层相关专业评价标准条件计算。卫生专业技术人员到上级医院进修期间符合执业要求的工作量可纳入申报工作量计算范围，按相关专业评价标准条件计算。 </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 w:eastAsia="zh-CN"/>
        </w:rPr>
        <w:t>（二）</w:t>
      </w:r>
      <w:r>
        <w:rPr>
          <w:rFonts w:hint="eastAsia" w:ascii="黑体" w:hAnsi="黑体" w:eastAsia="黑体" w:cs="黑体"/>
          <w:color w:val="auto"/>
          <w:kern w:val="0"/>
          <w:sz w:val="32"/>
          <w:szCs w:val="32"/>
        </w:rPr>
        <w:t>专业能力材料要求。</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1</w:t>
      </w:r>
      <w:r>
        <w:rPr>
          <w:rFonts w:hint="eastAsia" w:ascii="仿宋_GB2312" w:hAnsi="仿宋_GB2312" w:eastAsia="仿宋_GB2312" w:cs="仿宋_GB2312"/>
          <w:b w:val="0"/>
          <w:bCs w:val="0"/>
          <w:color w:val="auto"/>
          <w:sz w:val="32"/>
          <w:szCs w:val="32"/>
          <w:shd w:val="clear" w:color="auto" w:fill="FFFFFF"/>
        </w:rPr>
        <w:t>.病</w:t>
      </w:r>
      <w:r>
        <w:rPr>
          <w:rFonts w:hint="default" w:ascii="Times New Roman" w:hAnsi="Times New Roman" w:eastAsia="仿宋_GB2312" w:cs="Times New Roman"/>
          <w:b w:val="0"/>
          <w:bCs w:val="0"/>
          <w:color w:val="auto"/>
          <w:sz w:val="32"/>
          <w:szCs w:val="32"/>
          <w:shd w:val="clear" w:color="auto" w:fill="FFFFFF"/>
        </w:rPr>
        <w:t>案材料要求。</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 xml:space="preserve">（1）有病房的医疗类专业申报人，申报时填写取得现职称以来至2024年12月31日期间，本人主治或主持的、能够体现本人最高业务水平或技术能力的20个病案号（住院号），所提供的病案应涵盖晋升周期内不同年度，系统随机抽取5个病案号（号码务必填写准确，抽取后不得更换），申报人按要求扫描上传抽中的5份完整病案，并撰写5份病案分析。 </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 xml:space="preserve">（2）无病房或长期在门诊工作的医疗类专业申报人，提交5份取得现职称以来至2024年12月31日期间，解决本专业疑难复杂问题、体现本人最高业务水平的病历/案例材料，原则上须为电子病历材料且涵盖晋升周期内不同年度，并撰写5份专题报告。每份病历材料须提供与内容相关的佐证材料，如操作或特殊诊疗记录单、报告单、原始数据报表等。 </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val="en-US" w:eastAsia="zh-CN"/>
        </w:rPr>
        <w:t>（3）专职从事医院感染预防与控制工作的非公共卫生专业人员，从事医院感染预防与控制工作期间的专业能力材料，可提供院感工作相关的材料（涵盖在院感岗位工作期间不同年度）</w:t>
      </w:r>
      <w:r>
        <w:rPr>
          <w:rFonts w:hint="default" w:ascii="Times New Roman" w:hAnsi="Times New Roman" w:eastAsia="仿宋_GB2312" w:cs="Times New Roman"/>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b w:val="0"/>
          <w:bCs w:val="0"/>
          <w:color w:val="auto"/>
          <w:sz w:val="32"/>
          <w:szCs w:val="32"/>
          <w:highlight w:val="none"/>
          <w:shd w:val="clear" w:color="auto" w:fill="FFFFFF"/>
        </w:rPr>
        <w:t>2</w:t>
      </w:r>
      <w:r>
        <w:rPr>
          <w:rFonts w:hint="default" w:ascii="仿宋_GB2312" w:hAnsi="仿宋_GB2312" w:eastAsia="仿宋_GB2312" w:cs="仿宋_GB2312"/>
          <w:b w:val="0"/>
          <w:bCs w:val="0"/>
          <w:color w:val="auto"/>
          <w:sz w:val="32"/>
          <w:szCs w:val="32"/>
          <w:highlight w:val="none"/>
          <w:shd w:val="clear" w:color="auto" w:fill="FFFFFF"/>
        </w:rPr>
        <w:t>.评价</w:t>
      </w:r>
      <w:r>
        <w:rPr>
          <w:rFonts w:hint="default" w:ascii="Times New Roman" w:hAnsi="Times New Roman" w:eastAsia="仿宋_GB2312" w:cs="Times New Roman"/>
          <w:b w:val="0"/>
          <w:bCs w:val="0"/>
          <w:color w:val="auto"/>
          <w:sz w:val="32"/>
          <w:szCs w:val="32"/>
          <w:highlight w:val="none"/>
          <w:shd w:val="clear" w:color="auto" w:fill="FFFFFF"/>
        </w:rPr>
        <w:t>指标</w:t>
      </w:r>
      <w:r>
        <w:rPr>
          <w:rFonts w:hint="default" w:ascii="Times New Roman" w:hAnsi="Times New Roman" w:eastAsia="仿宋_GB2312" w:cs="Times New Roman"/>
          <w:color w:val="auto"/>
          <w:sz w:val="32"/>
          <w:szCs w:val="32"/>
          <w:highlight w:val="none"/>
          <w:shd w:val="clear" w:color="auto" w:fill="FFFFFF"/>
        </w:rPr>
        <w:t>相关材料要求。</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 xml:space="preserve">（1）需采集临床工作数据的评审专业见《采集临床数据专业目录》（附件 </w:t>
      </w:r>
      <w:r>
        <w:rPr>
          <w:rFonts w:hint="default" w:ascii="Times New Roman" w:hAnsi="Times New Roman" w:eastAsia="仿宋_GB2312" w:cs="Times New Roman"/>
          <w:color w:val="auto"/>
          <w:sz w:val="32"/>
          <w:szCs w:val="32"/>
          <w:highlight w:val="none"/>
          <w:shd w:val="clear" w:color="auto" w:fill="FFFFFF"/>
          <w:lang w:eastAsia="zh-CN"/>
        </w:rPr>
        <w:t>1</w:t>
      </w:r>
      <w:r>
        <w:rPr>
          <w:rFonts w:hint="default" w:ascii="Times New Roman" w:hAnsi="Times New Roman" w:eastAsia="仿宋_GB2312"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lang w:val="en-US" w:eastAsia="zh-CN"/>
        </w:rPr>
        <w:t>。有病房的医疗类及护理专业申报人由所在单位相关工作人员在申报系统中填写《申报人员信息自然表》相关信息，并连同其他申报材料一起提交审核，临床工作数据将由市健研数管中心根据申报人填写的《申报人员信息自然表》，从“深圳市全民健康信息平台”的病案首页数据中统一提取，并通过国家“临床工作数据提取系统”计算出评价指标结果供评审专家参考使用。《申报人员信息自然表》中的“医疗机构 ID”必须与“深圳市全民健康信息平台”中数据一致。“所在科室”和病案首页“出院科别”的编码须一致，且符合《医疗机构诊疗科目名录》（详见《申报人员信息自然表》中“所在科室”选项）的范围。临床工作数据采集时间范围在2017年1月1日至2024</w:t>
      </w:r>
      <w:r>
        <w:rPr>
          <w:rFonts w:hint="default" w:ascii="Times New Roman" w:hAnsi="Times New Roman" w:eastAsia="仿宋_GB2312" w:cs="Times New Roman"/>
          <w:color w:val="auto"/>
          <w:sz w:val="32"/>
          <w:szCs w:val="32"/>
          <w:highlight w:val="none"/>
          <w:shd w:val="clear" w:color="auto" w:fill="FFFFFF"/>
          <w:lang w:eastAsia="zh-CN"/>
        </w:rPr>
        <w:t>年</w:t>
      </w:r>
      <w:r>
        <w:rPr>
          <w:rFonts w:hint="default" w:ascii="Times New Roman" w:hAnsi="Times New Roman" w:eastAsia="仿宋_GB2312" w:cs="Times New Roman"/>
          <w:color w:val="auto"/>
          <w:sz w:val="32"/>
          <w:szCs w:val="32"/>
          <w:highlight w:val="none"/>
          <w:shd w:val="clear" w:color="auto" w:fill="FFFFFF"/>
          <w:lang w:val="en-US" w:eastAsia="zh-CN"/>
        </w:rPr>
        <w:t>12月31日内。军队、监狱、公安系统等未在“深圳市全民健康信息平台”上报病案首页数据的单位，须自行将相关数据导入单机版“临床工作数据提取系统”进行检测计算，并上传计算结果数据包至申报系统。对于同一医师有多个机构或科室工作经历的，应根据其工作经历在《申报人员信息自然表》中填写多条记录，每条记录“执业证书编码”</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 xml:space="preserve">申报人姓名”须完全一致，并与申报系统填写的信息一致，“提取工作量数据截止时间”原则上不得 </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重叠。</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申报人需按要求认真填报《申报人员信息自然表》相关内容，所在科室及相应的起止工作时间务必填写准确。所在单位要认真审核，按要求及时、完整、规范上传病案首页数据，确保申报人所有临床工作数据均要符合采集质量和接口标准要求，如因各单位提交的数据不符合要求，造成申报人员相关评价指标计算不准确，从而影响评审结果的，由申报人所在单位自行承担后果。</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（2）无病房或长期在门诊工作的医疗类专业申报人只需在申报系统填写质量安全、资源利用、患者管理等评价维度的相关数据。</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 xml:space="preserve">（3）其他专业申报人相关数据，按照申报系统中相应数据栏的要求填写。 </w:t>
      </w:r>
    </w:p>
    <w:p>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color w:val="auto"/>
          <w:kern w:val="0"/>
          <w:sz w:val="32"/>
          <w:szCs w:val="32"/>
          <w:lang w:val="en" w:eastAsia="zh-CN"/>
        </w:rPr>
      </w:pPr>
      <w:r>
        <w:rPr>
          <w:rFonts w:hint="eastAsia" w:ascii="黑体" w:hAnsi="黑体" w:eastAsia="黑体" w:cs="黑体"/>
          <w:color w:val="auto"/>
          <w:kern w:val="0"/>
          <w:sz w:val="32"/>
          <w:szCs w:val="32"/>
          <w:lang w:val="en" w:eastAsia="zh-CN"/>
        </w:rPr>
        <w:t>（三）工作业绩材料要求。</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工作业绩实行成果代表作制度。业绩成果代表作应按照《实施方案》相关专业评价标准条件及附录中的相关要求提供。在申报系统“其他代表作”栏提交的业绩成果代表作类型，原则上不可与其他栏目提交的业绩成果代表作类型重复。每项业绩成果代表作均须同时提交《工作业绩成果代表作选项类型及所用原始资料来源证明》（在申报系统下载）。凡未按要求提供的材料，均视为无效工作业绩材料，对于无效工作业绩材料，原则上不再退回申报人修改，且不再列为参评材料提交职称评审委员会评审。申报人业绩成果代表作等材料的起止时间与工作量指标起止时间一致。其中，申报人提交的论文应可在“中国知网”或“万方数据知识服务平台”等平台检索到相关信息。发表于国外专业期刊的论文或外国语言类论文，须提供全篇中文译文及检索报告。申报卫生研究专业高级职称所提供的在期刊上发表的学术论文或研究报告，须提交相应的检索报告。评审工作领导小组办公室将统一委托检测机构进行学术相似性检测，检测结果提交职称评审委员会进行综合评议。</w:t>
      </w:r>
    </w:p>
    <w:p>
      <w:pPr>
        <w:pStyle w:val="2"/>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（四）专业技术工作总结</w:t>
      </w:r>
      <w:r>
        <w:rPr>
          <w:rFonts w:hint="eastAsia" w:ascii="黑体" w:hAnsi="黑体" w:eastAsia="黑体" w:cs="黑体"/>
          <w:color w:val="auto"/>
          <w:kern w:val="0"/>
          <w:sz w:val="32"/>
          <w:szCs w:val="32"/>
          <w:lang w:eastAsia="zh-CN"/>
        </w:rPr>
        <w:t>材料</w:t>
      </w:r>
      <w:r>
        <w:rPr>
          <w:rFonts w:hint="eastAsia" w:ascii="黑体" w:hAnsi="黑体" w:eastAsia="黑体" w:cs="黑体"/>
          <w:color w:val="auto"/>
          <w:kern w:val="0"/>
          <w:sz w:val="32"/>
          <w:szCs w:val="32"/>
          <w:shd w:val="clear" w:color="auto" w:fill="auto"/>
        </w:rPr>
        <w:t>要求</w:t>
      </w:r>
      <w:r>
        <w:rPr>
          <w:rFonts w:hint="eastAsia" w:ascii="黑体" w:hAnsi="黑体" w:eastAsia="黑体" w:cs="黑体"/>
          <w:color w:val="auto"/>
          <w:kern w:val="0"/>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申报人需在申报系统上提交一份个人《专业技术工作总结》（2500 字以内），主要对取得现职称以来的专业技术工作情况进行总结。一般应包括以下内容：基本情况（姓名、学历、现职称及取得时间、现聘职称及时间）、从事与申报专业相关的专业技术工作及取得业绩成果情况、专业特长及经验体会、下一步工作方向等。</w:t>
      </w:r>
    </w:p>
    <w:p>
      <w:pPr>
        <w:pStyle w:val="2"/>
        <w:numPr>
          <w:ilvl w:val="0"/>
          <w:numId w:val="1"/>
        </w:numPr>
        <w:rPr>
          <w:rFonts w:hint="eastAsia" w:ascii="黑体" w:hAnsi="黑体" w:eastAsia="黑体" w:cs="黑体"/>
          <w:color w:val="auto"/>
          <w:kern w:val="0"/>
          <w:sz w:val="32"/>
          <w:szCs w:val="32"/>
          <w:shd w:val="clear" w:color="auto" w:fill="auto"/>
          <w:lang w:eastAsia="zh-CN"/>
        </w:rPr>
      </w:pPr>
      <w:r>
        <w:rPr>
          <w:rFonts w:hint="default" w:ascii="黑体" w:hAnsi="黑体" w:eastAsia="黑体" w:cs="黑体"/>
          <w:color w:val="auto"/>
          <w:kern w:val="0"/>
          <w:sz w:val="32"/>
          <w:szCs w:val="32"/>
        </w:rPr>
        <w:t>政治廉洁表现与医德医风考核材料</w:t>
      </w:r>
      <w:r>
        <w:rPr>
          <w:rFonts w:hint="eastAsia" w:ascii="黑体" w:hAnsi="黑体" w:eastAsia="黑体" w:cs="黑体"/>
          <w:color w:val="auto"/>
          <w:kern w:val="0"/>
          <w:sz w:val="32"/>
          <w:szCs w:val="32"/>
          <w:shd w:val="clear" w:color="auto" w:fil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申报人所在单位纪检监察部门对申报人进行政治表现与廉洁情况审查，并出具政治廉洁审查意见；负责医德医风考核部门对申报人历年医德医风考核情况出具证明，由申报人提交材料时一并上传申报系统。</w:t>
      </w:r>
    </w:p>
    <w:p>
      <w:pPr>
        <w:pStyle w:val="2"/>
        <w:ind w:left="0" w:leftChars="0" w:firstLine="0" w:firstLineChars="0"/>
        <w:rPr>
          <w:rFonts w:hint="default" w:ascii="Times New Roman" w:hAnsi="Times New Roman" w:eastAsia="仿宋_GB2312" w:cs="Times New Roman"/>
          <w:color w:val="auto"/>
          <w:sz w:val="32"/>
          <w:szCs w:val="32"/>
          <w:highlight w:val="none"/>
          <w:shd w:val="clear" w:color="auto" w:fill="FFFFFF"/>
          <w:lang w:val="en-US" w:eastAsia="zh-CN"/>
        </w:rPr>
      </w:pPr>
    </w:p>
    <w:p>
      <w:pPr>
        <w:pStyle w:val="3"/>
        <w:rPr>
          <w:rFonts w:hint="default" w:ascii="Times New Roman" w:hAnsi="Times New Roman" w:eastAsia="仿宋_GB2312" w:cs="Times New Roman"/>
          <w:color w:val="auto"/>
          <w:sz w:val="32"/>
          <w:szCs w:val="32"/>
          <w:highlight w:val="none"/>
          <w:shd w:val="clear" w:color="auto" w:fill="FFFFFF"/>
          <w:lang w:val="en-US" w:eastAsia="zh-CN"/>
        </w:rPr>
      </w:pPr>
    </w:p>
    <w:p>
      <w:pPr>
        <w:rPr>
          <w:rFonts w:hint="default" w:ascii="Times New Roman" w:hAnsi="Times New Roman" w:eastAsia="仿宋_GB2312" w:cs="Times New Roman"/>
          <w:color w:val="auto"/>
          <w:sz w:val="32"/>
          <w:szCs w:val="32"/>
          <w:highlight w:val="none"/>
          <w:shd w:val="clear" w:color="auto" w:fill="FFFFFF"/>
          <w:lang w:val="en-US" w:eastAsia="zh-CN"/>
        </w:rPr>
      </w:pPr>
    </w:p>
    <w:p>
      <w:pPr>
        <w:pStyle w:val="2"/>
        <w:rPr>
          <w:rFonts w:hint="default" w:ascii="Times New Roman" w:hAnsi="Times New Roman" w:eastAsia="仿宋_GB2312" w:cs="Times New Roman"/>
          <w:color w:val="auto"/>
          <w:sz w:val="32"/>
          <w:szCs w:val="32"/>
          <w:highlight w:val="none"/>
          <w:shd w:val="clear" w:color="auto" w:fill="FFFFFF"/>
          <w:lang w:val="en-US" w:eastAsia="zh-CN"/>
        </w:rPr>
      </w:pPr>
    </w:p>
    <w:p>
      <w:pPr>
        <w:pStyle w:val="3"/>
        <w:jc w:val="both"/>
        <w:rPr>
          <w:rFonts w:hint="default"/>
          <w:lang w:eastAsia="zh-CN"/>
        </w:rPr>
      </w:pPr>
    </w:p>
    <w:p>
      <w:pPr>
        <w:rPr>
          <w:rFonts w:hint="default"/>
          <w:lang w:eastAsia="zh-CN"/>
        </w:rPr>
      </w:pPr>
    </w:p>
    <w:p>
      <w:pPr>
        <w:pStyle w:val="2"/>
        <w:ind w:left="0" w:leftChars="0" w:firstLine="0" w:firstLineChars="0"/>
        <w:rPr>
          <w:rFonts w:hint="default"/>
          <w:lang w:eastAsia="zh-CN"/>
        </w:rPr>
      </w:pPr>
    </w:p>
    <w:p>
      <w:pPr>
        <w:rPr>
          <w:rFonts w:hint="default"/>
          <w:lang w:eastAsia="zh-CN"/>
        </w:rPr>
      </w:pPr>
    </w:p>
    <w:p>
      <w:pPr>
        <w:pStyle w:val="2"/>
        <w:rPr>
          <w:rFonts w:hint="default"/>
          <w:lang w:eastAsia="zh-CN"/>
        </w:rPr>
      </w:pPr>
    </w:p>
    <w:p>
      <w:pPr>
        <w:pStyle w:val="3"/>
        <w:rPr>
          <w:rFonts w:hint="default"/>
          <w:lang w:eastAsia="zh-CN"/>
        </w:rPr>
      </w:pPr>
    </w:p>
    <w:p>
      <w:pPr>
        <w:rPr>
          <w:rFonts w:hint="default"/>
          <w:lang w:eastAsia="zh-CN"/>
        </w:rPr>
      </w:pPr>
    </w:p>
    <w:p>
      <w:pPr>
        <w:pStyle w:val="2"/>
        <w:rPr>
          <w:rFonts w:hint="default"/>
          <w:lang w:eastAsia="zh-CN"/>
        </w:rPr>
      </w:pPr>
    </w:p>
    <w:p>
      <w:pPr>
        <w:pStyle w:val="3"/>
        <w:jc w:val="both"/>
        <w:rPr>
          <w:rFonts w:hint="default" w:ascii="黑体" w:hAnsi="黑体" w:eastAsia="黑体" w:cs="黑体"/>
          <w:snapToGrid w:val="0"/>
          <w:color w:val="auto"/>
          <w:kern w:val="0"/>
          <w:sz w:val="32"/>
          <w:szCs w:val="32"/>
          <w:lang w:eastAsia="zh-CN"/>
        </w:rPr>
      </w:pPr>
      <w:r>
        <w:rPr>
          <w:rFonts w:hint="default" w:ascii="黑体" w:hAnsi="黑体" w:eastAsia="黑体" w:cs="黑体"/>
          <w:snapToGrid w:val="0"/>
          <w:color w:val="auto"/>
          <w:kern w:val="0"/>
          <w:sz w:val="32"/>
          <w:szCs w:val="32"/>
          <w:lang w:eastAsia="zh-CN"/>
        </w:rPr>
        <w:t>附件1</w:t>
      </w:r>
      <w:bookmarkStart w:id="0" w:name="_GoBack"/>
      <w:bookmarkEnd w:id="0"/>
    </w:p>
    <w:p>
      <w:pPr>
        <w:pStyle w:val="3"/>
        <w:jc w:val="both"/>
        <w:rPr>
          <w:rFonts w:hint="default"/>
          <w:lang w:eastAsia="zh-CN"/>
        </w:rPr>
      </w:pPr>
      <w:r>
        <w:rPr>
          <w:rFonts w:hint="default"/>
          <w:lang w:eastAsia="zh-CN"/>
        </w:rPr>
        <w:drawing>
          <wp:inline distT="0" distB="0" distL="114300" distR="114300">
            <wp:extent cx="5859145" cy="8495665"/>
            <wp:effectExtent l="0" t="0" r="8255" b="635"/>
            <wp:docPr id="1" name="图片 1" descr="screen_shot_175153184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_shot_1751531841253"/>
                    <pic:cNvPicPr>
                      <a:picLocks noChangeAspect="1"/>
                    </pic:cNvPicPr>
                  </pic:nvPicPr>
                  <pic:blipFill>
                    <a:blip r:embed="rId7"/>
                    <a:stretch>
                      <a:fillRect/>
                    </a:stretch>
                  </pic:blipFill>
                  <pic:spPr>
                    <a:xfrm>
                      <a:off x="0" y="0"/>
                      <a:ext cx="5859145" cy="8495665"/>
                    </a:xfrm>
                    <a:prstGeom prst="rect">
                      <a:avLst/>
                    </a:prstGeom>
                  </pic:spPr>
                </pic:pic>
              </a:graphicData>
            </a:graphic>
          </wp:inline>
        </w:drawing>
      </w:r>
    </w:p>
    <w:p>
      <w:pPr>
        <w:rPr>
          <w:rFonts w:hint="default"/>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lang w:eastAsia="zh-CN"/>
        </w:rPr>
      </w:pPr>
      <w:r>
        <w:rPr>
          <w:rFonts w:hint="default"/>
          <w:lang w:eastAsia="zh-CN"/>
        </w:rPr>
        <w:drawing>
          <wp:inline distT="0" distB="0" distL="114300" distR="114300">
            <wp:extent cx="5734050" cy="7226300"/>
            <wp:effectExtent l="0" t="0" r="0" b="12700"/>
            <wp:docPr id="3" name="图片 3" descr="screen_shot_175153195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_shot_1751531956726"/>
                    <pic:cNvPicPr>
                      <a:picLocks noChangeAspect="1"/>
                    </pic:cNvPicPr>
                  </pic:nvPicPr>
                  <pic:blipFill>
                    <a:blip r:embed="rId8"/>
                    <a:stretch>
                      <a:fillRect/>
                    </a:stretch>
                  </pic:blipFill>
                  <pic:spPr>
                    <a:xfrm>
                      <a:off x="0" y="0"/>
                      <a:ext cx="5734050" cy="7226300"/>
                    </a:xfrm>
                    <a:prstGeom prst="rect">
                      <a:avLst/>
                    </a:prstGeom>
                  </pic:spPr>
                </pic:pic>
              </a:graphicData>
            </a:graphic>
          </wp:inline>
        </w:drawing>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default"/>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ZXiaoBiaoSong-B05">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2" w:lineRule="exact"/>
      <w:rPr>
        <w:rFonts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D08E"/>
    <w:multiLevelType w:val="singleLevel"/>
    <w:tmpl w:val="ADFCD08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ZmMxYWY3ZTcwOTZiYzljMjhiNmEzOGQ5MWExMTYifQ=="/>
  </w:docVars>
  <w:rsids>
    <w:rsidRoot w:val="6D6E2224"/>
    <w:rsid w:val="1FFFDEFC"/>
    <w:rsid w:val="3BB667DC"/>
    <w:rsid w:val="5FEB2F44"/>
    <w:rsid w:val="6D6E2224"/>
    <w:rsid w:val="77F59370"/>
    <w:rsid w:val="79D8A4AA"/>
    <w:rsid w:val="7F79AB6E"/>
    <w:rsid w:val="CFEF4B01"/>
    <w:rsid w:val="EF5F6387"/>
    <w:rsid w:val="EFDA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40" w:lineRule="exact"/>
      <w:ind w:firstLine="880" w:firstLineChars="200"/>
      <w:jc w:val="left"/>
    </w:pPr>
    <w:rPr>
      <w:rFonts w:ascii="楷体_GB2312" w:hAnsi="楷体_GB2312" w:eastAsia="仿宋_GB2312"/>
      <w:sz w:val="44"/>
      <w:szCs w:val="20"/>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annotation text"/>
    <w:basedOn w:val="1"/>
    <w:qFormat/>
    <w:uiPriority w:val="0"/>
    <w:pPr>
      <w:jc w:val="left"/>
    </w:pPr>
    <w:rPr>
      <w:rFonts w:ascii="Times New Roman" w:hAnsi="Times New Roman" w:cs="Times New Roman"/>
      <w:szCs w:val="24"/>
      <w:lang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2022-09-15T10:04:00Z</dcterms:created>
  <dc:creator>y4n</dc:creator>
  <cp:lastModifiedBy>休假审批账号</cp:lastModifiedBy>
  <dcterms:modified xsi:type="dcterms:W3CDTF">2025-07-03T16:40:13Z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8BD64B41FAE545D089CF75EAA7EBCB90</vt:lpwstr>
  </property>
</Properties>
</file>